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4DC" w:rsidRPr="002C286B" w:rsidRDefault="002544DC">
      <w:pPr>
        <w:rPr>
          <w:rFonts w:ascii="StobiSerif Regular" w:hAnsi="StobiSerif Regular"/>
          <w:sz w:val="20"/>
          <w:szCs w:val="20"/>
        </w:rPr>
      </w:pPr>
    </w:p>
    <w:p w:rsidR="002544DC" w:rsidRPr="002C286B" w:rsidRDefault="002544DC">
      <w:pPr>
        <w:rPr>
          <w:rFonts w:ascii="StobiSerif Regular" w:hAnsi="StobiSerif Regular"/>
          <w:noProof/>
          <w:sz w:val="20"/>
          <w:szCs w:val="20"/>
        </w:rPr>
      </w:pPr>
      <w:r w:rsidRPr="002C286B">
        <w:rPr>
          <w:rFonts w:ascii="StobiSerif Regular" w:hAnsi="StobiSerif Regular"/>
          <w:noProof/>
          <w:sz w:val="20"/>
          <w:szCs w:val="20"/>
        </w:rPr>
        <w:t xml:space="preserve">                                                                               </w:t>
      </w:r>
      <w:r w:rsidR="00487EFA" w:rsidRPr="002C286B">
        <w:rPr>
          <w:rFonts w:ascii="StobiSerif Regular" w:hAnsi="StobiSerif Regular"/>
          <w:noProof/>
          <w:sz w:val="20"/>
          <w:szCs w:val="20"/>
          <w:lang w:val="en-US"/>
        </w:rPr>
        <w:drawing>
          <wp:inline distT="0" distB="0" distL="0" distR="0">
            <wp:extent cx="847725" cy="885825"/>
            <wp:effectExtent l="0" t="0" r="9525" b="9525"/>
            <wp:docPr id="1" name="Picture 2" descr="Logo_M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K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inline>
        </w:drawing>
      </w:r>
    </w:p>
    <w:p w:rsidR="002544DC" w:rsidRPr="002C286B" w:rsidRDefault="006F023D" w:rsidP="00F32479">
      <w:pPr>
        <w:jc w:val="center"/>
        <w:rPr>
          <w:rFonts w:ascii="StobiSerif Regular" w:hAnsi="StobiSerif Regular"/>
          <w:b/>
          <w:i/>
          <w:noProof/>
          <w:sz w:val="20"/>
          <w:szCs w:val="20"/>
        </w:rPr>
      </w:pPr>
      <w:r>
        <w:rPr>
          <w:rFonts w:ascii="StobiSerif Regular" w:hAnsi="StobiSerif Regular"/>
          <w:b/>
          <w:i/>
          <w:noProof/>
          <w:sz w:val="20"/>
          <w:szCs w:val="20"/>
        </w:rPr>
        <w:t>Republic of North Macedonia</w:t>
      </w:r>
    </w:p>
    <w:p w:rsidR="002544DC" w:rsidRPr="002C286B" w:rsidRDefault="006F023D" w:rsidP="00CC1CAD">
      <w:pPr>
        <w:jc w:val="center"/>
        <w:rPr>
          <w:rFonts w:ascii="StobiSerif Regular" w:hAnsi="StobiSerif Regular"/>
          <w:b/>
          <w:i/>
          <w:noProof/>
          <w:sz w:val="20"/>
          <w:szCs w:val="20"/>
        </w:rPr>
      </w:pPr>
      <w:r w:rsidRPr="006F023D">
        <w:rPr>
          <w:rFonts w:ascii="StobiSerif Regular" w:hAnsi="StobiSerif Regular"/>
          <w:b/>
          <w:i/>
          <w:noProof/>
          <w:sz w:val="20"/>
          <w:szCs w:val="20"/>
        </w:rPr>
        <w:t>Agency for Financial Support of the Agriculture and Rural Development</w:t>
      </w:r>
    </w:p>
    <w:p w:rsidR="002544DC" w:rsidRPr="002C286B" w:rsidRDefault="002544DC" w:rsidP="00CC1CAD">
      <w:pPr>
        <w:jc w:val="center"/>
        <w:rPr>
          <w:rFonts w:ascii="StobiSerif Regular" w:hAnsi="StobiSerif Regular"/>
          <w:b/>
          <w:i/>
          <w:noProof/>
          <w:sz w:val="20"/>
          <w:szCs w:val="20"/>
        </w:rPr>
      </w:pPr>
    </w:p>
    <w:p w:rsidR="002544DC" w:rsidRPr="002C286B" w:rsidRDefault="002544DC" w:rsidP="00CC1CAD">
      <w:pPr>
        <w:jc w:val="center"/>
        <w:rPr>
          <w:rFonts w:ascii="StobiSerif Regular" w:hAnsi="StobiSerif Regular"/>
          <w:b/>
          <w:i/>
          <w:sz w:val="20"/>
          <w:szCs w:val="20"/>
        </w:rPr>
      </w:pPr>
    </w:p>
    <w:p w:rsidR="002544DC" w:rsidRPr="002C286B" w:rsidRDefault="002544DC" w:rsidP="00CC1CAD">
      <w:pPr>
        <w:jc w:val="center"/>
        <w:rPr>
          <w:rFonts w:ascii="StobiSerif Regular" w:hAnsi="StobiSerif Regular"/>
          <w:b/>
          <w:i/>
          <w:sz w:val="20"/>
          <w:szCs w:val="20"/>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546D00" w:rsidRDefault="00546D00" w:rsidP="00E044D3">
      <w:pPr>
        <w:spacing w:after="0" w:line="240" w:lineRule="auto"/>
        <w:jc w:val="both"/>
        <w:rPr>
          <w:rStyle w:val="Emphasis"/>
          <w:rFonts w:ascii="StobiSerif Regular" w:hAnsi="StobiSerif Regular"/>
          <w:i w:val="0"/>
          <w:lang w:val="en-US"/>
        </w:rPr>
      </w:pPr>
    </w:p>
    <w:p w:rsidR="00546D00" w:rsidRDefault="00546D00" w:rsidP="00E044D3">
      <w:pPr>
        <w:spacing w:after="0" w:line="240" w:lineRule="auto"/>
        <w:jc w:val="both"/>
        <w:rPr>
          <w:rStyle w:val="Emphasis"/>
          <w:rFonts w:ascii="StobiSerif Regular" w:hAnsi="StobiSerif Regular"/>
          <w:i w:val="0"/>
          <w:lang w:val="en-US"/>
        </w:rPr>
      </w:pPr>
    </w:p>
    <w:p w:rsidR="00546D00" w:rsidRDefault="00546D00"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0D4715" w:rsidRDefault="000D4715" w:rsidP="00E044D3">
      <w:pPr>
        <w:spacing w:after="0" w:line="240" w:lineRule="auto"/>
        <w:jc w:val="both"/>
        <w:rPr>
          <w:rStyle w:val="Emphasis"/>
          <w:rFonts w:ascii="StobiSerif Regular" w:hAnsi="StobiSerif Regular"/>
          <w:i w:val="0"/>
          <w:lang w:val="en-US"/>
        </w:rPr>
      </w:pPr>
    </w:p>
    <w:p w:rsidR="00F32479" w:rsidRDefault="00F32479" w:rsidP="00E044D3">
      <w:pPr>
        <w:spacing w:after="0" w:line="240" w:lineRule="auto"/>
        <w:jc w:val="both"/>
        <w:rPr>
          <w:rStyle w:val="Emphasis"/>
          <w:rFonts w:ascii="StobiSerif Regular" w:hAnsi="StobiSerif Regular"/>
          <w:i w:val="0"/>
          <w:lang w:val="en-US"/>
        </w:rPr>
      </w:pPr>
    </w:p>
    <w:p w:rsidR="00F32479" w:rsidRDefault="00F32479" w:rsidP="00E044D3">
      <w:pPr>
        <w:spacing w:after="0" w:line="240" w:lineRule="auto"/>
        <w:jc w:val="both"/>
        <w:rPr>
          <w:rStyle w:val="Emphasis"/>
          <w:rFonts w:ascii="StobiSerif Regular" w:hAnsi="StobiSerif Regular"/>
          <w:i w:val="0"/>
          <w:lang w:val="en-US"/>
        </w:rPr>
      </w:pPr>
    </w:p>
    <w:p w:rsidR="00F32479" w:rsidRDefault="00F32479" w:rsidP="00E044D3">
      <w:pPr>
        <w:spacing w:after="0" w:line="240" w:lineRule="auto"/>
        <w:jc w:val="both"/>
        <w:rPr>
          <w:rStyle w:val="Emphasis"/>
          <w:rFonts w:ascii="StobiSerif Regular" w:hAnsi="StobiSerif Regular"/>
          <w:i w:val="0"/>
          <w:lang w:val="en-US"/>
        </w:rPr>
      </w:pPr>
    </w:p>
    <w:p w:rsidR="00F32479" w:rsidRDefault="00F32479" w:rsidP="00E044D3">
      <w:pPr>
        <w:spacing w:after="0" w:line="240" w:lineRule="auto"/>
        <w:jc w:val="both"/>
        <w:rPr>
          <w:rStyle w:val="Emphasis"/>
          <w:rFonts w:ascii="StobiSerif Regular" w:hAnsi="StobiSerif Regular"/>
          <w:i w:val="0"/>
          <w:lang w:val="en-US"/>
        </w:rPr>
      </w:pPr>
    </w:p>
    <w:p w:rsidR="00F32479" w:rsidRDefault="00F32479" w:rsidP="00E044D3">
      <w:pPr>
        <w:spacing w:after="0" w:line="240" w:lineRule="auto"/>
        <w:jc w:val="both"/>
        <w:rPr>
          <w:rStyle w:val="Emphasis"/>
          <w:rFonts w:ascii="StobiSerif Regular" w:hAnsi="StobiSerif Regular"/>
          <w:i w:val="0"/>
          <w:lang w:val="en-US"/>
        </w:rPr>
      </w:pPr>
    </w:p>
    <w:p w:rsidR="00DF4405" w:rsidRPr="00F32479" w:rsidRDefault="00DF4405" w:rsidP="000B7320">
      <w:pPr>
        <w:spacing w:after="0" w:line="240" w:lineRule="auto"/>
        <w:jc w:val="both"/>
        <w:rPr>
          <w:rStyle w:val="Emphasis"/>
          <w:rFonts w:ascii="Arial" w:hAnsi="Arial" w:cs="Arial"/>
          <w:b/>
          <w:i w:val="0"/>
          <w:sz w:val="24"/>
          <w:lang w:val="en-US"/>
        </w:rPr>
      </w:pPr>
      <w:r w:rsidRPr="00F32479">
        <w:rPr>
          <w:rStyle w:val="Emphasis"/>
          <w:rFonts w:ascii="Arial" w:hAnsi="Arial" w:cs="Arial"/>
          <w:b/>
          <w:i w:val="0"/>
          <w:sz w:val="24"/>
          <w:lang w:val="en-US"/>
        </w:rPr>
        <w:lastRenderedPageBreak/>
        <w:t>Human Resources</w:t>
      </w:r>
    </w:p>
    <w:p w:rsidR="00DF4405" w:rsidRPr="00F32479" w:rsidRDefault="00DF4405" w:rsidP="000B7320">
      <w:pPr>
        <w:pStyle w:val="ListParagraph"/>
        <w:spacing w:after="160" w:line="259" w:lineRule="auto"/>
        <w:jc w:val="both"/>
        <w:rPr>
          <w:rFonts w:ascii="Arial" w:hAnsi="Arial" w:cs="Arial"/>
        </w:rPr>
      </w:pPr>
      <w:r w:rsidRPr="00F32479">
        <w:rPr>
          <w:rFonts w:ascii="Arial" w:hAnsi="Arial" w:cs="Arial"/>
        </w:rPr>
        <w:t>Staff situation in AFSARD</w:t>
      </w:r>
    </w:p>
    <w:p w:rsidR="00DF4405" w:rsidRPr="00F32479" w:rsidRDefault="00DF4405" w:rsidP="00DF4405">
      <w:pPr>
        <w:pStyle w:val="ListParagraph"/>
        <w:numPr>
          <w:ilvl w:val="1"/>
          <w:numId w:val="9"/>
        </w:numPr>
        <w:spacing w:after="160" w:line="259" w:lineRule="auto"/>
        <w:jc w:val="both"/>
        <w:rPr>
          <w:rFonts w:ascii="Arial" w:hAnsi="Arial" w:cs="Arial"/>
        </w:rPr>
      </w:pPr>
      <w:r w:rsidRPr="00F32479">
        <w:rPr>
          <w:rFonts w:ascii="Arial" w:hAnsi="Arial" w:cs="Arial"/>
        </w:rPr>
        <w:t>285 systematized work posts</w:t>
      </w:r>
    </w:p>
    <w:p w:rsidR="00DF4405" w:rsidRPr="00F32479" w:rsidRDefault="00DF4405" w:rsidP="00DF4405">
      <w:pPr>
        <w:pStyle w:val="ListParagraph"/>
        <w:numPr>
          <w:ilvl w:val="1"/>
          <w:numId w:val="9"/>
        </w:numPr>
        <w:spacing w:after="160" w:line="259" w:lineRule="auto"/>
        <w:jc w:val="both"/>
        <w:rPr>
          <w:rFonts w:ascii="Arial" w:hAnsi="Arial" w:cs="Arial"/>
        </w:rPr>
      </w:pPr>
      <w:r w:rsidRPr="00F32479">
        <w:rPr>
          <w:rFonts w:ascii="Arial" w:hAnsi="Arial" w:cs="Arial"/>
        </w:rPr>
        <w:t>229 employees in total + Director and Deputy director</w:t>
      </w:r>
    </w:p>
    <w:p w:rsidR="00DF4405" w:rsidRPr="00F32479" w:rsidRDefault="00DF4405" w:rsidP="00DF4405">
      <w:pPr>
        <w:pStyle w:val="ListParagraph"/>
        <w:numPr>
          <w:ilvl w:val="2"/>
          <w:numId w:val="9"/>
        </w:numPr>
        <w:spacing w:after="160" w:line="259" w:lineRule="auto"/>
        <w:jc w:val="both"/>
        <w:rPr>
          <w:rFonts w:ascii="Arial" w:hAnsi="Arial" w:cs="Arial"/>
        </w:rPr>
      </w:pPr>
      <w:r w:rsidRPr="00F32479">
        <w:rPr>
          <w:rFonts w:ascii="Arial" w:hAnsi="Arial" w:cs="Arial"/>
        </w:rPr>
        <w:t>181 permanently employed (of these, 12 are new employees starting from January, 2019 - 11 working on IPARD and 1 working in the Sector for IT)</w:t>
      </w:r>
    </w:p>
    <w:p w:rsidR="00DF4405" w:rsidRPr="00F32479" w:rsidRDefault="00DF4405" w:rsidP="00DF4405">
      <w:pPr>
        <w:pStyle w:val="ListParagraph"/>
        <w:numPr>
          <w:ilvl w:val="2"/>
          <w:numId w:val="9"/>
        </w:numPr>
        <w:spacing w:after="160" w:line="259" w:lineRule="auto"/>
        <w:jc w:val="both"/>
        <w:rPr>
          <w:rFonts w:ascii="Arial" w:hAnsi="Arial" w:cs="Arial"/>
        </w:rPr>
      </w:pPr>
      <w:r w:rsidRPr="00F32479">
        <w:rPr>
          <w:rFonts w:ascii="Arial" w:hAnsi="Arial" w:cs="Arial"/>
        </w:rPr>
        <w:t>27 employed on temporary basis (21 on IPARD, 4 in the Sector for IT, 1 in the office of the Director and 1 in the Unit for budgetary control)</w:t>
      </w:r>
    </w:p>
    <w:p w:rsidR="00DF4405" w:rsidRPr="00F32479" w:rsidRDefault="00DF4405" w:rsidP="00DF4405">
      <w:pPr>
        <w:pStyle w:val="ListParagraph"/>
        <w:numPr>
          <w:ilvl w:val="2"/>
          <w:numId w:val="9"/>
        </w:numPr>
        <w:spacing w:after="160" w:line="259" w:lineRule="auto"/>
        <w:jc w:val="both"/>
        <w:rPr>
          <w:rFonts w:ascii="Arial" w:hAnsi="Arial" w:cs="Arial"/>
        </w:rPr>
      </w:pPr>
      <w:r w:rsidRPr="00F32479">
        <w:rPr>
          <w:rFonts w:ascii="Arial" w:hAnsi="Arial" w:cs="Arial"/>
        </w:rPr>
        <w:t>21 employed on contractual basis (for the implementation of the National Programs)</w:t>
      </w:r>
    </w:p>
    <w:p w:rsidR="00DF4405" w:rsidRPr="00F32479" w:rsidRDefault="00DF4405" w:rsidP="00DF4405">
      <w:pPr>
        <w:pStyle w:val="ListParagraph"/>
        <w:numPr>
          <w:ilvl w:val="1"/>
          <w:numId w:val="9"/>
        </w:numPr>
        <w:spacing w:after="160" w:line="259" w:lineRule="auto"/>
        <w:jc w:val="both"/>
        <w:rPr>
          <w:rFonts w:ascii="Arial" w:hAnsi="Arial" w:cs="Arial"/>
        </w:rPr>
      </w:pPr>
      <w:r w:rsidRPr="00F32479">
        <w:rPr>
          <w:rFonts w:ascii="Arial" w:hAnsi="Arial" w:cs="Arial"/>
        </w:rPr>
        <w:t>118 employees working on the IPARD Program 2014-2020</w:t>
      </w:r>
    </w:p>
    <w:p w:rsidR="00DF4405" w:rsidRPr="00F32479" w:rsidRDefault="00DF4405" w:rsidP="00DF4405">
      <w:pPr>
        <w:pStyle w:val="ListParagraph"/>
        <w:numPr>
          <w:ilvl w:val="2"/>
          <w:numId w:val="9"/>
        </w:numPr>
        <w:spacing w:after="160" w:line="259" w:lineRule="auto"/>
        <w:jc w:val="both"/>
        <w:rPr>
          <w:rFonts w:ascii="Arial" w:hAnsi="Arial" w:cs="Arial"/>
        </w:rPr>
      </w:pPr>
      <w:r w:rsidRPr="00F32479">
        <w:rPr>
          <w:rFonts w:ascii="Arial" w:hAnsi="Arial" w:cs="Arial"/>
        </w:rPr>
        <w:t>97 permanently employed</w:t>
      </w:r>
    </w:p>
    <w:p w:rsidR="00DF4405" w:rsidRPr="00F32479" w:rsidRDefault="00DF4405" w:rsidP="00DF4405">
      <w:pPr>
        <w:pStyle w:val="ListParagraph"/>
        <w:numPr>
          <w:ilvl w:val="2"/>
          <w:numId w:val="9"/>
        </w:numPr>
        <w:spacing w:after="120" w:line="240" w:lineRule="auto"/>
        <w:jc w:val="both"/>
        <w:rPr>
          <w:rFonts w:ascii="Arial" w:hAnsi="Arial" w:cs="Arial"/>
        </w:rPr>
      </w:pPr>
      <w:r w:rsidRPr="00F32479">
        <w:rPr>
          <w:rFonts w:ascii="Arial" w:hAnsi="Arial" w:cs="Arial"/>
        </w:rPr>
        <w:t>21 employed on temporary basis</w:t>
      </w:r>
    </w:p>
    <w:p w:rsidR="00DF4405" w:rsidRPr="00F32479" w:rsidRDefault="00DF4405" w:rsidP="00DF4405">
      <w:pPr>
        <w:pStyle w:val="ListParagraph"/>
        <w:spacing w:after="120" w:line="240" w:lineRule="auto"/>
        <w:ind w:left="1440"/>
        <w:jc w:val="both"/>
        <w:rPr>
          <w:rFonts w:ascii="Arial" w:hAnsi="Arial" w:cs="Arial"/>
        </w:rPr>
      </w:pPr>
    </w:p>
    <w:p w:rsidR="00DF4405" w:rsidRPr="00F32479" w:rsidRDefault="00DF4405" w:rsidP="000B7320">
      <w:pPr>
        <w:pStyle w:val="ListParagraph"/>
        <w:spacing w:after="120" w:line="240" w:lineRule="auto"/>
        <w:jc w:val="both"/>
        <w:rPr>
          <w:rFonts w:ascii="Arial" w:hAnsi="Arial" w:cs="Arial"/>
        </w:rPr>
      </w:pPr>
      <w:r w:rsidRPr="00F32479">
        <w:rPr>
          <w:rFonts w:ascii="Arial" w:hAnsi="Arial" w:cs="Arial"/>
        </w:rPr>
        <w:t>On-going procedures for employment</w:t>
      </w:r>
    </w:p>
    <w:p w:rsidR="00DF4405" w:rsidRPr="00F32479" w:rsidRDefault="00DF4405" w:rsidP="00DF4405">
      <w:pPr>
        <w:pStyle w:val="ListParagraph"/>
        <w:numPr>
          <w:ilvl w:val="1"/>
          <w:numId w:val="9"/>
        </w:numPr>
        <w:spacing w:after="120" w:line="240" w:lineRule="auto"/>
        <w:jc w:val="both"/>
        <w:rPr>
          <w:rFonts w:ascii="Arial" w:hAnsi="Arial" w:cs="Arial"/>
        </w:rPr>
      </w:pPr>
      <w:r w:rsidRPr="00F32479">
        <w:rPr>
          <w:rFonts w:ascii="Arial" w:hAnsi="Arial" w:cs="Arial"/>
        </w:rPr>
        <w:t>7 new employments (to be finalized by the end of May/beginning of June this year)</w:t>
      </w:r>
    </w:p>
    <w:p w:rsidR="00DF4405" w:rsidRPr="00F32479" w:rsidRDefault="00DF4405" w:rsidP="00DF4405">
      <w:pPr>
        <w:pStyle w:val="ListParagraph"/>
        <w:spacing w:after="120" w:line="240" w:lineRule="auto"/>
        <w:ind w:left="1440"/>
        <w:jc w:val="both"/>
        <w:rPr>
          <w:rFonts w:ascii="Arial" w:hAnsi="Arial" w:cs="Arial"/>
        </w:rPr>
      </w:pPr>
    </w:p>
    <w:p w:rsidR="00DF4405" w:rsidRPr="00F32479" w:rsidRDefault="00DF4405" w:rsidP="000B7320">
      <w:pPr>
        <w:pStyle w:val="ListParagraph"/>
        <w:spacing w:after="120" w:line="240" w:lineRule="auto"/>
        <w:jc w:val="both"/>
        <w:rPr>
          <w:rFonts w:ascii="Arial" w:hAnsi="Arial" w:cs="Arial"/>
        </w:rPr>
      </w:pPr>
      <w:r w:rsidRPr="00F32479">
        <w:rPr>
          <w:rFonts w:ascii="Arial" w:hAnsi="Arial" w:cs="Arial"/>
        </w:rPr>
        <w:t>Planned procedures for employment in 2019</w:t>
      </w:r>
    </w:p>
    <w:p w:rsidR="00DF4405" w:rsidRPr="00F32479" w:rsidRDefault="00DF4405" w:rsidP="00DF4405">
      <w:pPr>
        <w:pStyle w:val="ListParagraph"/>
        <w:numPr>
          <w:ilvl w:val="1"/>
          <w:numId w:val="9"/>
        </w:numPr>
        <w:spacing w:after="120" w:line="240" w:lineRule="auto"/>
        <w:jc w:val="both"/>
        <w:rPr>
          <w:rFonts w:ascii="Arial" w:hAnsi="Arial" w:cs="Arial"/>
        </w:rPr>
      </w:pPr>
      <w:r w:rsidRPr="00F32479">
        <w:rPr>
          <w:rFonts w:ascii="Arial" w:hAnsi="Arial" w:cs="Arial"/>
        </w:rPr>
        <w:t>21 new employments (to be finalized by July this year)</w:t>
      </w:r>
    </w:p>
    <w:p w:rsidR="00DF4405" w:rsidRPr="00F32479" w:rsidRDefault="00DF4405" w:rsidP="00DF4405">
      <w:pPr>
        <w:pStyle w:val="ListParagraph"/>
        <w:spacing w:after="120" w:line="240" w:lineRule="auto"/>
        <w:ind w:left="1440"/>
        <w:jc w:val="both"/>
        <w:rPr>
          <w:rFonts w:ascii="Arial" w:hAnsi="Arial" w:cs="Arial"/>
        </w:rPr>
      </w:pPr>
    </w:p>
    <w:p w:rsidR="00DF4405" w:rsidRPr="00F32479" w:rsidRDefault="00DF4405" w:rsidP="000B7320">
      <w:pPr>
        <w:pStyle w:val="ListParagraph"/>
        <w:spacing w:after="120" w:line="240" w:lineRule="auto"/>
        <w:jc w:val="both"/>
        <w:rPr>
          <w:rFonts w:ascii="Arial" w:hAnsi="Arial" w:cs="Arial"/>
        </w:rPr>
      </w:pPr>
      <w:r w:rsidRPr="00F32479">
        <w:rPr>
          <w:rFonts w:ascii="Arial" w:hAnsi="Arial" w:cs="Arial"/>
        </w:rPr>
        <w:t>Promotions</w:t>
      </w:r>
    </w:p>
    <w:p w:rsidR="00DF4405" w:rsidRPr="00F32479" w:rsidRDefault="00DF4405" w:rsidP="00DF4405">
      <w:pPr>
        <w:pStyle w:val="ListParagraph"/>
        <w:numPr>
          <w:ilvl w:val="1"/>
          <w:numId w:val="9"/>
        </w:numPr>
        <w:spacing w:after="120" w:line="240" w:lineRule="auto"/>
        <w:jc w:val="both"/>
        <w:rPr>
          <w:rFonts w:ascii="Arial" w:hAnsi="Arial" w:cs="Arial"/>
        </w:rPr>
      </w:pPr>
      <w:r w:rsidRPr="00F32479">
        <w:rPr>
          <w:rFonts w:ascii="Arial" w:hAnsi="Arial" w:cs="Arial"/>
        </w:rPr>
        <w:t>21 promotions finalized in 2018</w:t>
      </w:r>
      <w:r w:rsidRPr="00F32479">
        <w:rPr>
          <w:rFonts w:ascii="Arial" w:hAnsi="Arial" w:cs="Arial"/>
          <w:lang w:val="en-US"/>
        </w:rPr>
        <w:t xml:space="preserve"> (of which 15 directly linked with IPARD and 3 indirectly)</w:t>
      </w:r>
    </w:p>
    <w:p w:rsidR="00DF4405" w:rsidRPr="00F32479" w:rsidRDefault="00DF4405" w:rsidP="00DF4405">
      <w:pPr>
        <w:pStyle w:val="ListParagraph"/>
        <w:numPr>
          <w:ilvl w:val="1"/>
          <w:numId w:val="9"/>
        </w:numPr>
        <w:spacing w:after="120" w:line="240" w:lineRule="auto"/>
        <w:jc w:val="both"/>
        <w:rPr>
          <w:rFonts w:ascii="Arial" w:hAnsi="Arial" w:cs="Arial"/>
        </w:rPr>
      </w:pPr>
      <w:r w:rsidRPr="00F32479">
        <w:rPr>
          <w:rFonts w:ascii="Arial" w:hAnsi="Arial" w:cs="Arial"/>
        </w:rPr>
        <w:t xml:space="preserve">3 on-going (to be finalized by the end of May/beginning of June this year) </w:t>
      </w:r>
      <w:r w:rsidRPr="00F32479">
        <w:rPr>
          <w:rFonts w:ascii="Arial" w:hAnsi="Arial" w:cs="Arial"/>
          <w:lang w:val="en-US"/>
        </w:rPr>
        <w:t xml:space="preserve">– of these 2 are directly linked with IPARD </w:t>
      </w:r>
    </w:p>
    <w:p w:rsidR="00DF4405" w:rsidRPr="00F32479" w:rsidRDefault="00DF4405" w:rsidP="00DF4405">
      <w:pPr>
        <w:pStyle w:val="ListParagraph"/>
        <w:numPr>
          <w:ilvl w:val="1"/>
          <w:numId w:val="9"/>
        </w:numPr>
        <w:spacing w:after="120" w:line="240" w:lineRule="auto"/>
        <w:jc w:val="both"/>
        <w:rPr>
          <w:rFonts w:ascii="Arial" w:hAnsi="Arial" w:cs="Arial"/>
        </w:rPr>
      </w:pPr>
      <w:r w:rsidRPr="00F32479">
        <w:rPr>
          <w:rFonts w:ascii="Arial" w:hAnsi="Arial" w:cs="Arial"/>
        </w:rPr>
        <w:t>5 planned for 2019 (to be finalized by September this year)</w:t>
      </w:r>
    </w:p>
    <w:p w:rsidR="00DF4405" w:rsidRPr="00F32479" w:rsidRDefault="00DF4405" w:rsidP="00DF4405">
      <w:pPr>
        <w:pStyle w:val="ListParagraph"/>
        <w:spacing w:after="120" w:line="240" w:lineRule="auto"/>
        <w:ind w:left="1440"/>
        <w:jc w:val="both"/>
        <w:rPr>
          <w:rFonts w:ascii="Arial" w:hAnsi="Arial" w:cs="Arial"/>
        </w:rPr>
      </w:pPr>
    </w:p>
    <w:p w:rsidR="00DF4405" w:rsidRPr="00F32479" w:rsidRDefault="00DF4405" w:rsidP="000B7320">
      <w:pPr>
        <w:pStyle w:val="ListParagraph"/>
        <w:spacing w:after="120" w:line="240" w:lineRule="auto"/>
        <w:jc w:val="both"/>
        <w:rPr>
          <w:rFonts w:ascii="Arial" w:hAnsi="Arial" w:cs="Arial"/>
        </w:rPr>
      </w:pPr>
      <w:r w:rsidRPr="00F32479">
        <w:rPr>
          <w:rFonts w:ascii="Arial" w:hAnsi="Arial" w:cs="Arial"/>
        </w:rPr>
        <w:t>Turnover of staff</w:t>
      </w:r>
    </w:p>
    <w:p w:rsidR="00DF4405" w:rsidRPr="00F32479" w:rsidRDefault="00DF4405" w:rsidP="00DF4405">
      <w:pPr>
        <w:pStyle w:val="ListParagraph"/>
        <w:numPr>
          <w:ilvl w:val="1"/>
          <w:numId w:val="9"/>
        </w:numPr>
        <w:spacing w:after="120" w:line="240" w:lineRule="auto"/>
        <w:jc w:val="both"/>
        <w:rPr>
          <w:rFonts w:ascii="Arial" w:hAnsi="Arial" w:cs="Arial"/>
        </w:rPr>
      </w:pPr>
      <w:r w:rsidRPr="00F32479">
        <w:rPr>
          <w:rFonts w:ascii="Arial" w:hAnsi="Arial" w:cs="Arial"/>
        </w:rPr>
        <w:t>In 2018, 4 employees working on IPARD have left the Agency (3 junior associates and 1 advisor). From January, 2019 onwards, 2 permanent employees (junior associates from Sector for on-the-spot Control and Unit for Human Resources Management) and 1 temporary employee (from Unit for Public procurement) have left the Agency as well.</w:t>
      </w:r>
    </w:p>
    <w:p w:rsidR="00DF4405" w:rsidRPr="00F32479" w:rsidRDefault="00DF4405" w:rsidP="00DF4405">
      <w:pPr>
        <w:pStyle w:val="ListParagraph"/>
        <w:spacing w:after="120" w:line="240" w:lineRule="auto"/>
        <w:ind w:left="1440"/>
        <w:jc w:val="both"/>
        <w:rPr>
          <w:rFonts w:ascii="Arial" w:hAnsi="Arial" w:cs="Arial"/>
        </w:rPr>
      </w:pPr>
    </w:p>
    <w:p w:rsidR="00DF4405" w:rsidRPr="00F32479" w:rsidRDefault="00DF4405" w:rsidP="000B7320">
      <w:pPr>
        <w:spacing w:after="120" w:line="240" w:lineRule="auto"/>
        <w:jc w:val="both"/>
        <w:rPr>
          <w:rFonts w:ascii="Arial" w:hAnsi="Arial" w:cs="Arial"/>
        </w:rPr>
      </w:pPr>
      <w:r w:rsidRPr="00F32479">
        <w:rPr>
          <w:rFonts w:ascii="Arial" w:hAnsi="Arial" w:cs="Arial"/>
        </w:rPr>
        <w:t>Staff situation per organizational unit (IPARD structure)</w:t>
      </w:r>
    </w:p>
    <w:p w:rsidR="00DF4405" w:rsidRPr="0039519A" w:rsidRDefault="00DF4405" w:rsidP="00DF4405">
      <w:pPr>
        <w:pStyle w:val="ListParagraph"/>
        <w:spacing w:after="120" w:line="240" w:lineRule="auto"/>
        <w:jc w:val="both"/>
        <w:rPr>
          <w:rFonts w:ascii="StobiSerif Regular" w:hAnsi="StobiSerif Regular"/>
        </w:rPr>
      </w:pPr>
    </w:p>
    <w:tbl>
      <w:tblPr>
        <w:tblStyle w:val="TableGrid"/>
        <w:tblW w:w="0" w:type="auto"/>
        <w:tblInd w:w="720" w:type="dxa"/>
        <w:tblLook w:val="04A0" w:firstRow="1" w:lastRow="0" w:firstColumn="1" w:lastColumn="0" w:noHBand="0" w:noVBand="1"/>
      </w:tblPr>
      <w:tblGrid>
        <w:gridCol w:w="1948"/>
        <w:gridCol w:w="1325"/>
        <w:gridCol w:w="1490"/>
        <w:gridCol w:w="1769"/>
        <w:gridCol w:w="1764"/>
      </w:tblGrid>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Organizational unit</w:t>
            </w:r>
          </w:p>
        </w:tc>
        <w:tc>
          <w:tcPr>
            <w:tcW w:w="1414"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Total</w:t>
            </w:r>
          </w:p>
        </w:tc>
        <w:tc>
          <w:tcPr>
            <w:tcW w:w="1579"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IPARD</w:t>
            </w:r>
          </w:p>
        </w:tc>
        <w:tc>
          <w:tcPr>
            <w:tcW w:w="1832"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 xml:space="preserve">Permanent employee IPARD </w:t>
            </w:r>
            <w:r w:rsidRPr="00F32479">
              <w:rPr>
                <w:rFonts w:ascii="Arial" w:hAnsi="Arial" w:cs="Arial"/>
              </w:rPr>
              <w:t>(in brackets new employees from January, 2019)</w:t>
            </w:r>
          </w:p>
        </w:tc>
        <w:tc>
          <w:tcPr>
            <w:tcW w:w="1826"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Temporary employee IPARD</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Unit for Human Resources Management</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4</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4</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4 (1)</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Sector for Internal Audit</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8</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8</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8 (1)</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lastRenderedPageBreak/>
              <w:t>Sector for Project Approval</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42</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34</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26 (4)</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8</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Sector for Authorization of Payments</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23</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16</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13 (3)</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3</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Sector for on-the-spot Control</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47</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21</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19</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2</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Sector for Financial Affairs</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19</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11</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10 (1)</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Sector for General and Legal Affairs</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20</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14</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9</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5</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Sector for Registers</w:t>
            </w:r>
          </w:p>
        </w:tc>
        <w:tc>
          <w:tcPr>
            <w:tcW w:w="1414"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10</w:t>
            </w:r>
          </w:p>
        </w:tc>
        <w:tc>
          <w:tcPr>
            <w:tcW w:w="1579"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10</w:t>
            </w:r>
          </w:p>
        </w:tc>
        <w:tc>
          <w:tcPr>
            <w:tcW w:w="1832"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8 (1)</w:t>
            </w:r>
          </w:p>
        </w:tc>
        <w:tc>
          <w:tcPr>
            <w:tcW w:w="1826" w:type="dxa"/>
          </w:tcPr>
          <w:p w:rsidR="00DF4405" w:rsidRPr="00F32479" w:rsidRDefault="00DF4405" w:rsidP="00DF4405">
            <w:pPr>
              <w:pStyle w:val="ListParagraph"/>
              <w:spacing w:after="120"/>
              <w:ind w:left="0"/>
              <w:jc w:val="both"/>
              <w:rPr>
                <w:rFonts w:ascii="Arial" w:hAnsi="Arial" w:cs="Arial"/>
              </w:rPr>
            </w:pPr>
            <w:r w:rsidRPr="00F32479">
              <w:rPr>
                <w:rFonts w:ascii="Arial" w:hAnsi="Arial" w:cs="Arial"/>
              </w:rPr>
              <w:t>2</w:t>
            </w:r>
          </w:p>
        </w:tc>
      </w:tr>
      <w:tr w:rsidR="00DF4405" w:rsidRPr="00F32479" w:rsidTr="00DF4405">
        <w:tc>
          <w:tcPr>
            <w:tcW w:w="1979"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TOTAL</w:t>
            </w:r>
          </w:p>
        </w:tc>
        <w:tc>
          <w:tcPr>
            <w:tcW w:w="1414"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173</w:t>
            </w:r>
          </w:p>
        </w:tc>
        <w:tc>
          <w:tcPr>
            <w:tcW w:w="1579"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118</w:t>
            </w:r>
          </w:p>
        </w:tc>
        <w:tc>
          <w:tcPr>
            <w:tcW w:w="1832"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97 (11)</w:t>
            </w:r>
          </w:p>
        </w:tc>
        <w:tc>
          <w:tcPr>
            <w:tcW w:w="1826" w:type="dxa"/>
          </w:tcPr>
          <w:p w:rsidR="00DF4405" w:rsidRPr="00F32479" w:rsidRDefault="00DF4405" w:rsidP="00DF4405">
            <w:pPr>
              <w:pStyle w:val="ListParagraph"/>
              <w:spacing w:after="120"/>
              <w:ind w:left="0"/>
              <w:jc w:val="both"/>
              <w:rPr>
                <w:rFonts w:ascii="Arial" w:hAnsi="Arial" w:cs="Arial"/>
                <w:b/>
              </w:rPr>
            </w:pPr>
            <w:r w:rsidRPr="00F32479">
              <w:rPr>
                <w:rFonts w:ascii="Arial" w:hAnsi="Arial" w:cs="Arial"/>
                <w:b/>
              </w:rPr>
              <w:t>21</w:t>
            </w:r>
          </w:p>
        </w:tc>
      </w:tr>
    </w:tbl>
    <w:p w:rsidR="00DF4405" w:rsidRPr="00F32479" w:rsidRDefault="00DF4405" w:rsidP="00DF4405">
      <w:pPr>
        <w:spacing w:after="120" w:line="240" w:lineRule="auto"/>
        <w:jc w:val="both"/>
        <w:rPr>
          <w:rFonts w:ascii="Arial" w:hAnsi="Arial" w:cs="Arial"/>
        </w:rPr>
      </w:pPr>
    </w:p>
    <w:p w:rsidR="00DF4405" w:rsidRPr="00F32479" w:rsidRDefault="00DF4405" w:rsidP="00DF4405">
      <w:pPr>
        <w:spacing w:after="120" w:line="240" w:lineRule="auto"/>
        <w:jc w:val="both"/>
        <w:rPr>
          <w:rFonts w:ascii="Arial" w:hAnsi="Arial" w:cs="Arial"/>
        </w:rPr>
      </w:pPr>
      <w:r w:rsidRPr="00F32479">
        <w:rPr>
          <w:rFonts w:ascii="Arial" w:hAnsi="Arial" w:cs="Arial"/>
        </w:rPr>
        <w:tab/>
        <w:t>Sector for Direct Payments in Agriculture – 20 employees.</w:t>
      </w:r>
    </w:p>
    <w:p w:rsidR="00DF4405" w:rsidRPr="00F32479" w:rsidRDefault="00DF4405" w:rsidP="00DF4405">
      <w:pPr>
        <w:spacing w:after="120" w:line="240" w:lineRule="auto"/>
        <w:jc w:val="both"/>
        <w:rPr>
          <w:rFonts w:ascii="Arial" w:hAnsi="Arial" w:cs="Arial"/>
        </w:rPr>
      </w:pPr>
      <w:r w:rsidRPr="00F32479">
        <w:rPr>
          <w:rFonts w:ascii="Arial" w:hAnsi="Arial" w:cs="Arial"/>
        </w:rPr>
        <w:tab/>
        <w:t>Sector for Information and Communication Technology – 8 employees.</w:t>
      </w:r>
    </w:p>
    <w:p w:rsidR="00DF4405" w:rsidRPr="00F32479" w:rsidRDefault="00DF4405" w:rsidP="00DF4405">
      <w:pPr>
        <w:spacing w:after="120" w:line="240" w:lineRule="auto"/>
        <w:jc w:val="both"/>
        <w:rPr>
          <w:rFonts w:ascii="Arial" w:hAnsi="Arial" w:cs="Arial"/>
        </w:rPr>
      </w:pPr>
      <w:r w:rsidRPr="00F32479">
        <w:rPr>
          <w:rFonts w:ascii="Arial" w:hAnsi="Arial" w:cs="Arial"/>
        </w:rPr>
        <w:tab/>
        <w:t>Sector for Analytics and Director Support – 7 employees.</w:t>
      </w:r>
    </w:p>
    <w:p w:rsidR="00DF4405" w:rsidRPr="00F32479" w:rsidRDefault="00DF4405" w:rsidP="00DF4405">
      <w:pPr>
        <w:spacing w:after="120" w:line="240" w:lineRule="auto"/>
        <w:jc w:val="both"/>
        <w:rPr>
          <w:rFonts w:ascii="Arial" w:hAnsi="Arial" w:cs="Arial"/>
          <w:b/>
        </w:rPr>
      </w:pPr>
      <w:r w:rsidRPr="00F32479">
        <w:rPr>
          <w:rFonts w:ascii="Arial" w:hAnsi="Arial" w:cs="Arial"/>
        </w:rPr>
        <w:tab/>
      </w:r>
      <w:r w:rsidRPr="00F32479">
        <w:rPr>
          <w:rFonts w:ascii="Arial" w:hAnsi="Arial" w:cs="Arial"/>
          <w:b/>
        </w:rPr>
        <w:t>Total: 208 employees without 21 employed on contractual basis.</w:t>
      </w:r>
    </w:p>
    <w:p w:rsidR="00570647" w:rsidRPr="00F32479" w:rsidRDefault="00570647" w:rsidP="00DF4405">
      <w:pPr>
        <w:spacing w:after="120" w:line="240" w:lineRule="auto"/>
        <w:jc w:val="both"/>
        <w:rPr>
          <w:rFonts w:ascii="Arial" w:hAnsi="Arial" w:cs="Arial"/>
          <w:b/>
        </w:rPr>
      </w:pPr>
    </w:p>
    <w:p w:rsidR="00DF4405" w:rsidRPr="00F32479" w:rsidRDefault="00DF4405" w:rsidP="000B7320">
      <w:pPr>
        <w:pStyle w:val="ListParagraph"/>
        <w:spacing w:after="120" w:line="240" w:lineRule="auto"/>
        <w:jc w:val="both"/>
        <w:rPr>
          <w:rFonts w:ascii="Arial" w:hAnsi="Arial" w:cs="Arial"/>
        </w:rPr>
      </w:pPr>
      <w:r w:rsidRPr="00F32479">
        <w:rPr>
          <w:rFonts w:ascii="Arial" w:hAnsi="Arial" w:cs="Arial"/>
          <w:lang w:val="en-US"/>
        </w:rPr>
        <w:t xml:space="preserve">Trainings - under the EU Twinning project “Further strengthening of AFSARD and preparing the Agency for the programming period 2014-2020” (Twining project number MK 11/PA/AG/01/05), 20 trainings, including 3 study visits, on subjects relevant to IPARD were carried out in 2016 and 2017 for approximately 120 administrative civil servants in the Agency. </w:t>
      </w:r>
    </w:p>
    <w:p w:rsidR="00DF4405" w:rsidRPr="00F32479" w:rsidRDefault="00DF4405" w:rsidP="00DF4405">
      <w:pPr>
        <w:pStyle w:val="ListParagraph"/>
        <w:spacing w:after="120" w:line="240" w:lineRule="auto"/>
        <w:jc w:val="both"/>
        <w:rPr>
          <w:rFonts w:ascii="Arial" w:hAnsi="Arial" w:cs="Arial"/>
        </w:rPr>
      </w:pPr>
      <w:r w:rsidRPr="00F32479">
        <w:rPr>
          <w:rFonts w:ascii="Arial" w:hAnsi="Arial" w:cs="Arial"/>
          <w:lang w:val="en-US"/>
        </w:rPr>
        <w:t xml:space="preserve">The Review mission for this project, supported by TAIEX (TAIEX event number AGR IND/EXP 66680), has suggested a series of TAIEX missions on topics related to IPARD as a follow up. The exact topics and types of trainings should be communicated, through national authorities, to the Delegation of the European Commission in May/June this year. </w:t>
      </w:r>
    </w:p>
    <w:p w:rsidR="00DF4405" w:rsidRPr="00F32479" w:rsidRDefault="00DF4405" w:rsidP="000B7320">
      <w:pPr>
        <w:pStyle w:val="ListParagraph"/>
        <w:spacing w:after="120" w:line="240" w:lineRule="auto"/>
        <w:jc w:val="both"/>
        <w:rPr>
          <w:rFonts w:ascii="Arial" w:hAnsi="Arial" w:cs="Arial"/>
          <w:lang w:val="en-US"/>
        </w:rPr>
      </w:pPr>
      <w:r w:rsidRPr="00F32479">
        <w:rPr>
          <w:rFonts w:ascii="Arial" w:hAnsi="Arial" w:cs="Arial"/>
        </w:rPr>
        <w:t>A Policy for staff retention should be elaborated by NAO and NIPAC.</w:t>
      </w:r>
      <w:r w:rsidRPr="00F32479">
        <w:rPr>
          <w:rFonts w:ascii="Arial" w:hAnsi="Arial" w:cs="Arial"/>
          <w:lang w:val="en-US"/>
        </w:rPr>
        <w:t xml:space="preserve"> </w:t>
      </w:r>
    </w:p>
    <w:p w:rsidR="00570647" w:rsidRPr="00F32479" w:rsidRDefault="00B10BAD" w:rsidP="000B7320">
      <w:pPr>
        <w:spacing w:after="120" w:line="240" w:lineRule="auto"/>
        <w:jc w:val="both"/>
        <w:rPr>
          <w:rFonts w:ascii="Arial" w:hAnsi="Arial" w:cs="Arial"/>
          <w:b/>
          <w:sz w:val="24"/>
          <w:lang w:val="en-US"/>
        </w:rPr>
      </w:pPr>
      <w:r w:rsidRPr="00F32479">
        <w:rPr>
          <w:rFonts w:ascii="Arial" w:hAnsi="Arial" w:cs="Arial"/>
          <w:b/>
          <w:sz w:val="24"/>
          <w:lang w:val="en-US"/>
        </w:rPr>
        <w:t>Financial data regarding implementation of the IPARD II Program</w:t>
      </w:r>
      <w:r w:rsidR="00F32479">
        <w:rPr>
          <w:rFonts w:ascii="Arial" w:hAnsi="Arial" w:cs="Arial"/>
          <w:b/>
          <w:sz w:val="24"/>
        </w:rPr>
        <w:t>me</w:t>
      </w:r>
      <w:r w:rsidRPr="00F32479">
        <w:rPr>
          <w:rFonts w:ascii="Arial" w:hAnsi="Arial" w:cs="Arial"/>
          <w:b/>
          <w:sz w:val="24"/>
          <w:lang w:val="en-US"/>
        </w:rPr>
        <w:t>; especially related to realization of the financial allocation of the 2015 and 2016.</w:t>
      </w:r>
    </w:p>
    <w:p w:rsidR="00B10BAD" w:rsidRPr="00F32479" w:rsidRDefault="00B10BAD" w:rsidP="000B7320">
      <w:pPr>
        <w:spacing w:after="120" w:line="240" w:lineRule="auto"/>
        <w:jc w:val="both"/>
        <w:rPr>
          <w:rFonts w:ascii="Arial" w:hAnsi="Arial" w:cs="Arial"/>
          <w:lang w:val="en-US"/>
        </w:rPr>
      </w:pPr>
      <w:r w:rsidRPr="00F32479">
        <w:rPr>
          <w:rFonts w:ascii="Arial" w:hAnsi="Arial" w:cs="Arial"/>
          <w:lang w:val="en-US"/>
        </w:rPr>
        <w:t>Taking into consideration the commitments taken from the contracts signed for financial support, according</w:t>
      </w:r>
      <w:r w:rsidR="00EC7578" w:rsidRPr="00F32479">
        <w:rPr>
          <w:rFonts w:ascii="Arial" w:hAnsi="Arial" w:cs="Arial"/>
          <w:lang w:val="en-US"/>
        </w:rPr>
        <w:t xml:space="preserve"> to the final date for realization of the investments stated in the contracts</w:t>
      </w:r>
      <w:r w:rsidR="00886AE6" w:rsidRPr="00F32479">
        <w:rPr>
          <w:rFonts w:ascii="Arial" w:hAnsi="Arial" w:cs="Arial"/>
          <w:lang w:val="en-US"/>
        </w:rPr>
        <w:t xml:space="preserve"> as well as according to the already submitted claim for payments and executed payments to the final beneficiaries, Agency has performed indicative forecast of payments for 2019. According to this assessment also can be determined the risk of de-commitment for the financial years 2014, 2015 and 2016. The table for forecast of payments for 2019 is annex of this document.</w:t>
      </w:r>
    </w:p>
    <w:p w:rsidR="00B10BAD" w:rsidRPr="000B7320" w:rsidRDefault="00B10BAD" w:rsidP="000B7320">
      <w:pPr>
        <w:spacing w:after="120" w:line="240" w:lineRule="auto"/>
        <w:jc w:val="both"/>
        <w:rPr>
          <w:rFonts w:ascii="StobiSerif Regular" w:hAnsi="StobiSerif Regular"/>
          <w:b/>
          <w:lang w:val="en-US"/>
        </w:rPr>
      </w:pPr>
    </w:p>
    <w:p w:rsidR="00DF4405" w:rsidRPr="00F32479" w:rsidRDefault="00DF4405" w:rsidP="00DF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lang w:val="en"/>
        </w:rPr>
      </w:pPr>
      <w:r w:rsidRPr="00F32479">
        <w:rPr>
          <w:rFonts w:ascii="Arial" w:eastAsia="Times New Roman" w:hAnsi="Arial" w:cs="Arial"/>
          <w:b/>
          <w:sz w:val="24"/>
          <w:lang w:val="en"/>
        </w:rPr>
        <w:t xml:space="preserve"> Status with accreditation of the rural public infrastructure measure</w:t>
      </w:r>
    </w:p>
    <w:p w:rsidR="00570647" w:rsidRPr="0039519A" w:rsidRDefault="00570647" w:rsidP="00DF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Courier New"/>
          <w:b/>
          <w:lang w:val="en"/>
        </w:rPr>
      </w:pPr>
    </w:p>
    <w:p w:rsidR="00DF4405" w:rsidRPr="00F32479" w:rsidRDefault="00DF4405" w:rsidP="00DF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rPr>
      </w:pPr>
      <w:r w:rsidRPr="00F32479">
        <w:rPr>
          <w:rFonts w:ascii="Arial" w:eastAsia="Times New Roman" w:hAnsi="Arial" w:cs="Arial"/>
          <w:lang w:val="en"/>
        </w:rPr>
        <w:t>Regarding the accreditation of the rural public infrastructure measure, the following activities have been agreed with the National Fund and the Managing Authority:</w:t>
      </w:r>
    </w:p>
    <w:p w:rsidR="00DF4405" w:rsidRPr="00F32479" w:rsidRDefault="00DF4405" w:rsidP="00DF4405">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rPr>
      </w:pPr>
      <w:r w:rsidRPr="00F32479">
        <w:rPr>
          <w:rFonts w:ascii="Arial" w:eastAsia="Times New Roman" w:hAnsi="Arial" w:cs="Arial"/>
          <w:lang w:val="en"/>
        </w:rPr>
        <w:lastRenderedPageBreak/>
        <w:t>finalization of the necessary employments for the realization of this measure by July 2019,</w:t>
      </w:r>
    </w:p>
    <w:p w:rsidR="00DF4405" w:rsidRPr="00F32479" w:rsidRDefault="00DF4405" w:rsidP="00DF4405">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F32479">
        <w:rPr>
          <w:rFonts w:ascii="Arial" w:eastAsia="Times New Roman" w:hAnsi="Arial" w:cs="Arial"/>
          <w:lang w:val="en"/>
        </w:rPr>
        <w:t>implementation of basic trainings for this measure (PRAG, fraud/irregularities etc.) in the period until September 2019 (depending on available experts and funds through the TAIEX instrument),</w:t>
      </w:r>
    </w:p>
    <w:p w:rsidR="00DF4405" w:rsidRPr="00F32479" w:rsidRDefault="00DF4405" w:rsidP="00DF4405">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
        </w:rPr>
      </w:pPr>
      <w:r w:rsidRPr="00F32479">
        <w:rPr>
          <w:rFonts w:ascii="Arial" w:eastAsia="Times New Roman" w:hAnsi="Arial" w:cs="Arial"/>
          <w:lang w:val="en"/>
        </w:rPr>
        <w:t>amendments to the Law on Establishment of the Agency for Financial Support of Agriculture and Rural Development - a draft law amending the mentioned law has already been published on the web portal of the Government of RNM - https://ener.gov.mk/ and</w:t>
      </w:r>
    </w:p>
    <w:p w:rsidR="00DF4405" w:rsidRPr="00F32479" w:rsidRDefault="00DF4405" w:rsidP="00DF4405">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
        </w:rPr>
      </w:pPr>
      <w:r w:rsidRPr="00F32479">
        <w:rPr>
          <w:rFonts w:ascii="Arial" w:eastAsia="Times New Roman" w:hAnsi="Arial" w:cs="Arial"/>
          <w:lang w:val="en"/>
        </w:rPr>
        <w:t>harmonization of the work procedures for implementing the rural public infrastructure measure with the comments of the European Commission's Directorate-General for Agriculture and Rural Development by 15.09.2019.</w:t>
      </w:r>
    </w:p>
    <w:p w:rsidR="000D4715" w:rsidRDefault="000D4715" w:rsidP="00E044D3">
      <w:pPr>
        <w:spacing w:after="0" w:line="240" w:lineRule="auto"/>
        <w:jc w:val="both"/>
        <w:rPr>
          <w:rStyle w:val="Emphasis"/>
          <w:rFonts w:ascii="StobiSerif Regular" w:hAnsi="StobiSerif Regular"/>
          <w:i w:val="0"/>
          <w:lang w:val="en-US"/>
        </w:rPr>
      </w:pPr>
    </w:p>
    <w:p w:rsidR="00DF4405" w:rsidRDefault="00DF4405" w:rsidP="00E044D3">
      <w:pPr>
        <w:spacing w:after="0" w:line="240" w:lineRule="auto"/>
        <w:jc w:val="both"/>
        <w:rPr>
          <w:rStyle w:val="Emphasis"/>
          <w:rFonts w:ascii="StobiSerif Regular" w:hAnsi="StobiSerif Regular"/>
          <w:i w:val="0"/>
          <w:lang w:val="en-US"/>
        </w:rPr>
      </w:pPr>
    </w:p>
    <w:p w:rsidR="00DF4405" w:rsidRDefault="00DF4405" w:rsidP="00E044D3">
      <w:pPr>
        <w:spacing w:after="0" w:line="240" w:lineRule="auto"/>
        <w:jc w:val="both"/>
        <w:rPr>
          <w:rStyle w:val="Emphasis"/>
          <w:rFonts w:ascii="StobiSerif Regular" w:hAnsi="StobiSerif Regular"/>
          <w:i w:val="0"/>
          <w:lang w:val="en-US"/>
        </w:rPr>
      </w:pPr>
    </w:p>
    <w:p w:rsidR="00E044D3" w:rsidRPr="00F32479" w:rsidRDefault="00AF0F09" w:rsidP="00E044D3">
      <w:pPr>
        <w:spacing w:after="0" w:line="240" w:lineRule="auto"/>
        <w:jc w:val="both"/>
        <w:rPr>
          <w:rStyle w:val="Emphasis"/>
          <w:rFonts w:ascii="Arial" w:hAnsi="Arial" w:cs="Arial"/>
          <w:i w:val="0"/>
          <w:lang w:val="en-US"/>
        </w:rPr>
      </w:pPr>
      <w:r w:rsidRPr="00F32479">
        <w:rPr>
          <w:rStyle w:val="Emphasis"/>
          <w:rFonts w:ascii="Arial" w:hAnsi="Arial" w:cs="Arial"/>
          <w:i w:val="0"/>
          <w:lang w:val="en-US"/>
        </w:rPr>
        <w:t xml:space="preserve">During the previous period, AFSARD </w:t>
      </w:r>
      <w:r w:rsidR="003C2C90" w:rsidRPr="00F32479">
        <w:rPr>
          <w:rStyle w:val="Emphasis"/>
          <w:rFonts w:ascii="Arial" w:hAnsi="Arial" w:cs="Arial"/>
          <w:i w:val="0"/>
          <w:lang w:val="en-US"/>
        </w:rPr>
        <w:t xml:space="preserve">continued with the </w:t>
      </w:r>
      <w:r w:rsidRPr="00F32479">
        <w:rPr>
          <w:rStyle w:val="Emphasis"/>
          <w:rFonts w:ascii="Arial" w:hAnsi="Arial" w:cs="Arial"/>
          <w:i w:val="0"/>
          <w:lang w:val="en-US"/>
        </w:rPr>
        <w:t xml:space="preserve">evaluation </w:t>
      </w:r>
      <w:r w:rsidR="003C2C90" w:rsidRPr="00F32479">
        <w:rPr>
          <w:rStyle w:val="Emphasis"/>
          <w:rFonts w:ascii="Arial" w:hAnsi="Arial" w:cs="Arial"/>
          <w:i w:val="0"/>
          <w:lang w:val="en-US"/>
        </w:rPr>
        <w:t>process for all</w:t>
      </w:r>
      <w:r w:rsidRPr="00F32479">
        <w:rPr>
          <w:rStyle w:val="Emphasis"/>
          <w:rFonts w:ascii="Arial" w:hAnsi="Arial" w:cs="Arial"/>
          <w:i w:val="0"/>
          <w:lang w:val="en-US"/>
        </w:rPr>
        <w:t xml:space="preserve"> received applications </w:t>
      </w:r>
      <w:r w:rsidR="00F16F07" w:rsidRPr="00F32479">
        <w:rPr>
          <w:rStyle w:val="Emphasis"/>
          <w:rFonts w:ascii="Arial" w:hAnsi="Arial" w:cs="Arial"/>
          <w:i w:val="0"/>
          <w:lang w:val="en-US"/>
        </w:rPr>
        <w:t xml:space="preserve">of measure 7 </w:t>
      </w:r>
      <w:r w:rsidRPr="00F32479">
        <w:rPr>
          <w:rStyle w:val="Emphasis"/>
          <w:rFonts w:ascii="Arial" w:hAnsi="Arial" w:cs="Arial"/>
          <w:i w:val="0"/>
          <w:lang w:val="en-US"/>
        </w:rPr>
        <w:t xml:space="preserve">under the first published public call from the IPARD </w:t>
      </w:r>
      <w:proofErr w:type="spellStart"/>
      <w:r w:rsidRPr="00F32479">
        <w:rPr>
          <w:rStyle w:val="Emphasis"/>
          <w:rFonts w:ascii="Arial" w:hAnsi="Arial" w:cs="Arial"/>
          <w:i w:val="0"/>
          <w:lang w:val="en-US"/>
        </w:rPr>
        <w:t>Programme</w:t>
      </w:r>
      <w:proofErr w:type="spellEnd"/>
      <w:r w:rsidRPr="00F32479">
        <w:rPr>
          <w:rStyle w:val="Emphasis"/>
          <w:rFonts w:ascii="Arial" w:hAnsi="Arial" w:cs="Arial"/>
          <w:i w:val="0"/>
          <w:lang w:val="en-US"/>
        </w:rPr>
        <w:t xml:space="preserve"> 2014-2020</w:t>
      </w:r>
      <w:r w:rsidR="00F16F07" w:rsidRPr="00F32479">
        <w:rPr>
          <w:rStyle w:val="Emphasis"/>
          <w:rFonts w:ascii="Arial" w:hAnsi="Arial" w:cs="Arial"/>
          <w:i w:val="0"/>
          <w:lang w:val="en-US"/>
        </w:rPr>
        <w:t xml:space="preserve"> and have signed contracts for financial support for all eligible applications</w:t>
      </w:r>
      <w:r w:rsidRPr="00F32479">
        <w:rPr>
          <w:rStyle w:val="Emphasis"/>
          <w:rFonts w:ascii="Arial" w:hAnsi="Arial" w:cs="Arial"/>
          <w:i w:val="0"/>
          <w:lang w:val="en-US"/>
        </w:rPr>
        <w:t xml:space="preserve">.  Currently, Agency for financial support in agriculture and rural development has </w:t>
      </w:r>
      <w:r w:rsidR="00DF4405" w:rsidRPr="00F32479">
        <w:rPr>
          <w:rStyle w:val="Emphasis"/>
          <w:rFonts w:ascii="Arial" w:hAnsi="Arial" w:cs="Arial"/>
          <w:i w:val="0"/>
          <w:lang w:val="en-US"/>
        </w:rPr>
        <w:t>90</w:t>
      </w:r>
      <w:r w:rsidR="00DF4405" w:rsidRPr="00F32479">
        <w:rPr>
          <w:rStyle w:val="Emphasis"/>
          <w:rFonts w:ascii="Arial" w:hAnsi="Arial" w:cs="Arial"/>
          <w:i w:val="0"/>
        </w:rPr>
        <w:t>1</w:t>
      </w:r>
      <w:r w:rsidR="00DF4405" w:rsidRPr="00F32479">
        <w:rPr>
          <w:rStyle w:val="Emphasis"/>
          <w:rFonts w:ascii="Arial" w:hAnsi="Arial" w:cs="Arial"/>
          <w:i w:val="0"/>
          <w:lang w:val="en-US"/>
        </w:rPr>
        <w:t xml:space="preserve"> </w:t>
      </w:r>
      <w:r w:rsidRPr="00F32479">
        <w:rPr>
          <w:rStyle w:val="Emphasis"/>
          <w:rFonts w:ascii="Arial" w:hAnsi="Arial" w:cs="Arial"/>
          <w:i w:val="0"/>
          <w:lang w:val="en-US"/>
        </w:rPr>
        <w:t xml:space="preserve">contracts signed for measure 1 and also </w:t>
      </w:r>
      <w:r w:rsidR="00910ECA" w:rsidRPr="00F32479">
        <w:rPr>
          <w:rStyle w:val="Emphasis"/>
          <w:rFonts w:ascii="Arial" w:hAnsi="Arial" w:cs="Arial"/>
          <w:i w:val="0"/>
          <w:lang w:val="en-US"/>
        </w:rPr>
        <w:t xml:space="preserve">31 </w:t>
      </w:r>
      <w:r w:rsidRPr="00F32479">
        <w:rPr>
          <w:rStyle w:val="Emphasis"/>
          <w:rFonts w:ascii="Arial" w:hAnsi="Arial" w:cs="Arial"/>
          <w:i w:val="0"/>
          <w:lang w:val="en-US"/>
        </w:rPr>
        <w:t>contracts for measure 3</w:t>
      </w:r>
      <w:r w:rsidR="00F16F07" w:rsidRPr="00F32479">
        <w:rPr>
          <w:rStyle w:val="Emphasis"/>
          <w:rFonts w:ascii="Arial" w:hAnsi="Arial" w:cs="Arial"/>
          <w:i w:val="0"/>
          <w:lang w:val="en-US"/>
        </w:rPr>
        <w:t>, as well as 23 contract of the measure 7</w:t>
      </w:r>
      <w:r w:rsidRPr="00F32479">
        <w:rPr>
          <w:rStyle w:val="Emphasis"/>
          <w:rFonts w:ascii="Arial" w:hAnsi="Arial" w:cs="Arial"/>
          <w:i w:val="0"/>
          <w:lang w:val="en-US"/>
        </w:rPr>
        <w:t>.</w:t>
      </w:r>
      <w:r w:rsidR="003C2C90" w:rsidRPr="00F32479">
        <w:rPr>
          <w:rStyle w:val="Emphasis"/>
          <w:rFonts w:ascii="Arial" w:hAnsi="Arial" w:cs="Arial"/>
          <w:i w:val="0"/>
          <w:lang w:val="en-US"/>
        </w:rPr>
        <w:t xml:space="preserve"> </w:t>
      </w:r>
      <w:r w:rsidR="00910ECA" w:rsidRPr="00F32479">
        <w:rPr>
          <w:rStyle w:val="Emphasis"/>
          <w:rFonts w:ascii="Arial" w:hAnsi="Arial" w:cs="Arial"/>
          <w:i w:val="0"/>
          <w:lang w:val="en-US"/>
        </w:rPr>
        <w:t xml:space="preserve"> </w:t>
      </w:r>
    </w:p>
    <w:p w:rsidR="00AF0F09" w:rsidRPr="00F32479" w:rsidRDefault="00910ECA" w:rsidP="00E044D3">
      <w:pPr>
        <w:spacing w:after="0" w:line="240" w:lineRule="auto"/>
        <w:jc w:val="both"/>
        <w:rPr>
          <w:rStyle w:val="Emphasis"/>
          <w:rFonts w:ascii="Arial" w:hAnsi="Arial" w:cs="Arial"/>
          <w:i w:val="0"/>
          <w:lang w:val="en-US"/>
        </w:rPr>
      </w:pPr>
      <w:r w:rsidRPr="00F32479">
        <w:rPr>
          <w:rStyle w:val="Emphasis"/>
          <w:rFonts w:ascii="Arial" w:hAnsi="Arial" w:cs="Arial"/>
          <w:i w:val="0"/>
          <w:lang w:val="en-US"/>
        </w:rPr>
        <w:t>Total Public Expenditure of the contracted projects</w:t>
      </w:r>
      <w:r w:rsidR="00AF0F09" w:rsidRPr="00F32479">
        <w:rPr>
          <w:rStyle w:val="Emphasis"/>
          <w:rFonts w:ascii="Arial" w:hAnsi="Arial" w:cs="Arial"/>
          <w:i w:val="0"/>
          <w:lang w:val="en-US"/>
        </w:rPr>
        <w:t xml:space="preserve"> for measure 1 is </w:t>
      </w:r>
      <w:r w:rsidR="00F16F07" w:rsidRPr="00F32479">
        <w:rPr>
          <w:rStyle w:val="Emphasis"/>
          <w:rFonts w:ascii="Arial" w:hAnsi="Arial" w:cs="Arial"/>
          <w:i w:val="0"/>
          <w:lang w:val="en-US"/>
        </w:rPr>
        <w:t xml:space="preserve">10.941.486,68 </w:t>
      </w:r>
      <w:proofErr w:type="gramStart"/>
      <w:r w:rsidR="00AF0F09" w:rsidRPr="00F32479">
        <w:rPr>
          <w:rStyle w:val="Emphasis"/>
          <w:rFonts w:ascii="Arial" w:hAnsi="Arial" w:cs="Arial"/>
          <w:i w:val="0"/>
          <w:lang w:val="en-US"/>
        </w:rPr>
        <w:t>( EU</w:t>
      </w:r>
      <w:proofErr w:type="gramEnd"/>
      <w:r w:rsidR="00AF0F09" w:rsidRPr="00F32479">
        <w:rPr>
          <w:rStyle w:val="Emphasis"/>
          <w:rFonts w:ascii="Arial" w:hAnsi="Arial" w:cs="Arial"/>
          <w:i w:val="0"/>
          <w:lang w:val="en-US"/>
        </w:rPr>
        <w:t xml:space="preserve"> contribution </w:t>
      </w:r>
      <w:r w:rsidR="00F16F07" w:rsidRPr="00F32479">
        <w:rPr>
          <w:rStyle w:val="Emphasis"/>
          <w:rFonts w:ascii="Arial" w:hAnsi="Arial" w:cs="Arial"/>
          <w:i w:val="0"/>
          <w:lang w:val="en-US"/>
        </w:rPr>
        <w:t xml:space="preserve">8.206.115,01 </w:t>
      </w:r>
      <w:r w:rsidRPr="00F32479">
        <w:rPr>
          <w:rStyle w:val="Emphasis"/>
          <w:rFonts w:ascii="Arial" w:hAnsi="Arial" w:cs="Arial"/>
          <w:i w:val="0"/>
          <w:lang w:val="en-US"/>
        </w:rPr>
        <w:t xml:space="preserve">€ </w:t>
      </w:r>
      <w:r w:rsidR="00677291" w:rsidRPr="00F32479">
        <w:rPr>
          <w:rStyle w:val="Emphasis"/>
          <w:rFonts w:ascii="Arial" w:hAnsi="Arial" w:cs="Arial"/>
          <w:i w:val="0"/>
          <w:lang w:val="en-US"/>
        </w:rPr>
        <w:t xml:space="preserve">). For measure 3, total amount of the </w:t>
      </w:r>
      <w:r w:rsidRPr="00F32479">
        <w:rPr>
          <w:rStyle w:val="Emphasis"/>
          <w:rFonts w:ascii="Arial" w:hAnsi="Arial" w:cs="Arial"/>
          <w:i w:val="0"/>
          <w:lang w:val="en-US"/>
        </w:rPr>
        <w:t xml:space="preserve">public expenditure </w:t>
      </w:r>
      <w:r w:rsidR="00677291" w:rsidRPr="00F32479">
        <w:rPr>
          <w:rStyle w:val="Emphasis"/>
          <w:rFonts w:ascii="Arial" w:hAnsi="Arial" w:cs="Arial"/>
          <w:i w:val="0"/>
          <w:lang w:val="en-US"/>
        </w:rPr>
        <w:t xml:space="preserve">of the contracted projects is </w:t>
      </w:r>
      <w:r w:rsidRPr="00F32479">
        <w:rPr>
          <w:rStyle w:val="Emphasis"/>
          <w:rFonts w:ascii="Arial" w:hAnsi="Arial" w:cs="Arial"/>
          <w:i w:val="0"/>
          <w:lang w:val="en-US"/>
        </w:rPr>
        <w:t xml:space="preserve">6.621.696,00 </w:t>
      </w:r>
      <w:proofErr w:type="gramStart"/>
      <w:r w:rsidRPr="00F32479">
        <w:rPr>
          <w:rStyle w:val="Emphasis"/>
          <w:rFonts w:ascii="Arial" w:hAnsi="Arial" w:cs="Arial"/>
          <w:i w:val="0"/>
          <w:lang w:val="en-US"/>
        </w:rPr>
        <w:t xml:space="preserve">€ </w:t>
      </w:r>
      <w:r w:rsidR="00677291" w:rsidRPr="00F32479">
        <w:rPr>
          <w:rStyle w:val="Emphasis"/>
          <w:rFonts w:ascii="Arial" w:hAnsi="Arial" w:cs="Arial"/>
          <w:i w:val="0"/>
          <w:lang w:val="en-US"/>
        </w:rPr>
        <w:t xml:space="preserve"> (</w:t>
      </w:r>
      <w:proofErr w:type="gramEnd"/>
      <w:r w:rsidR="00677291" w:rsidRPr="00F32479">
        <w:rPr>
          <w:rStyle w:val="Emphasis"/>
          <w:rFonts w:ascii="Arial" w:hAnsi="Arial" w:cs="Arial"/>
          <w:i w:val="0"/>
          <w:lang w:val="en-US"/>
        </w:rPr>
        <w:t xml:space="preserve"> EU contribution </w:t>
      </w:r>
      <w:r w:rsidRPr="00F32479">
        <w:rPr>
          <w:rStyle w:val="Emphasis"/>
          <w:rFonts w:ascii="Arial" w:hAnsi="Arial" w:cs="Arial"/>
          <w:i w:val="0"/>
          <w:lang w:val="en-US"/>
        </w:rPr>
        <w:t>4.966.272,00 €</w:t>
      </w:r>
      <w:r w:rsidR="00677291" w:rsidRPr="00F32479">
        <w:rPr>
          <w:rStyle w:val="Emphasis"/>
          <w:rFonts w:ascii="Arial" w:hAnsi="Arial" w:cs="Arial"/>
          <w:i w:val="0"/>
          <w:lang w:val="en-US"/>
        </w:rPr>
        <w:t>)</w:t>
      </w:r>
      <w:r w:rsidR="00F16F07" w:rsidRPr="00F32479">
        <w:rPr>
          <w:rStyle w:val="Emphasis"/>
          <w:rFonts w:ascii="Arial" w:hAnsi="Arial" w:cs="Arial"/>
          <w:i w:val="0"/>
          <w:lang w:val="en-US"/>
        </w:rPr>
        <w:t xml:space="preserve"> and for measure 7 total financial support is 4.297.194,64 € (3.222.895,98 € EU contribution)</w:t>
      </w:r>
      <w:r w:rsidR="00677291" w:rsidRPr="00F32479">
        <w:rPr>
          <w:rStyle w:val="Emphasis"/>
          <w:rFonts w:ascii="Arial" w:hAnsi="Arial" w:cs="Arial"/>
          <w:i w:val="0"/>
          <w:lang w:val="en-US"/>
        </w:rPr>
        <w:t xml:space="preserve">. </w:t>
      </w:r>
    </w:p>
    <w:p w:rsidR="00677291" w:rsidRPr="00F32479" w:rsidRDefault="00677291" w:rsidP="00E044D3">
      <w:pPr>
        <w:spacing w:after="0" w:line="240" w:lineRule="auto"/>
        <w:jc w:val="both"/>
        <w:rPr>
          <w:rStyle w:val="Emphasis"/>
          <w:rFonts w:ascii="Arial" w:hAnsi="Arial" w:cs="Arial"/>
          <w:i w:val="0"/>
          <w:lang w:val="en-US"/>
        </w:rPr>
      </w:pPr>
      <w:r w:rsidRPr="00F32479">
        <w:rPr>
          <w:rStyle w:val="Emphasis"/>
          <w:rFonts w:ascii="Arial" w:hAnsi="Arial" w:cs="Arial"/>
          <w:i w:val="0"/>
          <w:lang w:val="en-US"/>
        </w:rPr>
        <w:t xml:space="preserve">In the evaluation process, Agency has also issued </w:t>
      </w:r>
      <w:r w:rsidR="00F16F07" w:rsidRPr="00F32479">
        <w:rPr>
          <w:rStyle w:val="Emphasis"/>
          <w:rFonts w:ascii="Arial" w:hAnsi="Arial" w:cs="Arial"/>
          <w:i w:val="0"/>
          <w:lang w:val="en-US"/>
        </w:rPr>
        <w:t xml:space="preserve">504 </w:t>
      </w:r>
      <w:r w:rsidRPr="00F32479">
        <w:rPr>
          <w:rStyle w:val="Emphasis"/>
          <w:rFonts w:ascii="Arial" w:hAnsi="Arial" w:cs="Arial"/>
          <w:i w:val="0"/>
          <w:lang w:val="en-US"/>
        </w:rPr>
        <w:t xml:space="preserve">decisions for rejection of the application for measure </w:t>
      </w:r>
      <w:proofErr w:type="gramStart"/>
      <w:r w:rsidRPr="00F32479">
        <w:rPr>
          <w:rStyle w:val="Emphasis"/>
          <w:rFonts w:ascii="Arial" w:hAnsi="Arial" w:cs="Arial"/>
          <w:i w:val="0"/>
          <w:lang w:val="en-US"/>
        </w:rPr>
        <w:t xml:space="preserve">1,  </w:t>
      </w:r>
      <w:r w:rsidR="00DA02E4" w:rsidRPr="00F32479">
        <w:rPr>
          <w:rStyle w:val="Emphasis"/>
          <w:rFonts w:ascii="Arial" w:hAnsi="Arial" w:cs="Arial"/>
          <w:i w:val="0"/>
          <w:lang w:val="en-US"/>
        </w:rPr>
        <w:t>24</w:t>
      </w:r>
      <w:proofErr w:type="gramEnd"/>
      <w:r w:rsidR="00DA02E4" w:rsidRPr="00F32479">
        <w:rPr>
          <w:rStyle w:val="Emphasis"/>
          <w:rFonts w:ascii="Arial" w:hAnsi="Arial" w:cs="Arial"/>
          <w:i w:val="0"/>
          <w:lang w:val="en-US"/>
        </w:rPr>
        <w:t xml:space="preserve"> </w:t>
      </w:r>
      <w:r w:rsidRPr="00F32479">
        <w:rPr>
          <w:rStyle w:val="Emphasis"/>
          <w:rFonts w:ascii="Arial" w:hAnsi="Arial" w:cs="Arial"/>
          <w:i w:val="0"/>
          <w:lang w:val="en-US"/>
        </w:rPr>
        <w:t xml:space="preserve">decisions for rejection of  applications submitted under measure 3 and </w:t>
      </w:r>
      <w:r w:rsidR="00F16F07" w:rsidRPr="00F32479">
        <w:rPr>
          <w:rStyle w:val="Emphasis"/>
          <w:rFonts w:ascii="Arial" w:hAnsi="Arial" w:cs="Arial"/>
          <w:i w:val="0"/>
          <w:lang w:val="en-US"/>
        </w:rPr>
        <w:t xml:space="preserve">164 </w:t>
      </w:r>
      <w:r w:rsidRPr="00F32479">
        <w:rPr>
          <w:rStyle w:val="Emphasis"/>
          <w:rFonts w:ascii="Arial" w:hAnsi="Arial" w:cs="Arial"/>
          <w:i w:val="0"/>
          <w:lang w:val="en-US"/>
        </w:rPr>
        <w:t>decision for rejection  of applications submitted under measure 7.</w:t>
      </w:r>
    </w:p>
    <w:p w:rsidR="00E044D3" w:rsidRPr="00F32479" w:rsidRDefault="00677291" w:rsidP="00E044D3">
      <w:pPr>
        <w:spacing w:after="0" w:line="240" w:lineRule="auto"/>
        <w:jc w:val="both"/>
        <w:rPr>
          <w:rStyle w:val="Emphasis"/>
          <w:rFonts w:ascii="Arial" w:hAnsi="Arial" w:cs="Arial"/>
          <w:i w:val="0"/>
          <w:lang w:val="en-US"/>
        </w:rPr>
      </w:pPr>
      <w:r w:rsidRPr="00F32479">
        <w:rPr>
          <w:rStyle w:val="Emphasis"/>
          <w:rFonts w:ascii="Arial" w:hAnsi="Arial" w:cs="Arial"/>
          <w:i w:val="0"/>
          <w:lang w:val="en-US"/>
        </w:rPr>
        <w:t xml:space="preserve">Main reason </w:t>
      </w:r>
      <w:r w:rsidR="00DE7228" w:rsidRPr="00F32479">
        <w:rPr>
          <w:rStyle w:val="Emphasis"/>
          <w:rFonts w:ascii="Arial" w:hAnsi="Arial" w:cs="Arial"/>
          <w:i w:val="0"/>
          <w:lang w:val="en-US"/>
        </w:rPr>
        <w:t xml:space="preserve">for rejection of </w:t>
      </w:r>
      <w:r w:rsidR="00DA02E4" w:rsidRPr="00F32479">
        <w:rPr>
          <w:rStyle w:val="Emphasis"/>
          <w:rFonts w:ascii="Arial" w:hAnsi="Arial" w:cs="Arial"/>
          <w:i w:val="0"/>
          <w:lang w:val="en-US"/>
        </w:rPr>
        <w:t>applications in</w:t>
      </w:r>
      <w:r w:rsidR="00DE7228" w:rsidRPr="00F32479">
        <w:rPr>
          <w:rStyle w:val="Emphasis"/>
          <w:rFonts w:ascii="Arial" w:hAnsi="Arial" w:cs="Arial"/>
          <w:i w:val="0"/>
          <w:lang w:val="en-US"/>
        </w:rPr>
        <w:t xml:space="preserve"> measure 1, measure 3 and measure </w:t>
      </w:r>
      <w:proofErr w:type="gramStart"/>
      <w:r w:rsidR="00DE7228" w:rsidRPr="00F32479">
        <w:rPr>
          <w:rStyle w:val="Emphasis"/>
          <w:rFonts w:ascii="Arial" w:hAnsi="Arial" w:cs="Arial"/>
          <w:i w:val="0"/>
          <w:lang w:val="en-US"/>
        </w:rPr>
        <w:t>7  is</w:t>
      </w:r>
      <w:proofErr w:type="gramEnd"/>
      <w:r w:rsidR="00DE7228" w:rsidRPr="00F32479">
        <w:rPr>
          <w:rStyle w:val="Emphasis"/>
          <w:rFonts w:ascii="Arial" w:hAnsi="Arial" w:cs="Arial"/>
          <w:i w:val="0"/>
          <w:lang w:val="en-US"/>
        </w:rPr>
        <w:t xml:space="preserve"> that the applicants did not respond  to the notification for completing the application. Additionally, in </w:t>
      </w:r>
      <w:r w:rsidR="00DA02E4" w:rsidRPr="00F32479">
        <w:rPr>
          <w:rStyle w:val="Emphasis"/>
          <w:rFonts w:ascii="Arial" w:hAnsi="Arial" w:cs="Arial"/>
          <w:i w:val="0"/>
          <w:lang w:val="en-US"/>
        </w:rPr>
        <w:t xml:space="preserve">the </w:t>
      </w:r>
      <w:r w:rsidR="00DE7228" w:rsidRPr="00F32479">
        <w:rPr>
          <w:rStyle w:val="Emphasis"/>
          <w:rFonts w:ascii="Arial" w:hAnsi="Arial" w:cs="Arial"/>
          <w:i w:val="0"/>
          <w:lang w:val="en-US"/>
        </w:rPr>
        <w:t>measure</w:t>
      </w:r>
      <w:r w:rsidR="00DA02E4" w:rsidRPr="00F32479">
        <w:rPr>
          <w:rStyle w:val="Emphasis"/>
          <w:rFonts w:ascii="Arial" w:hAnsi="Arial" w:cs="Arial"/>
          <w:i w:val="0"/>
          <w:lang w:val="en-US"/>
        </w:rPr>
        <w:t>s</w:t>
      </w:r>
      <w:r w:rsidR="00DE7228" w:rsidRPr="00F32479">
        <w:rPr>
          <w:rStyle w:val="Emphasis"/>
          <w:rFonts w:ascii="Arial" w:hAnsi="Arial" w:cs="Arial"/>
          <w:i w:val="0"/>
          <w:lang w:val="en-US"/>
        </w:rPr>
        <w:t xml:space="preserve"> 3</w:t>
      </w:r>
      <w:r w:rsidR="00DA02E4" w:rsidRPr="00F32479">
        <w:rPr>
          <w:rStyle w:val="Emphasis"/>
          <w:rFonts w:ascii="Arial" w:hAnsi="Arial" w:cs="Arial"/>
          <w:i w:val="0"/>
          <w:lang w:val="en-US"/>
        </w:rPr>
        <w:t xml:space="preserve"> </w:t>
      </w:r>
      <w:proofErr w:type="gramStart"/>
      <w:r w:rsidR="00DA02E4" w:rsidRPr="00F32479">
        <w:rPr>
          <w:rStyle w:val="Emphasis"/>
          <w:rFonts w:ascii="Arial" w:hAnsi="Arial" w:cs="Arial"/>
          <w:i w:val="0"/>
          <w:lang w:val="en-US"/>
        </w:rPr>
        <w:t>and  7</w:t>
      </w:r>
      <w:proofErr w:type="gramEnd"/>
      <w:r w:rsidR="00DE7228" w:rsidRPr="00F32479">
        <w:rPr>
          <w:rStyle w:val="Emphasis"/>
          <w:rFonts w:ascii="Arial" w:hAnsi="Arial" w:cs="Arial"/>
          <w:i w:val="0"/>
          <w:lang w:val="en-US"/>
        </w:rPr>
        <w:t xml:space="preserve"> several applicants were not eligible for financial support because they are not in the range of small and medium enterprises</w:t>
      </w:r>
      <w:r w:rsidR="00DA02E4" w:rsidRPr="00F32479">
        <w:rPr>
          <w:rStyle w:val="Emphasis"/>
          <w:rFonts w:ascii="Arial" w:hAnsi="Arial" w:cs="Arial"/>
          <w:i w:val="0"/>
          <w:lang w:val="en-US"/>
        </w:rPr>
        <w:t xml:space="preserve"> and several applications due to not economically viable investments.</w:t>
      </w:r>
    </w:p>
    <w:p w:rsidR="00DE7228" w:rsidRPr="00F32479" w:rsidRDefault="00DE7228" w:rsidP="00E044D3">
      <w:pPr>
        <w:spacing w:after="0" w:line="240" w:lineRule="auto"/>
        <w:jc w:val="both"/>
        <w:rPr>
          <w:rStyle w:val="Emphasis"/>
          <w:rFonts w:ascii="Arial" w:hAnsi="Arial" w:cs="Arial"/>
          <w:i w:val="0"/>
          <w:lang w:val="en-US"/>
        </w:rPr>
      </w:pPr>
      <w:r w:rsidRPr="00F32479">
        <w:rPr>
          <w:rStyle w:val="Emphasis"/>
          <w:rFonts w:ascii="Arial" w:hAnsi="Arial" w:cs="Arial"/>
          <w:i w:val="0"/>
          <w:lang w:val="en-US"/>
        </w:rPr>
        <w:t>Main problems regarding the administrative process remain large number of received applications and insufficient number of employees, time needed to obtain the reference price for the investments, number of controls for each application etc.</w:t>
      </w:r>
      <w:r w:rsidR="00910ECA" w:rsidRPr="00F32479">
        <w:rPr>
          <w:rStyle w:val="Emphasis"/>
          <w:rFonts w:ascii="Arial" w:hAnsi="Arial" w:cs="Arial"/>
          <w:i w:val="0"/>
          <w:lang w:val="en-US"/>
        </w:rPr>
        <w:t xml:space="preserve"> </w:t>
      </w:r>
    </w:p>
    <w:p w:rsidR="00DE7228" w:rsidRPr="00F32479" w:rsidRDefault="00DE7228" w:rsidP="00E044D3">
      <w:pPr>
        <w:spacing w:after="0" w:line="240" w:lineRule="auto"/>
        <w:jc w:val="both"/>
        <w:rPr>
          <w:rStyle w:val="Emphasis"/>
          <w:rFonts w:ascii="Arial" w:hAnsi="Arial" w:cs="Arial"/>
          <w:i w:val="0"/>
        </w:rPr>
      </w:pPr>
    </w:p>
    <w:p w:rsidR="00DE7228" w:rsidRPr="002C286B" w:rsidRDefault="00445F82" w:rsidP="00445F82">
      <w:pPr>
        <w:spacing w:after="0" w:line="240" w:lineRule="auto"/>
        <w:rPr>
          <w:rStyle w:val="Emphasis"/>
          <w:rFonts w:ascii="StobiSerif Regular" w:hAnsi="StobiSerif Regular"/>
          <w:i w:val="0"/>
          <w:sz w:val="20"/>
          <w:szCs w:val="20"/>
        </w:rPr>
        <w:sectPr w:rsidR="00DE7228" w:rsidRPr="002C286B" w:rsidSect="00E9676F">
          <w:headerReference w:type="default" r:id="rId8"/>
          <w:pgSz w:w="11906" w:h="16838"/>
          <w:pgMar w:top="1440" w:right="1440" w:bottom="1440" w:left="1440" w:header="708" w:footer="708" w:gutter="0"/>
          <w:pgNumType w:start="0"/>
          <w:cols w:space="708"/>
          <w:titlePg/>
          <w:docGrid w:linePitch="360"/>
        </w:sectPr>
      </w:pPr>
      <w:r w:rsidRPr="002C286B">
        <w:rPr>
          <w:rStyle w:val="Emphasis"/>
          <w:rFonts w:ascii="StobiSerif Regular" w:hAnsi="StobiSerif Regular"/>
          <w:i w:val="0"/>
          <w:sz w:val="20"/>
          <w:szCs w:val="20"/>
        </w:rPr>
        <w:br w:type="page"/>
      </w:r>
    </w:p>
    <w:tbl>
      <w:tblPr>
        <w:tblpPr w:leftFromText="180" w:rightFromText="180" w:horzAnchor="margin" w:tblpY="588"/>
        <w:tblW w:w="0" w:type="auto"/>
        <w:tblLook w:val="04A0" w:firstRow="1" w:lastRow="0" w:firstColumn="1" w:lastColumn="0" w:noHBand="0" w:noVBand="1"/>
      </w:tblPr>
      <w:tblGrid>
        <w:gridCol w:w="1072"/>
        <w:gridCol w:w="852"/>
        <w:gridCol w:w="1424"/>
        <w:gridCol w:w="2183"/>
        <w:gridCol w:w="1433"/>
        <w:gridCol w:w="1541"/>
        <w:gridCol w:w="1431"/>
        <w:gridCol w:w="1745"/>
        <w:gridCol w:w="1673"/>
        <w:gridCol w:w="2024"/>
      </w:tblGrid>
      <w:tr w:rsidR="00DA02E4" w:rsidRPr="00271508" w:rsidTr="000B7320">
        <w:trPr>
          <w:trHeight w:val="199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lastRenderedPageBreak/>
              <w:t>Measure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Sector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xml:space="preserve">Total number of applications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Total requested amount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Number of rejected applications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Main reason for rejection of applications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Contracted projects (decision for alocation of funds is issued)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Total Public Expenditure (Euros) of the contracted projects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Total Public Expenditure -EU contribution (Euros) of the contracted projects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445F82" w:rsidRPr="00271508" w:rsidRDefault="00271508" w:rsidP="00111EC5">
            <w:pPr>
              <w:spacing w:after="0" w:line="240" w:lineRule="auto"/>
              <w:rPr>
                <w:rFonts w:ascii="Arial" w:eastAsia="Times New Roman" w:hAnsi="Arial" w:cs="Arial"/>
                <w:color w:val="000000"/>
                <w:lang w:eastAsia="mk-MK"/>
              </w:rPr>
            </w:pPr>
            <w:r w:rsidRPr="00271508">
              <w:rPr>
                <w:rFonts w:ascii="Arial" w:eastAsia="Times New Roman" w:hAnsi="Arial" w:cs="Arial"/>
                <w:color w:val="000000"/>
                <w:lang w:eastAsia="mk-MK"/>
              </w:rPr>
              <w:t>Most frequent problems during processing the applications</w:t>
            </w:r>
          </w:p>
        </w:tc>
      </w:tr>
      <w:tr w:rsidR="00DA02E4" w:rsidRPr="00271508" w:rsidTr="000B7320">
        <w:trPr>
          <w:trHeight w:val="48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1368</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xml:space="preserve">    14.889.439,42 €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5F82" w:rsidRPr="00271508" w:rsidRDefault="002C286B"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Applicant did not complete the application with the required documents</w:t>
            </w:r>
          </w:p>
        </w:tc>
        <w:tc>
          <w:tcPr>
            <w:tcW w:w="0" w:type="auto"/>
            <w:tcBorders>
              <w:top w:val="single" w:sz="8" w:space="0" w:color="auto"/>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single" w:sz="8" w:space="0" w:color="auto"/>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single" w:sz="8" w:space="0" w:color="auto"/>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5F82" w:rsidRPr="00271508" w:rsidRDefault="00DA02E4" w:rsidP="00111EC5">
            <w:pPr>
              <w:spacing w:after="0" w:line="240" w:lineRule="auto"/>
              <w:jc w:val="center"/>
              <w:rPr>
                <w:rFonts w:ascii="Arial" w:eastAsia="Times New Roman" w:hAnsi="Arial" w:cs="Arial"/>
                <w:color w:val="000000"/>
                <w:lang w:val="en-US" w:eastAsia="mk-MK"/>
              </w:rPr>
            </w:pPr>
            <w:r w:rsidRPr="00271508">
              <w:rPr>
                <w:rFonts w:ascii="Arial" w:eastAsia="Times New Roman" w:hAnsi="Arial" w:cs="Arial"/>
                <w:color w:val="000000"/>
                <w:lang w:eastAsia="mk-MK"/>
              </w:rPr>
              <w:t>Delay of receivin</w:t>
            </w:r>
            <w:r w:rsidR="00111EC5" w:rsidRPr="00271508">
              <w:rPr>
                <w:rFonts w:ascii="Arial" w:eastAsia="Times New Roman" w:hAnsi="Arial" w:cs="Arial"/>
                <w:color w:val="000000"/>
                <w:lang w:val="en-US" w:eastAsia="mk-MK"/>
              </w:rPr>
              <w:t>g</w:t>
            </w:r>
            <w:r w:rsidRPr="00271508">
              <w:rPr>
                <w:rFonts w:ascii="Arial" w:eastAsia="Times New Roman" w:hAnsi="Arial" w:cs="Arial"/>
                <w:color w:val="000000"/>
                <w:lang w:eastAsia="mk-MK"/>
              </w:rPr>
              <w:t xml:space="preserve"> the reference prices, number of controls for each application (three offers rule/multiple offers) and the big</w:t>
            </w:r>
            <w:r w:rsidR="00445F82" w:rsidRPr="00271508">
              <w:rPr>
                <w:rFonts w:ascii="Arial" w:eastAsia="Times New Roman" w:hAnsi="Arial" w:cs="Arial"/>
                <w:color w:val="000000"/>
                <w:lang w:eastAsia="mk-MK"/>
              </w:rPr>
              <w:t xml:space="preserve"> number of applications </w:t>
            </w:r>
            <w:r w:rsidRPr="00271508">
              <w:rPr>
                <w:rFonts w:ascii="Arial" w:eastAsia="Times New Roman" w:hAnsi="Arial" w:cs="Arial"/>
                <w:color w:val="000000"/>
                <w:lang w:eastAsia="mk-MK"/>
              </w:rPr>
              <w:t>in the public call</w:t>
            </w:r>
          </w:p>
        </w:tc>
      </w:tr>
      <w:tr w:rsidR="00DA02E4" w:rsidRPr="00271508" w:rsidTr="000B7320">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w:t>
            </w:r>
          </w:p>
        </w:tc>
        <w:tc>
          <w:tcPr>
            <w:tcW w:w="0" w:type="auto"/>
            <w:tcBorders>
              <w:top w:val="nil"/>
              <w:left w:val="nil"/>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2</w:t>
            </w:r>
          </w:p>
        </w:tc>
        <w:tc>
          <w:tcPr>
            <w:tcW w:w="0" w:type="auto"/>
            <w:tcBorders>
              <w:top w:val="nil"/>
              <w:left w:val="nil"/>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30</w:t>
            </w:r>
          </w:p>
        </w:tc>
        <w:tc>
          <w:tcPr>
            <w:tcW w:w="0" w:type="auto"/>
            <w:tcBorders>
              <w:top w:val="nil"/>
              <w:left w:val="nil"/>
              <w:bottom w:val="single" w:sz="4" w:space="0" w:color="auto"/>
              <w:right w:val="single" w:sz="4" w:space="0" w:color="auto"/>
            </w:tcBorders>
            <w:shd w:val="clear" w:color="auto" w:fill="auto"/>
            <w:noWrap/>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xml:space="preserve">       2.933.227,64 €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r>
      <w:tr w:rsidR="00DA02E4" w:rsidRPr="00271508" w:rsidTr="000B7320">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w:t>
            </w:r>
          </w:p>
        </w:tc>
        <w:tc>
          <w:tcPr>
            <w:tcW w:w="0" w:type="auto"/>
            <w:tcBorders>
              <w:top w:val="nil"/>
              <w:left w:val="nil"/>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3</w:t>
            </w:r>
          </w:p>
        </w:tc>
        <w:tc>
          <w:tcPr>
            <w:tcW w:w="0" w:type="auto"/>
            <w:tcBorders>
              <w:top w:val="nil"/>
              <w:left w:val="nil"/>
              <w:bottom w:val="single" w:sz="4"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4</w:t>
            </w:r>
          </w:p>
        </w:tc>
        <w:tc>
          <w:tcPr>
            <w:tcW w:w="0" w:type="auto"/>
            <w:tcBorders>
              <w:top w:val="nil"/>
              <w:left w:val="nil"/>
              <w:bottom w:val="single" w:sz="4" w:space="0" w:color="auto"/>
              <w:right w:val="single" w:sz="4" w:space="0" w:color="auto"/>
            </w:tcBorders>
            <w:shd w:val="clear" w:color="auto" w:fill="auto"/>
            <w:noWrap/>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xml:space="preserve">          163.161,79 €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r>
      <w:tr w:rsidR="00DA02E4" w:rsidRPr="00271508" w:rsidTr="000B7320">
        <w:trPr>
          <w:trHeight w:val="48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w:t>
            </w:r>
          </w:p>
        </w:tc>
        <w:tc>
          <w:tcPr>
            <w:tcW w:w="0" w:type="auto"/>
            <w:tcBorders>
              <w:top w:val="nil"/>
              <w:left w:val="nil"/>
              <w:bottom w:val="nil"/>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4</w:t>
            </w:r>
          </w:p>
        </w:tc>
        <w:tc>
          <w:tcPr>
            <w:tcW w:w="0" w:type="auto"/>
            <w:tcBorders>
              <w:top w:val="nil"/>
              <w:left w:val="nil"/>
              <w:bottom w:val="nil"/>
              <w:right w:val="single" w:sz="4"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2</w:t>
            </w:r>
          </w:p>
        </w:tc>
        <w:tc>
          <w:tcPr>
            <w:tcW w:w="0" w:type="auto"/>
            <w:tcBorders>
              <w:top w:val="nil"/>
              <w:left w:val="nil"/>
              <w:bottom w:val="nil"/>
              <w:right w:val="single" w:sz="4" w:space="0" w:color="auto"/>
            </w:tcBorders>
            <w:shd w:val="clear" w:color="auto" w:fill="auto"/>
            <w:noWrap/>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xml:space="preserve">             17.556,15 €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nil"/>
              <w:left w:val="nil"/>
              <w:bottom w:val="nil"/>
              <w:right w:val="single" w:sz="8" w:space="0" w:color="auto"/>
            </w:tcBorders>
            <w:shd w:val="clear" w:color="auto" w:fill="auto"/>
            <w:vAlign w:val="center"/>
            <w:hideMark/>
          </w:tcPr>
          <w:p w:rsidR="00445F82" w:rsidRPr="00271508" w:rsidRDefault="00445F82"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5F82" w:rsidRPr="00271508" w:rsidRDefault="00445F82" w:rsidP="00111EC5">
            <w:pPr>
              <w:spacing w:after="0" w:line="240" w:lineRule="auto"/>
              <w:rPr>
                <w:rFonts w:ascii="Arial" w:eastAsia="Times New Roman" w:hAnsi="Arial" w:cs="Arial"/>
                <w:color w:val="000000"/>
                <w:lang w:eastAsia="mk-MK"/>
              </w:rPr>
            </w:pPr>
          </w:p>
        </w:tc>
      </w:tr>
      <w:tr w:rsidR="000B7320" w:rsidRPr="00271508" w:rsidTr="000B7320">
        <w:trPr>
          <w:trHeight w:val="600"/>
        </w:trPr>
        <w:tc>
          <w:tcPr>
            <w:tcW w:w="0" w:type="auto"/>
            <w:gridSpan w:val="2"/>
            <w:tcBorders>
              <w:top w:val="single" w:sz="8" w:space="0" w:color="auto"/>
              <w:left w:val="single" w:sz="8" w:space="0" w:color="auto"/>
              <w:bottom w:val="single" w:sz="8" w:space="0" w:color="auto"/>
              <w:right w:val="single" w:sz="8" w:space="0" w:color="000000"/>
            </w:tcBorders>
            <w:shd w:val="clear" w:color="000000" w:fill="E7E6E6"/>
            <w:noWrap/>
            <w:vAlign w:val="center"/>
            <w:hideMark/>
          </w:tcPr>
          <w:p w:rsidR="00111EC5" w:rsidRPr="00271508" w:rsidRDefault="00111EC5" w:rsidP="00111EC5">
            <w:pPr>
              <w:spacing w:after="0" w:line="240" w:lineRule="auto"/>
              <w:jc w:val="center"/>
              <w:rPr>
                <w:rFonts w:ascii="Arial" w:eastAsia="Times New Roman" w:hAnsi="Arial" w:cs="Arial"/>
                <w:b/>
                <w:bCs/>
                <w:color w:val="000000"/>
                <w:lang w:eastAsia="mk-MK"/>
              </w:rPr>
            </w:pPr>
            <w:r w:rsidRPr="00271508">
              <w:rPr>
                <w:rFonts w:ascii="Arial" w:eastAsia="Times New Roman" w:hAnsi="Arial" w:cs="Arial"/>
                <w:b/>
                <w:bCs/>
                <w:color w:val="000000"/>
                <w:lang w:eastAsia="mk-MK"/>
              </w:rPr>
              <w:t xml:space="preserve">Total </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111EC5" w:rsidRPr="00271508" w:rsidRDefault="00111EC5"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1404</w:t>
            </w:r>
          </w:p>
        </w:tc>
        <w:tc>
          <w:tcPr>
            <w:tcW w:w="0" w:type="auto"/>
            <w:tcBorders>
              <w:top w:val="single" w:sz="8" w:space="0" w:color="auto"/>
              <w:left w:val="nil"/>
              <w:bottom w:val="single" w:sz="8" w:space="0" w:color="auto"/>
              <w:right w:val="single" w:sz="8" w:space="0" w:color="auto"/>
            </w:tcBorders>
            <w:shd w:val="clear" w:color="000000" w:fill="E7E6E6"/>
            <w:noWrap/>
            <w:vAlign w:val="center"/>
            <w:hideMark/>
          </w:tcPr>
          <w:p w:rsidR="00111EC5" w:rsidRPr="00271508" w:rsidRDefault="00111EC5"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xml:space="preserve">    18.003.385,00 € </w:t>
            </w:r>
          </w:p>
        </w:tc>
        <w:tc>
          <w:tcPr>
            <w:tcW w:w="0" w:type="auto"/>
            <w:tcBorders>
              <w:top w:val="nil"/>
              <w:left w:val="nil"/>
              <w:bottom w:val="single" w:sz="8" w:space="0" w:color="auto"/>
              <w:right w:val="single" w:sz="8" w:space="0" w:color="auto"/>
            </w:tcBorders>
            <w:shd w:val="clear" w:color="000000" w:fill="E7E6E6"/>
            <w:vAlign w:val="center"/>
            <w:hideMark/>
          </w:tcPr>
          <w:p w:rsidR="00111EC5" w:rsidRPr="00271508" w:rsidRDefault="00111EC5" w:rsidP="00111EC5">
            <w:pPr>
              <w:spacing w:after="0" w:line="240" w:lineRule="auto"/>
              <w:jc w:val="center"/>
              <w:rPr>
                <w:rFonts w:ascii="Arial" w:eastAsia="Times New Roman" w:hAnsi="Arial" w:cs="Arial"/>
                <w:color w:val="000000"/>
                <w:lang w:val="en-US" w:eastAsia="mk-MK"/>
              </w:rPr>
            </w:pPr>
            <w:r w:rsidRPr="00271508">
              <w:rPr>
                <w:rFonts w:ascii="Arial" w:eastAsia="Times New Roman" w:hAnsi="Arial" w:cs="Arial"/>
                <w:color w:val="000000"/>
                <w:lang w:val="en-US" w:eastAsia="mk-MK"/>
              </w:rPr>
              <w:t>504</w:t>
            </w:r>
          </w:p>
        </w:tc>
        <w:tc>
          <w:tcPr>
            <w:tcW w:w="0" w:type="auto"/>
            <w:tcBorders>
              <w:top w:val="nil"/>
              <w:left w:val="nil"/>
              <w:bottom w:val="single" w:sz="8" w:space="0" w:color="auto"/>
              <w:right w:val="single" w:sz="8" w:space="0" w:color="auto"/>
            </w:tcBorders>
            <w:shd w:val="clear" w:color="000000" w:fill="E7E6E6"/>
            <w:vAlign w:val="center"/>
            <w:hideMark/>
          </w:tcPr>
          <w:p w:rsidR="00111EC5" w:rsidRPr="00271508" w:rsidRDefault="00111EC5" w:rsidP="00111EC5">
            <w:pPr>
              <w:spacing w:after="0" w:line="240" w:lineRule="auto"/>
              <w:jc w:val="center"/>
              <w:rPr>
                <w:rFonts w:ascii="Arial" w:eastAsia="Times New Roman" w:hAnsi="Arial" w:cs="Arial"/>
                <w:color w:val="000000"/>
                <w:lang w:eastAsia="mk-MK"/>
              </w:rPr>
            </w:pPr>
            <w:r w:rsidRPr="00271508">
              <w:rPr>
                <w:rFonts w:ascii="Arial" w:eastAsia="Times New Roman" w:hAnsi="Arial" w:cs="Arial"/>
                <w:color w:val="000000"/>
                <w:lang w:eastAsia="mk-MK"/>
              </w:rPr>
              <w:t> </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111EC5" w:rsidRPr="00271508" w:rsidRDefault="00111EC5" w:rsidP="00111EC5">
            <w:pPr>
              <w:spacing w:after="0" w:line="240" w:lineRule="auto"/>
              <w:jc w:val="center"/>
              <w:rPr>
                <w:rFonts w:ascii="Arial" w:eastAsia="Times New Roman" w:hAnsi="Arial" w:cs="Arial"/>
                <w:color w:val="000000"/>
                <w:lang w:val="en-US" w:eastAsia="mk-MK"/>
              </w:rPr>
            </w:pPr>
            <w:r w:rsidRPr="00271508">
              <w:rPr>
                <w:rFonts w:ascii="Arial" w:eastAsia="Times New Roman" w:hAnsi="Arial" w:cs="Arial"/>
                <w:color w:val="000000"/>
                <w:lang w:val="en-US" w:eastAsia="mk-MK"/>
              </w:rPr>
              <w:t>901</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111EC5" w:rsidRPr="00271508" w:rsidRDefault="00111EC5" w:rsidP="00111EC5">
            <w:pPr>
              <w:spacing w:after="0" w:line="240" w:lineRule="auto"/>
              <w:jc w:val="center"/>
              <w:rPr>
                <w:rFonts w:ascii="Arial" w:eastAsia="Times New Roman" w:hAnsi="Arial" w:cs="Arial"/>
                <w:color w:val="000000"/>
                <w:lang w:eastAsia="mk-MK"/>
              </w:rPr>
            </w:pPr>
            <w:r w:rsidRPr="00271508">
              <w:rPr>
                <w:rStyle w:val="Emphasis"/>
                <w:rFonts w:ascii="Arial" w:hAnsi="Arial" w:cs="Arial"/>
                <w:i w:val="0"/>
              </w:rPr>
              <w:t xml:space="preserve">10.941.486,68 </w:t>
            </w:r>
            <w:r w:rsidRPr="00271508">
              <w:rPr>
                <w:rFonts w:ascii="Arial" w:eastAsia="Times New Roman" w:hAnsi="Arial" w:cs="Arial"/>
                <w:color w:val="000000"/>
                <w:lang w:val="en-US" w:eastAsia="mk-MK"/>
              </w:rPr>
              <w:t xml:space="preserve">€ </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111EC5" w:rsidRPr="00271508" w:rsidRDefault="00111EC5" w:rsidP="00111EC5">
            <w:pPr>
              <w:spacing w:after="0" w:line="240" w:lineRule="auto"/>
              <w:jc w:val="center"/>
              <w:rPr>
                <w:rFonts w:ascii="Arial" w:eastAsia="Times New Roman" w:hAnsi="Arial" w:cs="Arial"/>
                <w:color w:val="000000"/>
                <w:lang w:eastAsia="mk-MK"/>
              </w:rPr>
            </w:pPr>
            <w:r w:rsidRPr="00271508">
              <w:rPr>
                <w:rStyle w:val="Emphasis"/>
                <w:rFonts w:ascii="Arial" w:hAnsi="Arial" w:cs="Arial"/>
                <w:i w:val="0"/>
              </w:rPr>
              <w:t xml:space="preserve">8.206.115,01 </w:t>
            </w:r>
            <w:r w:rsidRPr="00271508">
              <w:rPr>
                <w:rFonts w:ascii="Arial" w:eastAsia="Times New Roman" w:hAnsi="Arial" w:cs="Arial"/>
                <w:color w:val="000000"/>
                <w:lang w:val="en-US" w:eastAsia="mk-MK"/>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1EC5" w:rsidRPr="00271508" w:rsidRDefault="00111EC5" w:rsidP="00111EC5">
            <w:pPr>
              <w:spacing w:after="0" w:line="240" w:lineRule="auto"/>
              <w:rPr>
                <w:rFonts w:ascii="Arial" w:eastAsia="Times New Roman" w:hAnsi="Arial" w:cs="Arial"/>
                <w:color w:val="000000"/>
                <w:lang w:eastAsia="mk-MK"/>
              </w:rPr>
            </w:pPr>
          </w:p>
        </w:tc>
      </w:tr>
    </w:tbl>
    <w:p w:rsidR="00E044D3" w:rsidRPr="0058227E" w:rsidRDefault="00111EC5" w:rsidP="00E044D3">
      <w:pPr>
        <w:spacing w:after="0" w:line="240" w:lineRule="auto"/>
        <w:jc w:val="both"/>
        <w:rPr>
          <w:rStyle w:val="Emphasis"/>
          <w:rFonts w:ascii="Arial" w:hAnsi="Arial" w:cs="Arial"/>
          <w:i w:val="0"/>
          <w:sz w:val="20"/>
          <w:szCs w:val="20"/>
          <w:lang w:val="en-US"/>
        </w:rPr>
      </w:pPr>
      <w:r w:rsidRPr="0058227E">
        <w:rPr>
          <w:rStyle w:val="Emphasis"/>
          <w:rFonts w:ascii="Arial" w:hAnsi="Arial" w:cs="Arial"/>
          <w:i w:val="0"/>
          <w:sz w:val="20"/>
          <w:szCs w:val="20"/>
          <w:lang w:val="en-US"/>
        </w:rPr>
        <w:t>Information regarding the submitted applications per public call:</w:t>
      </w:r>
    </w:p>
    <w:p w:rsidR="00111EC5" w:rsidRPr="0058227E" w:rsidRDefault="00111EC5" w:rsidP="00E044D3">
      <w:pPr>
        <w:spacing w:after="0" w:line="240" w:lineRule="auto"/>
        <w:jc w:val="both"/>
        <w:rPr>
          <w:rStyle w:val="Emphasis"/>
          <w:rFonts w:ascii="Arial" w:hAnsi="Arial" w:cs="Arial"/>
          <w:i w:val="0"/>
          <w:sz w:val="20"/>
          <w:szCs w:val="20"/>
          <w:lang w:val="en-US"/>
        </w:rPr>
      </w:pPr>
      <w:r w:rsidRPr="0058227E">
        <w:rPr>
          <w:rStyle w:val="Emphasis"/>
          <w:rFonts w:ascii="Arial" w:hAnsi="Arial" w:cs="Arial"/>
          <w:i w:val="0"/>
          <w:sz w:val="20"/>
          <w:szCs w:val="20"/>
          <w:lang w:val="en-US"/>
        </w:rPr>
        <w:t>Public call 01/2017</w:t>
      </w:r>
    </w:p>
    <w:p w:rsidR="00566176" w:rsidRPr="0058227E" w:rsidRDefault="00566176" w:rsidP="00E044D3">
      <w:pPr>
        <w:spacing w:after="0" w:line="240" w:lineRule="auto"/>
        <w:jc w:val="both"/>
        <w:rPr>
          <w:rStyle w:val="Emphasis"/>
          <w:rFonts w:ascii="Arial" w:hAnsi="Arial" w:cs="Arial"/>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tbl>
      <w:tblPr>
        <w:tblW w:w="5000" w:type="pct"/>
        <w:tblLook w:val="04A0" w:firstRow="1" w:lastRow="0" w:firstColumn="1" w:lastColumn="0" w:noHBand="0" w:noVBand="1"/>
      </w:tblPr>
      <w:tblGrid>
        <w:gridCol w:w="1270"/>
        <w:gridCol w:w="1024"/>
        <w:gridCol w:w="1520"/>
        <w:gridCol w:w="2112"/>
        <w:gridCol w:w="1523"/>
        <w:gridCol w:w="1630"/>
        <w:gridCol w:w="1440"/>
        <w:gridCol w:w="1553"/>
        <w:gridCol w:w="1601"/>
        <w:gridCol w:w="1705"/>
      </w:tblGrid>
      <w:tr w:rsidR="002C286B" w:rsidRPr="00F32479" w:rsidTr="002C286B">
        <w:trPr>
          <w:trHeight w:val="2115"/>
        </w:trPr>
        <w:tc>
          <w:tcPr>
            <w:tcW w:w="4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lastRenderedPageBreak/>
              <w:t>Measure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Sector</w:t>
            </w:r>
          </w:p>
        </w:tc>
        <w:tc>
          <w:tcPr>
            <w:tcW w:w="497"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Total number of applications </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requested amount</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Number of rejected applications</w:t>
            </w:r>
          </w:p>
        </w:tc>
        <w:tc>
          <w:tcPr>
            <w:tcW w:w="533"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Main reason for rejection of applications</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Contracted projects (decision for alocation of funds is issued)</w:t>
            </w:r>
          </w:p>
        </w:tc>
        <w:tc>
          <w:tcPr>
            <w:tcW w:w="508"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Public Expenditure (Euros) of the contracted projects</w:t>
            </w:r>
          </w:p>
        </w:tc>
        <w:tc>
          <w:tcPr>
            <w:tcW w:w="523" w:type="pct"/>
            <w:tcBorders>
              <w:top w:val="single" w:sz="8" w:space="0" w:color="auto"/>
              <w:left w:val="nil"/>
              <w:bottom w:val="single" w:sz="8" w:space="0" w:color="auto"/>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Public Expenditure -EU contribution (Euros) of the contracted projects</w:t>
            </w:r>
          </w:p>
        </w:tc>
        <w:tc>
          <w:tcPr>
            <w:tcW w:w="557" w:type="pct"/>
            <w:tcBorders>
              <w:top w:val="single" w:sz="8" w:space="0" w:color="auto"/>
              <w:left w:val="nil"/>
              <w:bottom w:val="single" w:sz="8" w:space="0" w:color="auto"/>
              <w:right w:val="single" w:sz="8" w:space="0" w:color="auto"/>
            </w:tcBorders>
            <w:shd w:val="clear" w:color="auto" w:fill="auto"/>
            <w:vAlign w:val="bottom"/>
            <w:hideMark/>
          </w:tcPr>
          <w:p w:rsidR="00445F82" w:rsidRPr="00F32479" w:rsidRDefault="00445F82" w:rsidP="00445F82">
            <w:pPr>
              <w:spacing w:after="0" w:line="240" w:lineRule="auto"/>
              <w:rPr>
                <w:rFonts w:ascii="Arial" w:eastAsia="Times New Roman" w:hAnsi="Arial" w:cs="Arial"/>
                <w:color w:val="000000"/>
                <w:lang w:eastAsia="mk-MK"/>
              </w:rPr>
            </w:pPr>
            <w:r w:rsidRPr="00F32479">
              <w:rPr>
                <w:rFonts w:ascii="Arial" w:eastAsia="Times New Roman" w:hAnsi="Arial" w:cs="Arial"/>
                <w:color w:val="000000"/>
                <w:lang w:eastAsia="mk-MK"/>
              </w:rPr>
              <w:t>Most frequent problems during processing the applications</w:t>
            </w:r>
          </w:p>
        </w:tc>
      </w:tr>
      <w:tr w:rsidR="002C286B" w:rsidRPr="00F32479" w:rsidTr="002C286B">
        <w:trPr>
          <w:trHeight w:val="300"/>
        </w:trPr>
        <w:tc>
          <w:tcPr>
            <w:tcW w:w="416" w:type="pct"/>
            <w:tcBorders>
              <w:top w:val="nil"/>
              <w:left w:val="single" w:sz="8" w:space="0" w:color="auto"/>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w:t>
            </w:r>
          </w:p>
        </w:tc>
        <w:tc>
          <w:tcPr>
            <w:tcW w:w="497"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8</w:t>
            </w:r>
          </w:p>
        </w:tc>
        <w:tc>
          <w:tcPr>
            <w:tcW w:w="661"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683.398,03 € </w:t>
            </w:r>
          </w:p>
        </w:tc>
        <w:tc>
          <w:tcPr>
            <w:tcW w:w="498" w:type="pct"/>
            <w:vMerge w:val="restart"/>
            <w:tcBorders>
              <w:top w:val="nil"/>
              <w:left w:val="single" w:sz="8" w:space="0" w:color="auto"/>
              <w:bottom w:val="single" w:sz="8" w:space="0" w:color="000000"/>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33" w:type="pct"/>
            <w:vMerge w:val="restart"/>
            <w:tcBorders>
              <w:top w:val="nil"/>
              <w:left w:val="single" w:sz="8" w:space="0" w:color="auto"/>
              <w:bottom w:val="single" w:sz="8" w:space="0" w:color="000000"/>
              <w:right w:val="single" w:sz="8" w:space="0" w:color="auto"/>
            </w:tcBorders>
            <w:shd w:val="clear" w:color="auto" w:fill="auto"/>
            <w:vAlign w:val="center"/>
            <w:hideMark/>
          </w:tcPr>
          <w:p w:rsidR="00C60761" w:rsidRPr="00F32479" w:rsidRDefault="00445F82" w:rsidP="00C60761">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w:t>
            </w:r>
            <w:r w:rsidR="002C286B" w:rsidRPr="00F32479">
              <w:rPr>
                <w:rFonts w:ascii="Arial" w:eastAsia="Times New Roman" w:hAnsi="Arial" w:cs="Arial"/>
                <w:color w:val="000000"/>
                <w:lang w:eastAsia="mk-MK"/>
              </w:rPr>
              <w:t xml:space="preserve"> </w:t>
            </w:r>
            <w:r w:rsidR="00C60761" w:rsidRPr="00F32479">
              <w:rPr>
                <w:rFonts w:ascii="Arial" w:eastAsia="Times New Roman" w:hAnsi="Arial" w:cs="Arial"/>
                <w:color w:val="000000"/>
                <w:lang w:eastAsia="mk-MK"/>
              </w:rPr>
              <w:t>Applicant did not complete the application with the required documents</w:t>
            </w:r>
          </w:p>
          <w:p w:rsidR="00C60761" w:rsidRPr="00F32479" w:rsidRDefault="00C60761" w:rsidP="00C60761">
            <w:pPr>
              <w:spacing w:after="0" w:line="240" w:lineRule="auto"/>
              <w:jc w:val="center"/>
              <w:rPr>
                <w:rFonts w:ascii="Arial" w:eastAsia="Times New Roman" w:hAnsi="Arial" w:cs="Arial"/>
                <w:color w:val="000000"/>
                <w:lang w:val="en-US" w:eastAsia="mk-MK"/>
              </w:rPr>
            </w:pPr>
            <w:r w:rsidRPr="00F32479">
              <w:rPr>
                <w:rFonts w:ascii="Arial" w:eastAsia="Times New Roman" w:hAnsi="Arial" w:cs="Arial"/>
                <w:color w:val="000000"/>
                <w:lang w:eastAsia="mk-MK"/>
              </w:rPr>
              <w:t xml:space="preserve">3. Non- comparable offers for the equipment </w:t>
            </w:r>
            <w:r w:rsidRPr="00F32479">
              <w:rPr>
                <w:rFonts w:ascii="Arial" w:eastAsia="Times New Roman" w:hAnsi="Arial" w:cs="Arial"/>
                <w:color w:val="000000"/>
                <w:lang w:val="en-US" w:eastAsia="mk-MK"/>
              </w:rPr>
              <w:t>in terms of technical specification</w:t>
            </w:r>
          </w:p>
          <w:p w:rsidR="00445F82" w:rsidRPr="00F32479" w:rsidRDefault="00445F82" w:rsidP="00C60761">
            <w:pPr>
              <w:spacing w:after="0" w:line="240" w:lineRule="auto"/>
              <w:jc w:val="center"/>
              <w:rPr>
                <w:rFonts w:ascii="Arial" w:eastAsia="Times New Roman" w:hAnsi="Arial" w:cs="Arial"/>
                <w:color w:val="000000"/>
                <w:lang w:val="en-US" w:eastAsia="mk-MK"/>
              </w:rPr>
            </w:pPr>
            <w:r w:rsidRPr="00F32479">
              <w:rPr>
                <w:rFonts w:ascii="Arial" w:eastAsia="Times New Roman" w:hAnsi="Arial" w:cs="Arial"/>
                <w:color w:val="000000"/>
                <w:lang w:eastAsia="mk-MK"/>
              </w:rPr>
              <w:br/>
              <w:t xml:space="preserve">2. </w:t>
            </w:r>
            <w:r w:rsidR="00C60761" w:rsidRPr="00F32479">
              <w:rPr>
                <w:rFonts w:ascii="Arial" w:eastAsia="Times New Roman" w:hAnsi="Arial" w:cs="Arial"/>
                <w:color w:val="000000"/>
                <w:lang w:val="en-US" w:eastAsia="mk-MK"/>
              </w:rPr>
              <w:t xml:space="preserve">Applicant is not </w:t>
            </w:r>
            <w:r w:rsidR="00C60761" w:rsidRPr="00F32479">
              <w:rPr>
                <w:rFonts w:ascii="Arial" w:eastAsia="Times New Roman" w:hAnsi="Arial" w:cs="Arial"/>
                <w:color w:val="000000"/>
                <w:lang w:eastAsia="mk-MK"/>
              </w:rPr>
              <w:t>SME</w:t>
            </w:r>
            <w:r w:rsidR="00C60761" w:rsidRPr="00F32479" w:rsidDel="00C60761">
              <w:rPr>
                <w:rFonts w:ascii="Arial" w:eastAsia="Times New Roman" w:hAnsi="Arial" w:cs="Arial"/>
                <w:color w:val="000000"/>
                <w:lang w:eastAsia="mk-MK"/>
              </w:rPr>
              <w:t xml:space="preserve"> </w:t>
            </w:r>
          </w:p>
          <w:p w:rsidR="00C60761" w:rsidRPr="00F32479" w:rsidRDefault="00C60761" w:rsidP="002C286B">
            <w:pPr>
              <w:spacing w:after="0" w:line="240" w:lineRule="auto"/>
              <w:jc w:val="center"/>
              <w:rPr>
                <w:rFonts w:ascii="Arial" w:eastAsia="Times New Roman" w:hAnsi="Arial" w:cs="Arial"/>
                <w:color w:val="000000"/>
                <w:lang w:val="en-US" w:eastAsia="mk-MK"/>
              </w:rPr>
            </w:pPr>
          </w:p>
          <w:p w:rsidR="00C60761" w:rsidRPr="00F32479" w:rsidRDefault="00C60761" w:rsidP="002C286B">
            <w:pPr>
              <w:spacing w:after="0" w:line="240" w:lineRule="auto"/>
              <w:jc w:val="center"/>
              <w:rPr>
                <w:rFonts w:ascii="Arial" w:eastAsia="Times New Roman" w:hAnsi="Arial" w:cs="Arial"/>
                <w:color w:val="000000"/>
                <w:lang w:val="en-US" w:eastAsia="mk-MK"/>
              </w:rPr>
            </w:pPr>
          </w:p>
        </w:tc>
        <w:tc>
          <w:tcPr>
            <w:tcW w:w="471" w:type="pct"/>
            <w:tcBorders>
              <w:top w:val="single" w:sz="8" w:space="0" w:color="auto"/>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single" w:sz="8" w:space="0" w:color="auto"/>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single" w:sz="8" w:space="0" w:color="auto"/>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5F82" w:rsidRPr="00F32479" w:rsidRDefault="00445F82" w:rsidP="002C286B">
            <w:pPr>
              <w:spacing w:after="0" w:line="240" w:lineRule="auto"/>
              <w:rPr>
                <w:rFonts w:ascii="Arial" w:eastAsia="Times New Roman" w:hAnsi="Arial" w:cs="Arial"/>
                <w:color w:val="000000"/>
                <w:lang w:eastAsia="mk-MK"/>
              </w:rPr>
            </w:pPr>
            <w:r w:rsidRPr="00F32479">
              <w:rPr>
                <w:rFonts w:ascii="Arial" w:eastAsia="Times New Roman" w:hAnsi="Arial" w:cs="Arial"/>
                <w:color w:val="000000"/>
                <w:lang w:eastAsia="mk-MK"/>
              </w:rPr>
              <w:t>-Large number of empty applications</w:t>
            </w:r>
            <w:r w:rsidRPr="00F32479">
              <w:rPr>
                <w:rFonts w:ascii="Arial" w:eastAsia="Times New Roman" w:hAnsi="Arial" w:cs="Arial"/>
                <w:color w:val="000000"/>
                <w:lang w:eastAsia="mk-MK"/>
              </w:rPr>
              <w:br/>
              <w:t>- Obtaining reference prices for construction works and equi</w:t>
            </w:r>
            <w:r w:rsidR="002C286B" w:rsidRPr="00F32479">
              <w:rPr>
                <w:rFonts w:ascii="Arial" w:eastAsia="Times New Roman" w:hAnsi="Arial" w:cs="Arial"/>
                <w:color w:val="000000"/>
                <w:lang w:eastAsia="mk-MK"/>
              </w:rPr>
              <w:t>pment is very time consuming</w:t>
            </w:r>
            <w:r w:rsidR="002C286B" w:rsidRPr="00F32479">
              <w:rPr>
                <w:rFonts w:ascii="Arial" w:eastAsia="Times New Roman" w:hAnsi="Arial" w:cs="Arial"/>
                <w:color w:val="000000"/>
                <w:lang w:eastAsia="mk-MK"/>
              </w:rPr>
              <w:br/>
            </w:r>
          </w:p>
        </w:tc>
      </w:tr>
      <w:tr w:rsidR="002C286B" w:rsidRPr="00F32479" w:rsidTr="002C286B">
        <w:trPr>
          <w:trHeight w:val="300"/>
        </w:trPr>
        <w:tc>
          <w:tcPr>
            <w:tcW w:w="416" w:type="pct"/>
            <w:tcBorders>
              <w:top w:val="nil"/>
              <w:left w:val="single" w:sz="8" w:space="0" w:color="auto"/>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w:t>
            </w:r>
          </w:p>
        </w:tc>
        <w:tc>
          <w:tcPr>
            <w:tcW w:w="497"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12</w:t>
            </w:r>
          </w:p>
        </w:tc>
        <w:tc>
          <w:tcPr>
            <w:tcW w:w="661"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3.144.333,53 € </w:t>
            </w:r>
          </w:p>
        </w:tc>
        <w:tc>
          <w:tcPr>
            <w:tcW w:w="498"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r w:rsidR="002C286B" w:rsidRPr="00F32479" w:rsidTr="002C286B">
        <w:trPr>
          <w:trHeight w:val="300"/>
        </w:trPr>
        <w:tc>
          <w:tcPr>
            <w:tcW w:w="416" w:type="pct"/>
            <w:tcBorders>
              <w:top w:val="nil"/>
              <w:left w:val="single" w:sz="8" w:space="0" w:color="auto"/>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497"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21</w:t>
            </w:r>
          </w:p>
        </w:tc>
        <w:tc>
          <w:tcPr>
            <w:tcW w:w="661"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6.836.976,59 € </w:t>
            </w:r>
          </w:p>
        </w:tc>
        <w:tc>
          <w:tcPr>
            <w:tcW w:w="498"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r w:rsidR="002C286B" w:rsidRPr="00F32479" w:rsidTr="002C286B">
        <w:trPr>
          <w:trHeight w:val="300"/>
        </w:trPr>
        <w:tc>
          <w:tcPr>
            <w:tcW w:w="416" w:type="pct"/>
            <w:tcBorders>
              <w:top w:val="nil"/>
              <w:left w:val="single" w:sz="8" w:space="0" w:color="auto"/>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4</w:t>
            </w:r>
          </w:p>
        </w:tc>
        <w:tc>
          <w:tcPr>
            <w:tcW w:w="497"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5</w:t>
            </w:r>
          </w:p>
        </w:tc>
        <w:tc>
          <w:tcPr>
            <w:tcW w:w="661"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145.896,92 € </w:t>
            </w:r>
          </w:p>
        </w:tc>
        <w:tc>
          <w:tcPr>
            <w:tcW w:w="498"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r w:rsidR="002C286B" w:rsidRPr="00F32479" w:rsidTr="002C286B">
        <w:trPr>
          <w:trHeight w:val="300"/>
        </w:trPr>
        <w:tc>
          <w:tcPr>
            <w:tcW w:w="416" w:type="pct"/>
            <w:tcBorders>
              <w:top w:val="nil"/>
              <w:left w:val="single" w:sz="8" w:space="0" w:color="auto"/>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5</w:t>
            </w:r>
          </w:p>
        </w:tc>
        <w:tc>
          <w:tcPr>
            <w:tcW w:w="497"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w:t>
            </w:r>
          </w:p>
        </w:tc>
        <w:tc>
          <w:tcPr>
            <w:tcW w:w="661"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143.098,55 € </w:t>
            </w:r>
          </w:p>
        </w:tc>
        <w:tc>
          <w:tcPr>
            <w:tcW w:w="498"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r w:rsidR="002C286B" w:rsidRPr="00F32479" w:rsidTr="002C286B">
        <w:trPr>
          <w:trHeight w:val="300"/>
        </w:trPr>
        <w:tc>
          <w:tcPr>
            <w:tcW w:w="416" w:type="pct"/>
            <w:tcBorders>
              <w:top w:val="nil"/>
              <w:left w:val="single" w:sz="8" w:space="0" w:color="auto"/>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w:t>
            </w:r>
          </w:p>
        </w:tc>
        <w:tc>
          <w:tcPr>
            <w:tcW w:w="497"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8</w:t>
            </w:r>
          </w:p>
        </w:tc>
        <w:tc>
          <w:tcPr>
            <w:tcW w:w="661" w:type="pct"/>
            <w:tcBorders>
              <w:top w:val="nil"/>
              <w:left w:val="nil"/>
              <w:bottom w:val="single" w:sz="4" w:space="0" w:color="auto"/>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2.074.024,77 € </w:t>
            </w:r>
          </w:p>
        </w:tc>
        <w:tc>
          <w:tcPr>
            <w:tcW w:w="498"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r w:rsidR="002C286B" w:rsidRPr="00F32479" w:rsidTr="002C286B">
        <w:trPr>
          <w:trHeight w:val="315"/>
        </w:trPr>
        <w:tc>
          <w:tcPr>
            <w:tcW w:w="416" w:type="pct"/>
            <w:tcBorders>
              <w:top w:val="nil"/>
              <w:left w:val="single" w:sz="8" w:space="0" w:color="auto"/>
              <w:bottom w:val="nil"/>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335" w:type="pct"/>
            <w:tcBorders>
              <w:top w:val="nil"/>
              <w:left w:val="nil"/>
              <w:bottom w:val="nil"/>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497" w:type="pct"/>
            <w:tcBorders>
              <w:top w:val="nil"/>
              <w:left w:val="nil"/>
              <w:bottom w:val="nil"/>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c>
          <w:tcPr>
            <w:tcW w:w="661" w:type="pct"/>
            <w:tcBorders>
              <w:top w:val="nil"/>
              <w:left w:val="nil"/>
              <w:bottom w:val="nil"/>
              <w:right w:val="single" w:sz="4" w:space="0" w:color="auto"/>
            </w:tcBorders>
            <w:shd w:val="clear" w:color="auto" w:fill="auto"/>
            <w:noWrap/>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c>
          <w:tcPr>
            <w:tcW w:w="498"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08"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3" w:type="pct"/>
            <w:tcBorders>
              <w:top w:val="nil"/>
              <w:left w:val="nil"/>
              <w:bottom w:val="nil"/>
              <w:right w:val="single" w:sz="8" w:space="0" w:color="auto"/>
            </w:tcBorders>
            <w:shd w:val="clear" w:color="auto" w:fill="auto"/>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r w:rsidR="002C286B" w:rsidRPr="00F32479" w:rsidTr="002C286B">
        <w:trPr>
          <w:trHeight w:val="3180"/>
        </w:trPr>
        <w:tc>
          <w:tcPr>
            <w:tcW w:w="752" w:type="pct"/>
            <w:gridSpan w:val="2"/>
            <w:tcBorders>
              <w:top w:val="single" w:sz="8" w:space="0" w:color="auto"/>
              <w:left w:val="single" w:sz="8" w:space="0" w:color="auto"/>
              <w:bottom w:val="single" w:sz="8" w:space="0" w:color="auto"/>
              <w:right w:val="single" w:sz="8" w:space="0" w:color="000000"/>
            </w:tcBorders>
            <w:shd w:val="clear" w:color="000000" w:fill="E7E6E6"/>
            <w:noWrap/>
            <w:vAlign w:val="center"/>
            <w:hideMark/>
          </w:tcPr>
          <w:p w:rsidR="00445F82" w:rsidRPr="00F32479" w:rsidRDefault="00445F82" w:rsidP="00C60761">
            <w:pPr>
              <w:spacing w:after="0" w:line="240" w:lineRule="auto"/>
              <w:jc w:val="center"/>
              <w:rPr>
                <w:rFonts w:ascii="Arial" w:eastAsia="Times New Roman" w:hAnsi="Arial" w:cs="Arial"/>
                <w:b/>
                <w:bCs/>
                <w:color w:val="000000"/>
                <w:lang w:eastAsia="mk-MK"/>
              </w:rPr>
            </w:pPr>
            <w:r w:rsidRPr="00F32479">
              <w:rPr>
                <w:rFonts w:ascii="Arial" w:eastAsia="Times New Roman" w:hAnsi="Arial" w:cs="Arial"/>
                <w:b/>
                <w:bCs/>
                <w:color w:val="000000"/>
                <w:lang w:eastAsia="mk-MK"/>
              </w:rPr>
              <w:t xml:space="preserve">Total </w:t>
            </w:r>
          </w:p>
        </w:tc>
        <w:tc>
          <w:tcPr>
            <w:tcW w:w="497" w:type="pct"/>
            <w:tcBorders>
              <w:top w:val="single" w:sz="8" w:space="0" w:color="auto"/>
              <w:left w:val="nil"/>
              <w:bottom w:val="single" w:sz="8" w:space="0" w:color="auto"/>
              <w:right w:val="single" w:sz="8" w:space="0" w:color="auto"/>
            </w:tcBorders>
            <w:shd w:val="clear" w:color="000000" w:fill="E7E6E6"/>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57</w:t>
            </w:r>
          </w:p>
        </w:tc>
        <w:tc>
          <w:tcPr>
            <w:tcW w:w="661" w:type="pct"/>
            <w:tcBorders>
              <w:top w:val="single" w:sz="8" w:space="0" w:color="auto"/>
              <w:left w:val="nil"/>
              <w:bottom w:val="single" w:sz="8" w:space="0" w:color="auto"/>
              <w:right w:val="single" w:sz="8" w:space="0" w:color="auto"/>
            </w:tcBorders>
            <w:shd w:val="clear" w:color="000000" w:fill="E7E6E6"/>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13.027.728,39 € </w:t>
            </w:r>
          </w:p>
        </w:tc>
        <w:tc>
          <w:tcPr>
            <w:tcW w:w="498" w:type="pct"/>
            <w:tcBorders>
              <w:top w:val="nil"/>
              <w:left w:val="nil"/>
              <w:bottom w:val="single" w:sz="8" w:space="0" w:color="auto"/>
              <w:right w:val="single" w:sz="8" w:space="0" w:color="auto"/>
            </w:tcBorders>
            <w:shd w:val="clear" w:color="000000" w:fill="E7E6E6"/>
            <w:vAlign w:val="center"/>
            <w:hideMark/>
          </w:tcPr>
          <w:p w:rsidR="00445F82" w:rsidRPr="00F32479" w:rsidRDefault="00DF58B9" w:rsidP="00445F82">
            <w:pPr>
              <w:spacing w:after="0" w:line="240" w:lineRule="auto"/>
              <w:jc w:val="center"/>
              <w:rPr>
                <w:rFonts w:ascii="Arial" w:eastAsia="Times New Roman" w:hAnsi="Arial" w:cs="Arial"/>
                <w:lang w:val="en-US" w:eastAsia="mk-MK"/>
              </w:rPr>
            </w:pPr>
            <w:r w:rsidRPr="00F32479">
              <w:rPr>
                <w:rFonts w:ascii="Arial" w:eastAsia="Times New Roman" w:hAnsi="Arial" w:cs="Arial"/>
                <w:lang w:val="en-US" w:eastAsia="mk-MK"/>
              </w:rPr>
              <w:t>24</w:t>
            </w:r>
          </w:p>
        </w:tc>
        <w:tc>
          <w:tcPr>
            <w:tcW w:w="533" w:type="pct"/>
            <w:vMerge/>
            <w:tcBorders>
              <w:top w:val="nil"/>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c>
          <w:tcPr>
            <w:tcW w:w="471" w:type="pct"/>
            <w:tcBorders>
              <w:top w:val="single" w:sz="8" w:space="0" w:color="auto"/>
              <w:left w:val="nil"/>
              <w:bottom w:val="single" w:sz="8" w:space="0" w:color="auto"/>
              <w:right w:val="single" w:sz="8" w:space="0" w:color="auto"/>
            </w:tcBorders>
            <w:shd w:val="clear" w:color="000000" w:fill="E7E6E6"/>
            <w:vAlign w:val="center"/>
            <w:hideMark/>
          </w:tcPr>
          <w:p w:rsidR="00445F82" w:rsidRPr="00F32479" w:rsidRDefault="00DF58B9" w:rsidP="00445F82">
            <w:pPr>
              <w:spacing w:after="0" w:line="240" w:lineRule="auto"/>
              <w:jc w:val="center"/>
              <w:rPr>
                <w:rFonts w:ascii="Arial" w:eastAsia="Times New Roman" w:hAnsi="Arial" w:cs="Arial"/>
                <w:lang w:val="en-US" w:eastAsia="mk-MK"/>
              </w:rPr>
            </w:pPr>
            <w:r w:rsidRPr="00F32479">
              <w:rPr>
                <w:rFonts w:ascii="Arial" w:eastAsia="Times New Roman" w:hAnsi="Arial" w:cs="Arial"/>
                <w:lang w:val="en-US" w:eastAsia="mk-MK"/>
              </w:rPr>
              <w:t>31</w:t>
            </w:r>
          </w:p>
        </w:tc>
        <w:tc>
          <w:tcPr>
            <w:tcW w:w="508" w:type="pct"/>
            <w:tcBorders>
              <w:top w:val="single" w:sz="8" w:space="0" w:color="auto"/>
              <w:left w:val="nil"/>
              <w:bottom w:val="single" w:sz="8" w:space="0" w:color="auto"/>
              <w:right w:val="single" w:sz="8" w:space="0" w:color="auto"/>
            </w:tcBorders>
            <w:shd w:val="clear" w:color="000000" w:fill="E7E6E6"/>
            <w:vAlign w:val="center"/>
            <w:hideMark/>
          </w:tcPr>
          <w:p w:rsidR="00445F82" w:rsidRPr="00F32479" w:rsidRDefault="002C286B"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w:t>
            </w:r>
            <w:r w:rsidR="00DF58B9" w:rsidRPr="00F32479">
              <w:rPr>
                <w:rFonts w:ascii="Arial" w:eastAsia="Times New Roman" w:hAnsi="Arial" w:cs="Arial"/>
                <w:color w:val="000000"/>
                <w:lang w:eastAsia="mk-MK"/>
              </w:rPr>
              <w:t xml:space="preserve"> 6.621.696,00 €</w:t>
            </w:r>
          </w:p>
        </w:tc>
        <w:tc>
          <w:tcPr>
            <w:tcW w:w="523" w:type="pct"/>
            <w:tcBorders>
              <w:top w:val="single" w:sz="8" w:space="0" w:color="auto"/>
              <w:left w:val="nil"/>
              <w:bottom w:val="single" w:sz="8" w:space="0" w:color="auto"/>
              <w:right w:val="single" w:sz="8" w:space="0" w:color="auto"/>
            </w:tcBorders>
            <w:shd w:val="clear" w:color="000000" w:fill="E7E6E6"/>
            <w:vAlign w:val="center"/>
            <w:hideMark/>
          </w:tcPr>
          <w:p w:rsidR="00445F82" w:rsidRPr="00F32479" w:rsidRDefault="00445F82" w:rsidP="00445F82">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w:t>
            </w:r>
            <w:r w:rsidR="00DF58B9" w:rsidRPr="00F32479">
              <w:rPr>
                <w:rFonts w:ascii="Arial" w:eastAsia="Times New Roman" w:hAnsi="Arial" w:cs="Arial"/>
                <w:color w:val="000000"/>
                <w:lang w:eastAsia="mk-MK"/>
              </w:rPr>
              <w:t xml:space="preserve"> 4.966.272,00 €</w:t>
            </w: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445F82" w:rsidRPr="00F32479" w:rsidRDefault="00445F82" w:rsidP="00445F82">
            <w:pPr>
              <w:spacing w:after="0" w:line="240" w:lineRule="auto"/>
              <w:rPr>
                <w:rFonts w:ascii="Arial" w:eastAsia="Times New Roman" w:hAnsi="Arial" w:cs="Arial"/>
                <w:color w:val="000000"/>
                <w:lang w:eastAsia="mk-MK"/>
              </w:rPr>
            </w:pPr>
          </w:p>
        </w:tc>
      </w:tr>
    </w:tbl>
    <w:p w:rsidR="00566176" w:rsidRPr="002C286B" w:rsidRDefault="00566176" w:rsidP="00E044D3">
      <w:pPr>
        <w:spacing w:after="0" w:line="240" w:lineRule="auto"/>
        <w:jc w:val="both"/>
        <w:rPr>
          <w:rStyle w:val="Emphasis"/>
          <w:rFonts w:ascii="StobiSerif Regular" w:hAnsi="StobiSerif Regular"/>
          <w:i w:val="0"/>
          <w:sz w:val="20"/>
          <w:szCs w:val="20"/>
        </w:rPr>
      </w:pPr>
    </w:p>
    <w:p w:rsidR="00566176" w:rsidRPr="002C286B" w:rsidRDefault="00566176" w:rsidP="00E044D3">
      <w:pPr>
        <w:spacing w:after="0" w:line="240" w:lineRule="auto"/>
        <w:jc w:val="both"/>
        <w:rPr>
          <w:rStyle w:val="Emphasis"/>
          <w:rFonts w:ascii="StobiSerif Regular" w:hAnsi="StobiSerif Regular"/>
          <w:i w:val="0"/>
          <w:sz w:val="20"/>
          <w:szCs w:val="20"/>
        </w:rPr>
      </w:pPr>
    </w:p>
    <w:p w:rsidR="00566176" w:rsidRDefault="00566176"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E044D3">
      <w:pPr>
        <w:spacing w:after="0" w:line="240" w:lineRule="auto"/>
        <w:jc w:val="both"/>
        <w:rPr>
          <w:rStyle w:val="Emphasis"/>
          <w:rFonts w:ascii="StobiSerif Regular" w:hAnsi="StobiSerif Regular"/>
          <w:i w:val="0"/>
          <w:sz w:val="20"/>
          <w:szCs w:val="20"/>
        </w:rPr>
      </w:pPr>
    </w:p>
    <w:p w:rsidR="002C286B" w:rsidRPr="002C286B" w:rsidRDefault="002C286B" w:rsidP="00E044D3">
      <w:pPr>
        <w:spacing w:after="0" w:line="240" w:lineRule="auto"/>
        <w:jc w:val="both"/>
        <w:rPr>
          <w:rStyle w:val="Emphasis"/>
          <w:rFonts w:ascii="StobiSerif Regular" w:hAnsi="StobiSerif Regular"/>
          <w:i w:val="0"/>
          <w:sz w:val="20"/>
          <w:szCs w:val="20"/>
        </w:rPr>
      </w:pPr>
    </w:p>
    <w:p w:rsidR="002C286B" w:rsidRDefault="002C286B" w:rsidP="00566176">
      <w:pPr>
        <w:spacing w:after="0" w:line="240" w:lineRule="auto"/>
        <w:rPr>
          <w:rFonts w:ascii="StobiSerif Regular" w:eastAsia="Times New Roman" w:hAnsi="StobiSerif Regular"/>
          <w:sz w:val="20"/>
          <w:szCs w:val="20"/>
        </w:rPr>
      </w:pPr>
    </w:p>
    <w:p w:rsidR="002C286B" w:rsidRDefault="002C286B" w:rsidP="00566176">
      <w:pPr>
        <w:spacing w:after="0" w:line="240" w:lineRule="auto"/>
        <w:rPr>
          <w:rFonts w:ascii="StobiSerif Regular" w:eastAsia="Times New Roman" w:hAnsi="StobiSerif Regular"/>
          <w:sz w:val="20"/>
          <w:szCs w:val="20"/>
        </w:rPr>
      </w:pPr>
    </w:p>
    <w:tbl>
      <w:tblPr>
        <w:tblW w:w="5000" w:type="pct"/>
        <w:tblLook w:val="04A0" w:firstRow="1" w:lastRow="0" w:firstColumn="1" w:lastColumn="0" w:noHBand="0" w:noVBand="1"/>
      </w:tblPr>
      <w:tblGrid>
        <w:gridCol w:w="1247"/>
        <w:gridCol w:w="1228"/>
        <w:gridCol w:w="1676"/>
        <w:gridCol w:w="1824"/>
        <w:gridCol w:w="1575"/>
        <w:gridCol w:w="1575"/>
        <w:gridCol w:w="1476"/>
        <w:gridCol w:w="1584"/>
        <w:gridCol w:w="1618"/>
        <w:gridCol w:w="1575"/>
      </w:tblGrid>
      <w:tr w:rsidR="002C286B" w:rsidRPr="00F32479" w:rsidTr="002C286B">
        <w:trPr>
          <w:trHeight w:val="2295"/>
        </w:trPr>
        <w:tc>
          <w:tcPr>
            <w:tcW w:w="4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Measure</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Sector</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Total number of applications </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requested amount</w:t>
            </w:r>
          </w:p>
        </w:tc>
        <w:tc>
          <w:tcPr>
            <w:tcW w:w="512"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Number of rejected applications</w:t>
            </w:r>
          </w:p>
        </w:tc>
        <w:tc>
          <w:tcPr>
            <w:tcW w:w="512"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Main reason for rejection of applications</w:t>
            </w:r>
          </w:p>
        </w:tc>
        <w:tc>
          <w:tcPr>
            <w:tcW w:w="480"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Contracted projects (decision for alocation of funds is issued)</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Public Expenditure (Euros)</w:t>
            </w:r>
          </w:p>
        </w:tc>
        <w:tc>
          <w:tcPr>
            <w:tcW w:w="526" w:type="pct"/>
            <w:tcBorders>
              <w:top w:val="single" w:sz="8" w:space="0" w:color="auto"/>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Public Expenditure -EU contribution (Euros)</w:t>
            </w:r>
          </w:p>
        </w:tc>
        <w:tc>
          <w:tcPr>
            <w:tcW w:w="512" w:type="pct"/>
            <w:tcBorders>
              <w:top w:val="single" w:sz="8" w:space="0" w:color="auto"/>
              <w:left w:val="nil"/>
              <w:bottom w:val="single" w:sz="8" w:space="0" w:color="auto"/>
              <w:right w:val="single" w:sz="8" w:space="0" w:color="auto"/>
            </w:tcBorders>
            <w:shd w:val="clear" w:color="auto" w:fill="auto"/>
            <w:vAlign w:val="bottom"/>
            <w:hideMark/>
          </w:tcPr>
          <w:p w:rsidR="002C286B" w:rsidRPr="00F32479" w:rsidRDefault="002C286B" w:rsidP="002C286B">
            <w:pPr>
              <w:spacing w:after="0" w:line="240" w:lineRule="auto"/>
              <w:rPr>
                <w:rFonts w:ascii="Arial" w:eastAsia="Times New Roman" w:hAnsi="Arial" w:cs="Arial"/>
                <w:color w:val="000000"/>
                <w:lang w:eastAsia="mk-MK"/>
              </w:rPr>
            </w:pPr>
            <w:r w:rsidRPr="00F32479">
              <w:rPr>
                <w:rFonts w:ascii="Arial" w:eastAsia="Times New Roman" w:hAnsi="Arial" w:cs="Arial"/>
                <w:color w:val="000000"/>
                <w:lang w:eastAsia="mk-MK"/>
              </w:rPr>
              <w:t>Most frequent problems during processing the applications</w:t>
            </w: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39</w:t>
            </w:r>
          </w:p>
        </w:tc>
        <w:tc>
          <w:tcPr>
            <w:tcW w:w="593" w:type="pct"/>
            <w:tcBorders>
              <w:top w:val="nil"/>
              <w:left w:val="nil"/>
              <w:bottom w:val="nil"/>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1.707.838,91</w:t>
            </w:r>
          </w:p>
        </w:tc>
        <w:tc>
          <w:tcPr>
            <w:tcW w:w="5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Applicant did not complete the application with the required documents</w:t>
            </w:r>
          </w:p>
        </w:tc>
        <w:tc>
          <w:tcPr>
            <w:tcW w:w="480" w:type="pct"/>
            <w:tcBorders>
              <w:top w:val="single" w:sz="8" w:space="0" w:color="auto"/>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single" w:sz="8" w:space="0" w:color="auto"/>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single" w:sz="8" w:space="0" w:color="auto"/>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val="en-US" w:eastAsia="mk-MK"/>
              </w:rPr>
            </w:pPr>
            <w:r w:rsidRPr="00F32479">
              <w:rPr>
                <w:rFonts w:ascii="Arial" w:eastAsia="Times New Roman" w:hAnsi="Arial" w:cs="Arial"/>
                <w:color w:val="000000"/>
                <w:lang w:val="en-US" w:eastAsia="mk-MK"/>
              </w:rPr>
              <w:t>Large number of received applications</w:t>
            </w: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20</w:t>
            </w:r>
          </w:p>
        </w:tc>
        <w:tc>
          <w:tcPr>
            <w:tcW w:w="593" w:type="pct"/>
            <w:tcBorders>
              <w:top w:val="single" w:sz="4" w:space="0" w:color="auto"/>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2.617.842,07</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35</w:t>
            </w:r>
          </w:p>
        </w:tc>
        <w:tc>
          <w:tcPr>
            <w:tcW w:w="593" w:type="pct"/>
            <w:tcBorders>
              <w:top w:val="nil"/>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10.866.666,79</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4</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5</w:t>
            </w:r>
          </w:p>
        </w:tc>
        <w:tc>
          <w:tcPr>
            <w:tcW w:w="593" w:type="pct"/>
            <w:tcBorders>
              <w:top w:val="nil"/>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609.063,15</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5</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4</w:t>
            </w:r>
          </w:p>
        </w:tc>
        <w:tc>
          <w:tcPr>
            <w:tcW w:w="593" w:type="pct"/>
            <w:tcBorders>
              <w:top w:val="nil"/>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62.381,44</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593" w:type="pct"/>
            <w:tcBorders>
              <w:top w:val="nil"/>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1.628.245,59</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2C286B" w:rsidRPr="00F32479" w:rsidTr="002C286B">
        <w:trPr>
          <w:trHeight w:val="3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32</w:t>
            </w:r>
          </w:p>
        </w:tc>
        <w:tc>
          <w:tcPr>
            <w:tcW w:w="593" w:type="pct"/>
            <w:tcBorders>
              <w:top w:val="nil"/>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6.871.062,09</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nil"/>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2C286B" w:rsidRPr="00F32479" w:rsidTr="002C286B">
        <w:trPr>
          <w:trHeight w:val="31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398" w:type="pct"/>
            <w:tcBorders>
              <w:top w:val="nil"/>
              <w:left w:val="nil"/>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8</w:t>
            </w:r>
          </w:p>
        </w:tc>
        <w:tc>
          <w:tcPr>
            <w:tcW w:w="545" w:type="pct"/>
            <w:tcBorders>
              <w:top w:val="nil"/>
              <w:left w:val="single" w:sz="8" w:space="0" w:color="auto"/>
              <w:bottom w:val="single" w:sz="4" w:space="0" w:color="auto"/>
              <w:right w:val="single" w:sz="4"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46</w:t>
            </w:r>
          </w:p>
        </w:tc>
        <w:tc>
          <w:tcPr>
            <w:tcW w:w="593" w:type="pct"/>
            <w:tcBorders>
              <w:top w:val="nil"/>
              <w:left w:val="nil"/>
              <w:bottom w:val="single" w:sz="4" w:space="0" w:color="auto"/>
              <w:right w:val="nil"/>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18.195.485,10</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c>
          <w:tcPr>
            <w:tcW w:w="480" w:type="pct"/>
            <w:tcBorders>
              <w:top w:val="nil"/>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5" w:type="pct"/>
            <w:tcBorders>
              <w:top w:val="nil"/>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26" w:type="pct"/>
            <w:tcBorders>
              <w:top w:val="nil"/>
              <w:left w:val="nil"/>
              <w:bottom w:val="single" w:sz="8" w:space="0" w:color="auto"/>
              <w:right w:val="single" w:sz="8" w:space="0" w:color="auto"/>
            </w:tcBorders>
            <w:shd w:val="clear" w:color="auto" w:fill="auto"/>
            <w:vAlign w:val="center"/>
            <w:hideMark/>
          </w:tcPr>
          <w:p w:rsidR="002C286B" w:rsidRPr="00F32479" w:rsidRDefault="002C286B" w:rsidP="002C286B">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2C286B" w:rsidRPr="00F32479" w:rsidRDefault="002C286B" w:rsidP="002C286B">
            <w:pPr>
              <w:spacing w:after="0" w:line="240" w:lineRule="auto"/>
              <w:rPr>
                <w:rFonts w:ascii="Arial" w:eastAsia="Times New Roman" w:hAnsi="Arial" w:cs="Arial"/>
                <w:color w:val="000000"/>
                <w:lang w:eastAsia="mk-MK"/>
              </w:rPr>
            </w:pPr>
          </w:p>
        </w:tc>
      </w:tr>
      <w:tr w:rsidR="00C646D5" w:rsidRPr="00F32479" w:rsidTr="00C646D5">
        <w:trPr>
          <w:trHeight w:val="315"/>
        </w:trPr>
        <w:tc>
          <w:tcPr>
            <w:tcW w:w="804" w:type="pct"/>
            <w:gridSpan w:val="2"/>
            <w:tcBorders>
              <w:top w:val="single" w:sz="8" w:space="0" w:color="auto"/>
              <w:left w:val="single" w:sz="8" w:space="0" w:color="auto"/>
              <w:bottom w:val="single" w:sz="8" w:space="0" w:color="auto"/>
              <w:right w:val="single" w:sz="8" w:space="0" w:color="000000"/>
            </w:tcBorders>
            <w:shd w:val="clear" w:color="000000" w:fill="E7E6E6"/>
            <w:noWrap/>
            <w:vAlign w:val="center"/>
            <w:hideMark/>
          </w:tcPr>
          <w:p w:rsidR="00C646D5" w:rsidRPr="00F32479" w:rsidRDefault="00C646D5" w:rsidP="00C646D5">
            <w:pPr>
              <w:spacing w:after="0" w:line="240" w:lineRule="auto"/>
              <w:jc w:val="center"/>
              <w:rPr>
                <w:rFonts w:ascii="Arial" w:eastAsia="Times New Roman" w:hAnsi="Arial" w:cs="Arial"/>
                <w:b/>
                <w:bCs/>
                <w:color w:val="000000"/>
                <w:lang w:eastAsia="mk-MK"/>
              </w:rPr>
            </w:pPr>
            <w:r w:rsidRPr="00F32479">
              <w:rPr>
                <w:rFonts w:ascii="Arial" w:eastAsia="Times New Roman" w:hAnsi="Arial" w:cs="Arial"/>
                <w:b/>
                <w:bCs/>
                <w:color w:val="000000"/>
                <w:lang w:eastAsia="mk-MK"/>
              </w:rPr>
              <w:t xml:space="preserve">Total </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C646D5" w:rsidRPr="00F32479" w:rsidRDefault="00C646D5" w:rsidP="00C646D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187</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C646D5" w:rsidRPr="00F32479" w:rsidRDefault="00C646D5" w:rsidP="00C646D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42.558.585,14 € </w:t>
            </w:r>
          </w:p>
        </w:tc>
        <w:tc>
          <w:tcPr>
            <w:tcW w:w="512" w:type="pct"/>
            <w:tcBorders>
              <w:top w:val="nil"/>
              <w:left w:val="nil"/>
              <w:bottom w:val="single" w:sz="8" w:space="0" w:color="auto"/>
              <w:right w:val="single" w:sz="8" w:space="0" w:color="auto"/>
            </w:tcBorders>
            <w:shd w:val="clear" w:color="auto" w:fill="auto"/>
            <w:vAlign w:val="center"/>
            <w:hideMark/>
          </w:tcPr>
          <w:p w:rsidR="00C646D5" w:rsidRPr="00F32479" w:rsidRDefault="00C646D5" w:rsidP="00C646D5">
            <w:pPr>
              <w:spacing w:after="0" w:line="240" w:lineRule="auto"/>
              <w:jc w:val="center"/>
              <w:rPr>
                <w:rFonts w:ascii="Arial" w:eastAsia="Times New Roman" w:hAnsi="Arial" w:cs="Arial"/>
                <w:lang w:val="en-US" w:eastAsia="mk-MK"/>
              </w:rPr>
            </w:pPr>
            <w:r w:rsidRPr="00F32479">
              <w:rPr>
                <w:rFonts w:ascii="Arial" w:eastAsia="Times New Roman" w:hAnsi="Arial" w:cs="Arial"/>
                <w:lang w:val="en-US" w:eastAsia="mk-MK"/>
              </w:rPr>
              <w:t>164</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C646D5" w:rsidRPr="00F32479" w:rsidRDefault="00C646D5" w:rsidP="00C646D5">
            <w:pPr>
              <w:spacing w:after="0" w:line="240" w:lineRule="auto"/>
              <w:rPr>
                <w:rFonts w:ascii="Arial" w:eastAsia="Times New Roman" w:hAnsi="Arial" w:cs="Arial"/>
                <w:color w:val="000000"/>
                <w:lang w:eastAsia="mk-MK"/>
              </w:rPr>
            </w:pPr>
          </w:p>
        </w:tc>
        <w:tc>
          <w:tcPr>
            <w:tcW w:w="480" w:type="pct"/>
            <w:tcBorders>
              <w:top w:val="nil"/>
              <w:left w:val="nil"/>
              <w:bottom w:val="single" w:sz="8" w:space="0" w:color="auto"/>
              <w:right w:val="single" w:sz="8" w:space="0" w:color="auto"/>
            </w:tcBorders>
            <w:shd w:val="clear" w:color="auto" w:fill="auto"/>
            <w:vAlign w:val="center"/>
            <w:hideMark/>
          </w:tcPr>
          <w:p w:rsidR="00C646D5" w:rsidRPr="00F32479" w:rsidRDefault="00C646D5" w:rsidP="00C646D5">
            <w:pPr>
              <w:spacing w:after="0" w:line="240" w:lineRule="auto"/>
              <w:jc w:val="center"/>
              <w:rPr>
                <w:rFonts w:ascii="Arial" w:eastAsia="Times New Roman" w:hAnsi="Arial" w:cs="Arial"/>
                <w:lang w:val="en-US" w:eastAsia="mk-MK"/>
              </w:rPr>
            </w:pPr>
            <w:r w:rsidRPr="00F32479">
              <w:rPr>
                <w:rFonts w:ascii="Arial" w:eastAsia="Times New Roman" w:hAnsi="Arial" w:cs="Arial"/>
                <w:lang w:eastAsia="mk-MK"/>
              </w:rPr>
              <w:t>23</w:t>
            </w:r>
          </w:p>
        </w:tc>
        <w:tc>
          <w:tcPr>
            <w:tcW w:w="515" w:type="pct"/>
            <w:tcBorders>
              <w:top w:val="nil"/>
              <w:left w:val="nil"/>
              <w:bottom w:val="single" w:sz="8" w:space="0" w:color="auto"/>
              <w:right w:val="single" w:sz="8" w:space="0" w:color="auto"/>
            </w:tcBorders>
            <w:shd w:val="clear" w:color="auto" w:fill="auto"/>
            <w:vAlign w:val="center"/>
            <w:hideMark/>
          </w:tcPr>
          <w:p w:rsidR="00C646D5" w:rsidRPr="00F32479" w:rsidRDefault="00C646D5" w:rsidP="00C646D5">
            <w:pPr>
              <w:spacing w:after="0" w:line="240" w:lineRule="auto"/>
              <w:jc w:val="center"/>
              <w:rPr>
                <w:rFonts w:ascii="Arial" w:eastAsia="Times New Roman" w:hAnsi="Arial" w:cs="Arial"/>
                <w:lang w:eastAsia="mk-MK"/>
              </w:rPr>
            </w:pPr>
            <w:r w:rsidRPr="00F32479">
              <w:rPr>
                <w:rStyle w:val="Emphasis"/>
                <w:rFonts w:ascii="Arial" w:hAnsi="Arial" w:cs="Arial"/>
                <w:i w:val="0"/>
              </w:rPr>
              <w:t>4.297.194,64 €</w:t>
            </w:r>
          </w:p>
        </w:tc>
        <w:tc>
          <w:tcPr>
            <w:tcW w:w="526" w:type="pct"/>
            <w:tcBorders>
              <w:top w:val="nil"/>
              <w:left w:val="nil"/>
              <w:bottom w:val="single" w:sz="8" w:space="0" w:color="auto"/>
              <w:right w:val="single" w:sz="8" w:space="0" w:color="auto"/>
            </w:tcBorders>
            <w:shd w:val="clear" w:color="auto" w:fill="auto"/>
            <w:vAlign w:val="center"/>
            <w:hideMark/>
          </w:tcPr>
          <w:p w:rsidR="00C646D5" w:rsidRPr="00F32479" w:rsidRDefault="00C646D5" w:rsidP="00C646D5">
            <w:pPr>
              <w:spacing w:after="0" w:line="240" w:lineRule="auto"/>
              <w:jc w:val="center"/>
              <w:rPr>
                <w:rFonts w:ascii="Arial" w:eastAsia="Times New Roman" w:hAnsi="Arial" w:cs="Arial"/>
                <w:lang w:eastAsia="mk-MK"/>
              </w:rPr>
            </w:pPr>
            <w:r w:rsidRPr="00F32479">
              <w:rPr>
                <w:rStyle w:val="Emphasis"/>
                <w:rFonts w:ascii="Arial" w:hAnsi="Arial" w:cs="Arial"/>
                <w:i w:val="0"/>
              </w:rPr>
              <w:t>3.222.895,98 €</w:t>
            </w:r>
          </w:p>
        </w:tc>
        <w:tc>
          <w:tcPr>
            <w:tcW w:w="512" w:type="pct"/>
            <w:vMerge/>
            <w:tcBorders>
              <w:top w:val="single" w:sz="8" w:space="0" w:color="auto"/>
              <w:left w:val="single" w:sz="8" w:space="0" w:color="auto"/>
              <w:bottom w:val="single" w:sz="8" w:space="0" w:color="000000"/>
              <w:right w:val="single" w:sz="8" w:space="0" w:color="auto"/>
            </w:tcBorders>
            <w:vAlign w:val="center"/>
            <w:hideMark/>
          </w:tcPr>
          <w:p w:rsidR="00C646D5" w:rsidRPr="00F32479" w:rsidRDefault="00C646D5" w:rsidP="00C646D5">
            <w:pPr>
              <w:spacing w:after="0" w:line="240" w:lineRule="auto"/>
              <w:rPr>
                <w:rFonts w:ascii="Arial" w:eastAsia="Times New Roman" w:hAnsi="Arial" w:cs="Arial"/>
                <w:color w:val="000000"/>
                <w:lang w:eastAsia="mk-MK"/>
              </w:rPr>
            </w:pPr>
          </w:p>
        </w:tc>
      </w:tr>
    </w:tbl>
    <w:p w:rsidR="002C286B" w:rsidRDefault="002C286B" w:rsidP="00566176">
      <w:pPr>
        <w:spacing w:after="0" w:line="240" w:lineRule="auto"/>
        <w:rPr>
          <w:rFonts w:ascii="StobiSerif Regular" w:eastAsia="Times New Roman" w:hAnsi="StobiSerif Regular"/>
          <w:sz w:val="20"/>
          <w:szCs w:val="20"/>
        </w:rPr>
      </w:pPr>
    </w:p>
    <w:p w:rsidR="002C286B" w:rsidRPr="0058227E" w:rsidRDefault="0001614C" w:rsidP="00566176">
      <w:pPr>
        <w:spacing w:after="0" w:line="240" w:lineRule="auto"/>
        <w:rPr>
          <w:rFonts w:ascii="Arial" w:eastAsia="Times New Roman" w:hAnsi="Arial" w:cs="Arial"/>
          <w:sz w:val="20"/>
          <w:szCs w:val="20"/>
          <w:lang w:val="en-US"/>
        </w:rPr>
      </w:pPr>
      <w:r w:rsidRPr="0058227E">
        <w:rPr>
          <w:rFonts w:ascii="Arial" w:eastAsia="Times New Roman" w:hAnsi="Arial" w:cs="Arial"/>
          <w:sz w:val="20"/>
          <w:szCs w:val="20"/>
          <w:lang w:val="en-US"/>
        </w:rPr>
        <w:t>In 2018 the Agency has announced two public calls</w:t>
      </w:r>
    </w:p>
    <w:p w:rsidR="0001614C" w:rsidRDefault="0001614C" w:rsidP="00566176">
      <w:pPr>
        <w:spacing w:after="0" w:line="240" w:lineRule="auto"/>
        <w:rPr>
          <w:rFonts w:ascii="StobiSerif Regular" w:eastAsia="Times New Roman" w:hAnsi="StobiSerif Regular"/>
          <w:sz w:val="20"/>
          <w:szCs w:val="20"/>
        </w:rPr>
      </w:pPr>
    </w:p>
    <w:tbl>
      <w:tblPr>
        <w:tblW w:w="15591" w:type="dxa"/>
        <w:tblInd w:w="108" w:type="dxa"/>
        <w:tblLook w:val="04A0" w:firstRow="1" w:lastRow="0" w:firstColumn="1" w:lastColumn="0" w:noHBand="0" w:noVBand="1"/>
      </w:tblPr>
      <w:tblGrid>
        <w:gridCol w:w="1820"/>
        <w:gridCol w:w="860"/>
        <w:gridCol w:w="1378"/>
        <w:gridCol w:w="1791"/>
        <w:gridCol w:w="1540"/>
        <w:gridCol w:w="2120"/>
        <w:gridCol w:w="2240"/>
        <w:gridCol w:w="1980"/>
        <w:gridCol w:w="2000"/>
      </w:tblGrid>
      <w:tr w:rsidR="0001614C" w:rsidRPr="00F32479" w:rsidTr="00DF4405">
        <w:trPr>
          <w:trHeight w:val="315"/>
        </w:trPr>
        <w:tc>
          <w:tcPr>
            <w:tcW w:w="182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lang w:eastAsia="mk-MK"/>
              </w:rPr>
            </w:pPr>
            <w:r w:rsidRPr="00F32479">
              <w:rPr>
                <w:rFonts w:ascii="Arial" w:eastAsia="Times New Roman" w:hAnsi="Arial" w:cs="Arial"/>
                <w:lang w:eastAsia="mk-MK"/>
              </w:rPr>
              <w:t>Public call 01/18</w:t>
            </w:r>
          </w:p>
        </w:tc>
        <w:tc>
          <w:tcPr>
            <w:tcW w:w="86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lang w:eastAsia="mk-MK"/>
              </w:rPr>
            </w:pPr>
          </w:p>
        </w:tc>
        <w:tc>
          <w:tcPr>
            <w:tcW w:w="124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c>
          <w:tcPr>
            <w:tcW w:w="1791"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c>
          <w:tcPr>
            <w:tcW w:w="154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c>
          <w:tcPr>
            <w:tcW w:w="212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c>
          <w:tcPr>
            <w:tcW w:w="224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c>
          <w:tcPr>
            <w:tcW w:w="198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c>
          <w:tcPr>
            <w:tcW w:w="2000" w:type="dxa"/>
            <w:tcBorders>
              <w:top w:val="nil"/>
              <w:left w:val="nil"/>
              <w:bottom w:val="nil"/>
              <w:right w:val="nil"/>
            </w:tcBorders>
            <w:shd w:val="clear" w:color="auto" w:fill="auto"/>
            <w:noWrap/>
            <w:vAlign w:val="center"/>
            <w:hideMark/>
          </w:tcPr>
          <w:p w:rsidR="0001614C" w:rsidRPr="00F32479" w:rsidRDefault="0001614C" w:rsidP="00DF4405">
            <w:pPr>
              <w:spacing w:after="0" w:line="240" w:lineRule="auto"/>
              <w:rPr>
                <w:rFonts w:ascii="Arial" w:eastAsia="Times New Roman" w:hAnsi="Arial" w:cs="Arial"/>
                <w:sz w:val="20"/>
                <w:szCs w:val="20"/>
                <w:lang w:eastAsia="mk-MK"/>
              </w:rPr>
            </w:pPr>
          </w:p>
        </w:tc>
      </w:tr>
      <w:tr w:rsidR="00F32479" w:rsidRPr="00F32479" w:rsidTr="00DF4405">
        <w:trPr>
          <w:trHeight w:val="315"/>
        </w:trPr>
        <w:tc>
          <w:tcPr>
            <w:tcW w:w="182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lang w:eastAsia="mk-MK"/>
              </w:rPr>
            </w:pPr>
          </w:p>
        </w:tc>
        <w:tc>
          <w:tcPr>
            <w:tcW w:w="86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lang w:eastAsia="mk-MK"/>
              </w:rPr>
            </w:pPr>
          </w:p>
        </w:tc>
        <w:tc>
          <w:tcPr>
            <w:tcW w:w="124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1791"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154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212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224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198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200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r>
      <w:tr w:rsidR="00F32479" w:rsidRPr="00F32479" w:rsidTr="00DF4405">
        <w:trPr>
          <w:trHeight w:val="315"/>
        </w:trPr>
        <w:tc>
          <w:tcPr>
            <w:tcW w:w="182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lang w:eastAsia="mk-MK"/>
              </w:rPr>
            </w:pPr>
          </w:p>
        </w:tc>
        <w:tc>
          <w:tcPr>
            <w:tcW w:w="86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lang w:eastAsia="mk-MK"/>
              </w:rPr>
            </w:pPr>
          </w:p>
        </w:tc>
        <w:tc>
          <w:tcPr>
            <w:tcW w:w="124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1791"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154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212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224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198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c>
          <w:tcPr>
            <w:tcW w:w="2000" w:type="dxa"/>
            <w:tcBorders>
              <w:top w:val="nil"/>
              <w:left w:val="nil"/>
              <w:bottom w:val="nil"/>
              <w:right w:val="nil"/>
            </w:tcBorders>
            <w:shd w:val="clear" w:color="auto" w:fill="auto"/>
            <w:noWrap/>
            <w:vAlign w:val="center"/>
          </w:tcPr>
          <w:p w:rsidR="00F32479" w:rsidRPr="00F32479" w:rsidRDefault="00F32479" w:rsidP="00DF4405">
            <w:pPr>
              <w:spacing w:after="0" w:line="240" w:lineRule="auto"/>
              <w:rPr>
                <w:rFonts w:ascii="Arial" w:eastAsia="Times New Roman" w:hAnsi="Arial" w:cs="Arial"/>
                <w:sz w:val="20"/>
                <w:szCs w:val="20"/>
                <w:lang w:eastAsia="mk-MK"/>
              </w:rPr>
            </w:pPr>
          </w:p>
        </w:tc>
      </w:tr>
      <w:tr w:rsidR="0001614C" w:rsidRPr="00F32479" w:rsidTr="00DF4405">
        <w:trPr>
          <w:trHeight w:val="1515"/>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Measure</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Sector</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Total number of applications </w:t>
            </w:r>
          </w:p>
        </w:tc>
        <w:tc>
          <w:tcPr>
            <w:tcW w:w="1791"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requested amount</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No. of rejected applications</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Main reason for rejection of applications</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No. of contracted projects (decision for alocation of funds is issued)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Public Expenditure of the contracted projects</w:t>
            </w:r>
          </w:p>
        </w:tc>
        <w:tc>
          <w:tcPr>
            <w:tcW w:w="2000" w:type="dxa"/>
            <w:tcBorders>
              <w:top w:val="single" w:sz="8" w:space="0" w:color="auto"/>
              <w:left w:val="nil"/>
              <w:bottom w:val="single" w:sz="8"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Total Public Expenditure -</w:t>
            </w:r>
            <w:r w:rsidRPr="00F32479">
              <w:rPr>
                <w:rFonts w:ascii="Arial" w:eastAsia="Times New Roman" w:hAnsi="Arial" w:cs="Arial"/>
                <w:b/>
                <w:bCs/>
                <w:color w:val="000000"/>
                <w:lang w:eastAsia="mk-MK"/>
              </w:rPr>
              <w:t>IPARD II contribution</w:t>
            </w:r>
            <w:r w:rsidRPr="00F32479">
              <w:rPr>
                <w:rFonts w:ascii="Arial" w:eastAsia="Times New Roman" w:hAnsi="Arial" w:cs="Arial"/>
                <w:color w:val="000000"/>
                <w:lang w:eastAsia="mk-MK"/>
              </w:rPr>
              <w:t xml:space="preserve"> of the contracted projects</w:t>
            </w:r>
          </w:p>
        </w:tc>
      </w:tr>
      <w:tr w:rsidR="0001614C" w:rsidRPr="00F32479" w:rsidTr="00DF4405">
        <w:trPr>
          <w:trHeight w:val="30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86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w:t>
            </w:r>
          </w:p>
        </w:tc>
        <w:tc>
          <w:tcPr>
            <w:tcW w:w="124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12</w:t>
            </w:r>
          </w:p>
        </w:tc>
        <w:tc>
          <w:tcPr>
            <w:tcW w:w="1791"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2.298.133,46 €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13</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Incomplete applications and </w:t>
            </w:r>
            <w:r w:rsidRPr="00F32479">
              <w:rPr>
                <w:rFonts w:ascii="Arial" w:eastAsia="Times New Roman" w:hAnsi="Arial" w:cs="Arial"/>
                <w:color w:val="000000"/>
                <w:lang w:eastAsia="mk-MK"/>
              </w:rPr>
              <w:lastRenderedPageBreak/>
              <w:t>size of the company (SME)</w:t>
            </w:r>
          </w:p>
        </w:tc>
        <w:tc>
          <w:tcPr>
            <w:tcW w:w="224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lastRenderedPageBreak/>
              <w:t>1</w:t>
            </w:r>
          </w:p>
        </w:tc>
        <w:tc>
          <w:tcPr>
            <w:tcW w:w="198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90.399,19 € </w:t>
            </w:r>
          </w:p>
        </w:tc>
        <w:tc>
          <w:tcPr>
            <w:tcW w:w="2000" w:type="dxa"/>
            <w:tcBorders>
              <w:top w:val="nil"/>
              <w:left w:val="nil"/>
              <w:bottom w:val="single" w:sz="4"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67.799,39 € </w:t>
            </w:r>
          </w:p>
        </w:tc>
      </w:tr>
      <w:tr w:rsidR="0001614C" w:rsidRPr="00F32479" w:rsidTr="00DF4405">
        <w:trPr>
          <w:trHeight w:val="30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lastRenderedPageBreak/>
              <w:t>3</w:t>
            </w:r>
          </w:p>
        </w:tc>
        <w:tc>
          <w:tcPr>
            <w:tcW w:w="86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w:t>
            </w:r>
          </w:p>
        </w:tc>
        <w:tc>
          <w:tcPr>
            <w:tcW w:w="124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4</w:t>
            </w:r>
          </w:p>
        </w:tc>
        <w:tc>
          <w:tcPr>
            <w:tcW w:w="1791"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471.588,75 € </w:t>
            </w:r>
          </w:p>
        </w:tc>
        <w:tc>
          <w:tcPr>
            <w:tcW w:w="154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w:t>
            </w:r>
          </w:p>
        </w:tc>
        <w:tc>
          <w:tcPr>
            <w:tcW w:w="198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35.156,00 € </w:t>
            </w:r>
          </w:p>
        </w:tc>
        <w:tc>
          <w:tcPr>
            <w:tcW w:w="2000" w:type="dxa"/>
            <w:tcBorders>
              <w:top w:val="nil"/>
              <w:left w:val="nil"/>
              <w:bottom w:val="single" w:sz="4"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26.367,00 € </w:t>
            </w:r>
          </w:p>
        </w:tc>
      </w:tr>
      <w:tr w:rsidR="0001614C" w:rsidRPr="00F32479" w:rsidTr="00DF4405">
        <w:trPr>
          <w:trHeight w:val="30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86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124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30</w:t>
            </w:r>
          </w:p>
        </w:tc>
        <w:tc>
          <w:tcPr>
            <w:tcW w:w="1791"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8.860.476,32 € </w:t>
            </w:r>
          </w:p>
        </w:tc>
        <w:tc>
          <w:tcPr>
            <w:tcW w:w="154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2</w:t>
            </w:r>
          </w:p>
        </w:tc>
        <w:tc>
          <w:tcPr>
            <w:tcW w:w="198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224.546,00 € </w:t>
            </w:r>
          </w:p>
        </w:tc>
        <w:tc>
          <w:tcPr>
            <w:tcW w:w="2000" w:type="dxa"/>
            <w:tcBorders>
              <w:top w:val="nil"/>
              <w:left w:val="nil"/>
              <w:bottom w:val="single" w:sz="4"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168.409,50 € </w:t>
            </w:r>
          </w:p>
        </w:tc>
      </w:tr>
      <w:tr w:rsidR="0001614C" w:rsidRPr="00F32479" w:rsidTr="00DF4405">
        <w:trPr>
          <w:trHeight w:val="30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86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4</w:t>
            </w:r>
          </w:p>
        </w:tc>
        <w:tc>
          <w:tcPr>
            <w:tcW w:w="124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11</w:t>
            </w:r>
          </w:p>
        </w:tc>
        <w:tc>
          <w:tcPr>
            <w:tcW w:w="1791"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2.370.642,65 € </w:t>
            </w:r>
          </w:p>
        </w:tc>
        <w:tc>
          <w:tcPr>
            <w:tcW w:w="154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198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2000" w:type="dxa"/>
            <w:tcBorders>
              <w:top w:val="nil"/>
              <w:left w:val="nil"/>
              <w:bottom w:val="single" w:sz="4"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r>
      <w:tr w:rsidR="0001614C" w:rsidRPr="00F32479" w:rsidTr="00DF4405">
        <w:trPr>
          <w:trHeight w:val="30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86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5</w:t>
            </w:r>
          </w:p>
        </w:tc>
        <w:tc>
          <w:tcPr>
            <w:tcW w:w="124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1</w:t>
            </w:r>
          </w:p>
        </w:tc>
        <w:tc>
          <w:tcPr>
            <w:tcW w:w="1791"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18.116,95 € </w:t>
            </w:r>
          </w:p>
        </w:tc>
        <w:tc>
          <w:tcPr>
            <w:tcW w:w="154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198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2000" w:type="dxa"/>
            <w:tcBorders>
              <w:top w:val="nil"/>
              <w:left w:val="nil"/>
              <w:bottom w:val="single" w:sz="4"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r>
      <w:tr w:rsidR="0001614C" w:rsidRPr="00F32479" w:rsidTr="00DF4405">
        <w:trPr>
          <w:trHeight w:val="30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86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w:t>
            </w:r>
          </w:p>
        </w:tc>
        <w:tc>
          <w:tcPr>
            <w:tcW w:w="1240"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1791" w:type="dxa"/>
            <w:tcBorders>
              <w:top w:val="nil"/>
              <w:left w:val="nil"/>
              <w:bottom w:val="single" w:sz="4" w:space="0" w:color="auto"/>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1.403.788,06 € </w:t>
            </w:r>
          </w:p>
        </w:tc>
        <w:tc>
          <w:tcPr>
            <w:tcW w:w="154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1980" w:type="dxa"/>
            <w:tcBorders>
              <w:top w:val="nil"/>
              <w:left w:val="nil"/>
              <w:bottom w:val="single" w:sz="4"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2000" w:type="dxa"/>
            <w:tcBorders>
              <w:top w:val="nil"/>
              <w:left w:val="nil"/>
              <w:bottom w:val="single" w:sz="4"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r>
      <w:tr w:rsidR="0001614C" w:rsidRPr="00F32479" w:rsidTr="00DF4405">
        <w:trPr>
          <w:trHeight w:val="315"/>
        </w:trPr>
        <w:tc>
          <w:tcPr>
            <w:tcW w:w="1820" w:type="dxa"/>
            <w:tcBorders>
              <w:top w:val="nil"/>
              <w:left w:val="single" w:sz="8" w:space="0" w:color="auto"/>
              <w:bottom w:val="nil"/>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3</w:t>
            </w:r>
          </w:p>
        </w:tc>
        <w:tc>
          <w:tcPr>
            <w:tcW w:w="860" w:type="dxa"/>
            <w:tcBorders>
              <w:top w:val="nil"/>
              <w:left w:val="nil"/>
              <w:bottom w:val="nil"/>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7</w:t>
            </w:r>
          </w:p>
        </w:tc>
        <w:tc>
          <w:tcPr>
            <w:tcW w:w="1240" w:type="dxa"/>
            <w:tcBorders>
              <w:top w:val="nil"/>
              <w:left w:val="nil"/>
              <w:bottom w:val="nil"/>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c>
          <w:tcPr>
            <w:tcW w:w="1791" w:type="dxa"/>
            <w:tcBorders>
              <w:top w:val="nil"/>
              <w:left w:val="nil"/>
              <w:bottom w:val="nil"/>
              <w:right w:val="single" w:sz="4"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c>
          <w:tcPr>
            <w:tcW w:w="154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1980" w:type="dxa"/>
            <w:tcBorders>
              <w:top w:val="nil"/>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w:t>
            </w:r>
          </w:p>
        </w:tc>
        <w:tc>
          <w:tcPr>
            <w:tcW w:w="2000" w:type="dxa"/>
            <w:tcBorders>
              <w:top w:val="nil"/>
              <w:left w:val="nil"/>
              <w:bottom w:val="single" w:sz="8"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0</w:t>
            </w:r>
          </w:p>
        </w:tc>
      </w:tr>
      <w:tr w:rsidR="0001614C" w:rsidRPr="00F32479" w:rsidTr="00DF4405">
        <w:trPr>
          <w:trHeight w:val="315"/>
        </w:trPr>
        <w:tc>
          <w:tcPr>
            <w:tcW w:w="268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1614C" w:rsidRPr="00F32479" w:rsidRDefault="0001614C" w:rsidP="00DF4405">
            <w:pPr>
              <w:spacing w:after="0" w:line="240" w:lineRule="auto"/>
              <w:jc w:val="center"/>
              <w:rPr>
                <w:rFonts w:ascii="Arial" w:eastAsia="Times New Roman" w:hAnsi="Arial" w:cs="Arial"/>
                <w:b/>
                <w:bCs/>
                <w:color w:val="000000"/>
                <w:lang w:eastAsia="mk-MK"/>
              </w:rPr>
            </w:pPr>
            <w:r w:rsidRPr="00F32479">
              <w:rPr>
                <w:rFonts w:ascii="Arial" w:eastAsia="Times New Roman" w:hAnsi="Arial" w:cs="Arial"/>
                <w:b/>
                <w:bCs/>
                <w:color w:val="000000"/>
                <w:lang w:eastAsia="mk-MK"/>
              </w:rPr>
              <w:t xml:space="preserve">Total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65</w:t>
            </w:r>
          </w:p>
        </w:tc>
        <w:tc>
          <w:tcPr>
            <w:tcW w:w="1791" w:type="dxa"/>
            <w:tcBorders>
              <w:top w:val="single" w:sz="8" w:space="0" w:color="auto"/>
              <w:left w:val="nil"/>
              <w:bottom w:val="single" w:sz="8" w:space="0" w:color="auto"/>
              <w:right w:val="single" w:sz="8" w:space="0" w:color="auto"/>
            </w:tcBorders>
            <w:shd w:val="clear" w:color="auto" w:fill="auto"/>
            <w:noWrap/>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15.422.746,18 € </w:t>
            </w:r>
          </w:p>
        </w:tc>
        <w:tc>
          <w:tcPr>
            <w:tcW w:w="1540" w:type="dxa"/>
            <w:tcBorders>
              <w:top w:val="nil"/>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lang w:eastAsia="mk-MK"/>
              </w:rPr>
            </w:pPr>
            <w:r w:rsidRPr="00F32479">
              <w:rPr>
                <w:rFonts w:ascii="Arial" w:eastAsia="Times New Roman" w:hAnsi="Arial" w:cs="Arial"/>
                <w:lang w:eastAsia="mk-MK"/>
              </w:rPr>
              <w:t>13</w:t>
            </w:r>
          </w:p>
        </w:tc>
        <w:tc>
          <w:tcPr>
            <w:tcW w:w="2120" w:type="dxa"/>
            <w:vMerge/>
            <w:tcBorders>
              <w:top w:val="nil"/>
              <w:left w:val="single" w:sz="8" w:space="0" w:color="auto"/>
              <w:bottom w:val="single" w:sz="8" w:space="0" w:color="000000"/>
              <w:right w:val="single" w:sz="8" w:space="0" w:color="auto"/>
            </w:tcBorders>
            <w:vAlign w:val="center"/>
            <w:hideMark/>
          </w:tcPr>
          <w:p w:rsidR="0001614C" w:rsidRPr="00F32479" w:rsidRDefault="0001614C" w:rsidP="00DF4405">
            <w:pPr>
              <w:spacing w:after="0" w:line="240" w:lineRule="auto"/>
              <w:rPr>
                <w:rFonts w:ascii="Arial" w:eastAsia="Times New Roman" w:hAnsi="Arial" w:cs="Arial"/>
                <w:color w:val="000000"/>
                <w:lang w:eastAsia="mk-MK"/>
              </w:rPr>
            </w:pPr>
          </w:p>
        </w:tc>
        <w:tc>
          <w:tcPr>
            <w:tcW w:w="2240" w:type="dxa"/>
            <w:tcBorders>
              <w:top w:val="nil"/>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lang w:eastAsia="mk-MK"/>
              </w:rPr>
            </w:pPr>
            <w:r w:rsidRPr="00F32479">
              <w:rPr>
                <w:rFonts w:ascii="Arial" w:eastAsia="Times New Roman" w:hAnsi="Arial" w:cs="Arial"/>
                <w:lang w:eastAsia="mk-MK"/>
              </w:rPr>
              <w:t>4</w:t>
            </w:r>
          </w:p>
        </w:tc>
        <w:tc>
          <w:tcPr>
            <w:tcW w:w="1980" w:type="dxa"/>
            <w:tcBorders>
              <w:top w:val="nil"/>
              <w:left w:val="nil"/>
              <w:bottom w:val="single" w:sz="8" w:space="0" w:color="auto"/>
              <w:right w:val="single" w:sz="8" w:space="0" w:color="auto"/>
            </w:tcBorders>
            <w:shd w:val="clear" w:color="auto" w:fill="auto"/>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350.101,19 € </w:t>
            </w:r>
          </w:p>
        </w:tc>
        <w:tc>
          <w:tcPr>
            <w:tcW w:w="2000" w:type="dxa"/>
            <w:tcBorders>
              <w:top w:val="nil"/>
              <w:left w:val="nil"/>
              <w:bottom w:val="single" w:sz="8" w:space="0" w:color="auto"/>
              <w:right w:val="single" w:sz="8" w:space="0" w:color="auto"/>
            </w:tcBorders>
            <w:shd w:val="clear" w:color="000000" w:fill="FFFF00"/>
            <w:vAlign w:val="center"/>
            <w:hideMark/>
          </w:tcPr>
          <w:p w:rsidR="0001614C" w:rsidRPr="00F32479" w:rsidRDefault="0001614C" w:rsidP="00DF4405">
            <w:pPr>
              <w:spacing w:after="0" w:line="240" w:lineRule="auto"/>
              <w:jc w:val="center"/>
              <w:rPr>
                <w:rFonts w:ascii="Arial" w:eastAsia="Times New Roman" w:hAnsi="Arial" w:cs="Arial"/>
                <w:color w:val="000000"/>
                <w:lang w:eastAsia="mk-MK"/>
              </w:rPr>
            </w:pPr>
            <w:r w:rsidRPr="00F32479">
              <w:rPr>
                <w:rFonts w:ascii="Arial" w:eastAsia="Times New Roman" w:hAnsi="Arial" w:cs="Arial"/>
                <w:color w:val="000000"/>
                <w:lang w:eastAsia="mk-MK"/>
              </w:rPr>
              <w:t xml:space="preserve">                 262.575,89 € </w:t>
            </w:r>
          </w:p>
        </w:tc>
      </w:tr>
    </w:tbl>
    <w:p w:rsidR="0001614C" w:rsidRDefault="0001614C" w:rsidP="00566176">
      <w:pPr>
        <w:spacing w:after="0" w:line="240" w:lineRule="auto"/>
        <w:rPr>
          <w:rFonts w:ascii="StobiSerif Regular" w:eastAsia="Times New Roman" w:hAnsi="StobiSerif Regular"/>
          <w:sz w:val="20"/>
          <w:szCs w:val="20"/>
        </w:rPr>
      </w:pPr>
    </w:p>
    <w:tbl>
      <w:tblPr>
        <w:tblW w:w="14946" w:type="dxa"/>
        <w:tblInd w:w="108" w:type="dxa"/>
        <w:tblLook w:val="04A0" w:firstRow="1" w:lastRow="0" w:firstColumn="1" w:lastColumn="0" w:noHBand="0" w:noVBand="1"/>
      </w:tblPr>
      <w:tblGrid>
        <w:gridCol w:w="995"/>
        <w:gridCol w:w="1665"/>
        <w:gridCol w:w="1560"/>
        <w:gridCol w:w="1866"/>
        <w:gridCol w:w="1520"/>
        <w:gridCol w:w="1740"/>
        <w:gridCol w:w="1980"/>
        <w:gridCol w:w="1780"/>
        <w:gridCol w:w="1840"/>
      </w:tblGrid>
      <w:tr w:rsidR="0001614C" w:rsidRPr="00271508" w:rsidTr="00DF4405">
        <w:trPr>
          <w:trHeight w:val="315"/>
        </w:trPr>
        <w:tc>
          <w:tcPr>
            <w:tcW w:w="2660" w:type="dxa"/>
            <w:gridSpan w:val="2"/>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r w:rsidRPr="00271508">
              <w:rPr>
                <w:rFonts w:ascii="Arial" w:eastAsia="Times New Roman" w:hAnsi="Arial" w:cs="Arial"/>
                <w:sz w:val="20"/>
                <w:szCs w:val="20"/>
                <w:lang w:eastAsia="mk-MK"/>
              </w:rPr>
              <w:t>Public call 02/18</w:t>
            </w:r>
          </w:p>
        </w:tc>
        <w:tc>
          <w:tcPr>
            <w:tcW w:w="1560"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c>
          <w:tcPr>
            <w:tcW w:w="1866"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c>
          <w:tcPr>
            <w:tcW w:w="1520"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c>
          <w:tcPr>
            <w:tcW w:w="1740"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c>
          <w:tcPr>
            <w:tcW w:w="1980"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c>
          <w:tcPr>
            <w:tcW w:w="1780"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c>
          <w:tcPr>
            <w:tcW w:w="1840" w:type="dxa"/>
            <w:tcBorders>
              <w:top w:val="nil"/>
              <w:left w:val="nil"/>
              <w:bottom w:val="nil"/>
              <w:right w:val="nil"/>
            </w:tcBorders>
            <w:shd w:val="clear" w:color="auto" w:fill="auto"/>
            <w:noWrap/>
            <w:vAlign w:val="center"/>
            <w:hideMark/>
          </w:tcPr>
          <w:p w:rsidR="0001614C" w:rsidRPr="00271508" w:rsidRDefault="0001614C" w:rsidP="00DF4405">
            <w:pPr>
              <w:spacing w:after="0" w:line="240" w:lineRule="auto"/>
              <w:rPr>
                <w:rFonts w:ascii="Arial" w:eastAsia="Times New Roman" w:hAnsi="Arial" w:cs="Arial"/>
                <w:sz w:val="20"/>
                <w:szCs w:val="20"/>
                <w:lang w:eastAsia="mk-MK"/>
              </w:rPr>
            </w:pPr>
          </w:p>
        </w:tc>
      </w:tr>
      <w:tr w:rsidR="0001614C" w:rsidRPr="00271508" w:rsidTr="00DF4405">
        <w:trPr>
          <w:trHeight w:val="18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Measure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Sector</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Total number of applications </w:t>
            </w:r>
          </w:p>
        </w:tc>
        <w:tc>
          <w:tcPr>
            <w:tcW w:w="1866"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Total requested amount</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No. of rejected applications</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Main reason for rejection of applications</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No. of contracted projects (decision for alocation of funds is issued)</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Total Public Expenditure of the contracted projects</w:t>
            </w:r>
          </w:p>
        </w:tc>
        <w:tc>
          <w:tcPr>
            <w:tcW w:w="1840" w:type="dxa"/>
            <w:tcBorders>
              <w:top w:val="single" w:sz="8" w:space="0" w:color="auto"/>
              <w:left w:val="nil"/>
              <w:bottom w:val="single" w:sz="8" w:space="0" w:color="auto"/>
              <w:right w:val="single" w:sz="8" w:space="0" w:color="auto"/>
            </w:tcBorders>
            <w:shd w:val="clear" w:color="000000" w:fill="FFFF00"/>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Total Public Expenditure -</w:t>
            </w:r>
            <w:r w:rsidRPr="00271508">
              <w:rPr>
                <w:rFonts w:ascii="Arial" w:eastAsia="Times New Roman" w:hAnsi="Arial" w:cs="Arial"/>
                <w:b/>
                <w:bCs/>
                <w:color w:val="000000"/>
                <w:sz w:val="20"/>
                <w:szCs w:val="20"/>
                <w:lang w:eastAsia="mk-MK"/>
              </w:rPr>
              <w:t>IPARD II contribution</w:t>
            </w:r>
            <w:r w:rsidRPr="00271508">
              <w:rPr>
                <w:rFonts w:ascii="Arial" w:eastAsia="Times New Roman" w:hAnsi="Arial" w:cs="Arial"/>
                <w:color w:val="000000"/>
                <w:sz w:val="20"/>
                <w:szCs w:val="20"/>
                <w:lang w:eastAsia="mk-MK"/>
              </w:rPr>
              <w:t xml:space="preserve"> of the contracted projects</w:t>
            </w:r>
          </w:p>
        </w:tc>
      </w:tr>
      <w:tr w:rsidR="0001614C" w:rsidRPr="00271508" w:rsidTr="00DF4405">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w:t>
            </w:r>
          </w:p>
        </w:tc>
        <w:tc>
          <w:tcPr>
            <w:tcW w:w="1700" w:type="dxa"/>
            <w:tcBorders>
              <w:top w:val="nil"/>
              <w:left w:val="nil"/>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w:t>
            </w:r>
          </w:p>
        </w:tc>
        <w:tc>
          <w:tcPr>
            <w:tcW w:w="1560" w:type="dxa"/>
            <w:tcBorders>
              <w:top w:val="nil"/>
              <w:left w:val="nil"/>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1061</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01614C" w:rsidRPr="00271508" w:rsidRDefault="0001614C" w:rsidP="00F32479">
            <w:pPr>
              <w:spacing w:after="0" w:line="240" w:lineRule="auto"/>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12.722.322,77 € </w:t>
            </w:r>
          </w:p>
        </w:tc>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59</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Incomplete applications</w:t>
            </w:r>
          </w:p>
        </w:tc>
        <w:tc>
          <w:tcPr>
            <w:tcW w:w="19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7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840" w:type="dxa"/>
            <w:tcBorders>
              <w:top w:val="nil"/>
              <w:left w:val="nil"/>
              <w:bottom w:val="nil"/>
              <w:right w:val="single" w:sz="8" w:space="0" w:color="auto"/>
            </w:tcBorders>
            <w:shd w:val="clear" w:color="000000" w:fill="FFFF00"/>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r>
      <w:tr w:rsidR="0001614C" w:rsidRPr="00271508" w:rsidTr="00DF4405">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w:t>
            </w:r>
          </w:p>
        </w:tc>
        <w:tc>
          <w:tcPr>
            <w:tcW w:w="1700" w:type="dxa"/>
            <w:tcBorders>
              <w:top w:val="nil"/>
              <w:left w:val="nil"/>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2</w:t>
            </w:r>
          </w:p>
        </w:tc>
        <w:tc>
          <w:tcPr>
            <w:tcW w:w="1560" w:type="dxa"/>
            <w:tcBorders>
              <w:top w:val="nil"/>
              <w:left w:val="nil"/>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32</w:t>
            </w:r>
          </w:p>
        </w:tc>
        <w:tc>
          <w:tcPr>
            <w:tcW w:w="1866" w:type="dxa"/>
            <w:tcBorders>
              <w:top w:val="nil"/>
              <w:left w:val="nil"/>
              <w:bottom w:val="single" w:sz="4" w:space="0" w:color="auto"/>
              <w:right w:val="single" w:sz="4" w:space="0" w:color="auto"/>
            </w:tcBorders>
            <w:shd w:val="clear" w:color="auto" w:fill="auto"/>
            <w:noWrap/>
            <w:vAlign w:val="center"/>
            <w:hideMark/>
          </w:tcPr>
          <w:p w:rsidR="0001614C" w:rsidRPr="00271508" w:rsidRDefault="0001614C" w:rsidP="00F32479">
            <w:pPr>
              <w:spacing w:after="0" w:line="240" w:lineRule="auto"/>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6.015.214,90 € </w:t>
            </w:r>
          </w:p>
        </w:tc>
        <w:tc>
          <w:tcPr>
            <w:tcW w:w="1520" w:type="dxa"/>
            <w:vMerge/>
            <w:tcBorders>
              <w:top w:val="nil"/>
              <w:left w:val="single" w:sz="8" w:space="0" w:color="auto"/>
              <w:bottom w:val="single" w:sz="8" w:space="0" w:color="000000"/>
              <w:right w:val="single" w:sz="8" w:space="0" w:color="auto"/>
            </w:tcBorders>
            <w:vAlign w:val="center"/>
            <w:hideMark/>
          </w:tcPr>
          <w:p w:rsidR="0001614C" w:rsidRPr="00271508" w:rsidRDefault="0001614C" w:rsidP="00DF4405">
            <w:pPr>
              <w:spacing w:after="0" w:line="240" w:lineRule="auto"/>
              <w:rPr>
                <w:rFonts w:ascii="Arial" w:eastAsia="Times New Roman" w:hAnsi="Arial" w:cs="Arial"/>
                <w:color w:val="000000"/>
                <w:sz w:val="20"/>
                <w:szCs w:val="20"/>
                <w:lang w:eastAsia="mk-MK"/>
              </w:rPr>
            </w:pPr>
          </w:p>
        </w:tc>
        <w:tc>
          <w:tcPr>
            <w:tcW w:w="1740" w:type="dxa"/>
            <w:vMerge/>
            <w:tcBorders>
              <w:top w:val="nil"/>
              <w:left w:val="single" w:sz="8" w:space="0" w:color="auto"/>
              <w:bottom w:val="single" w:sz="8" w:space="0" w:color="000000"/>
              <w:right w:val="single" w:sz="8" w:space="0" w:color="auto"/>
            </w:tcBorders>
            <w:vAlign w:val="center"/>
            <w:hideMark/>
          </w:tcPr>
          <w:p w:rsidR="0001614C" w:rsidRPr="00271508" w:rsidRDefault="0001614C" w:rsidP="00DF4405">
            <w:pPr>
              <w:spacing w:after="0" w:line="240" w:lineRule="auto"/>
              <w:rPr>
                <w:rFonts w:ascii="Arial" w:eastAsia="Times New Roman" w:hAnsi="Arial" w:cs="Arial"/>
                <w:color w:val="000000"/>
                <w:sz w:val="20"/>
                <w:szCs w:val="20"/>
                <w:lang w:eastAsia="mk-MK"/>
              </w:rPr>
            </w:pPr>
          </w:p>
        </w:tc>
        <w:tc>
          <w:tcPr>
            <w:tcW w:w="19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7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840" w:type="dxa"/>
            <w:tcBorders>
              <w:top w:val="nil"/>
              <w:left w:val="nil"/>
              <w:bottom w:val="nil"/>
              <w:right w:val="single" w:sz="8" w:space="0" w:color="auto"/>
            </w:tcBorders>
            <w:shd w:val="clear" w:color="000000" w:fill="FFFF00"/>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r>
      <w:tr w:rsidR="0001614C" w:rsidRPr="00271508" w:rsidTr="00DF4405">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w:t>
            </w:r>
          </w:p>
        </w:tc>
        <w:tc>
          <w:tcPr>
            <w:tcW w:w="1700" w:type="dxa"/>
            <w:tcBorders>
              <w:top w:val="nil"/>
              <w:left w:val="nil"/>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3</w:t>
            </w:r>
          </w:p>
        </w:tc>
        <w:tc>
          <w:tcPr>
            <w:tcW w:w="1560" w:type="dxa"/>
            <w:tcBorders>
              <w:top w:val="nil"/>
              <w:left w:val="nil"/>
              <w:bottom w:val="single" w:sz="4"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4</w:t>
            </w:r>
          </w:p>
        </w:tc>
        <w:tc>
          <w:tcPr>
            <w:tcW w:w="1866" w:type="dxa"/>
            <w:tcBorders>
              <w:top w:val="nil"/>
              <w:left w:val="nil"/>
              <w:bottom w:val="single" w:sz="4" w:space="0" w:color="auto"/>
              <w:right w:val="single" w:sz="4" w:space="0" w:color="auto"/>
            </w:tcBorders>
            <w:shd w:val="clear" w:color="auto" w:fill="auto"/>
            <w:noWrap/>
            <w:vAlign w:val="center"/>
            <w:hideMark/>
          </w:tcPr>
          <w:p w:rsidR="0001614C" w:rsidRPr="00271508" w:rsidRDefault="0001614C" w:rsidP="00F32479">
            <w:pPr>
              <w:spacing w:after="0" w:line="240" w:lineRule="auto"/>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61.680,69 € </w:t>
            </w:r>
          </w:p>
        </w:tc>
        <w:tc>
          <w:tcPr>
            <w:tcW w:w="1520" w:type="dxa"/>
            <w:vMerge/>
            <w:tcBorders>
              <w:top w:val="nil"/>
              <w:left w:val="single" w:sz="8" w:space="0" w:color="auto"/>
              <w:bottom w:val="single" w:sz="8" w:space="0" w:color="000000"/>
              <w:right w:val="single" w:sz="8" w:space="0" w:color="auto"/>
            </w:tcBorders>
            <w:vAlign w:val="center"/>
            <w:hideMark/>
          </w:tcPr>
          <w:p w:rsidR="0001614C" w:rsidRPr="00271508" w:rsidRDefault="0001614C" w:rsidP="00DF4405">
            <w:pPr>
              <w:spacing w:after="0" w:line="240" w:lineRule="auto"/>
              <w:rPr>
                <w:rFonts w:ascii="Arial" w:eastAsia="Times New Roman" w:hAnsi="Arial" w:cs="Arial"/>
                <w:color w:val="000000"/>
                <w:sz w:val="20"/>
                <w:szCs w:val="20"/>
                <w:lang w:eastAsia="mk-MK"/>
              </w:rPr>
            </w:pPr>
          </w:p>
        </w:tc>
        <w:tc>
          <w:tcPr>
            <w:tcW w:w="1740" w:type="dxa"/>
            <w:vMerge/>
            <w:tcBorders>
              <w:top w:val="nil"/>
              <w:left w:val="single" w:sz="8" w:space="0" w:color="auto"/>
              <w:bottom w:val="single" w:sz="8" w:space="0" w:color="000000"/>
              <w:right w:val="single" w:sz="8" w:space="0" w:color="auto"/>
            </w:tcBorders>
            <w:vAlign w:val="center"/>
            <w:hideMark/>
          </w:tcPr>
          <w:p w:rsidR="0001614C" w:rsidRPr="00271508" w:rsidRDefault="0001614C" w:rsidP="00DF4405">
            <w:pPr>
              <w:spacing w:after="0" w:line="240" w:lineRule="auto"/>
              <w:rPr>
                <w:rFonts w:ascii="Arial" w:eastAsia="Times New Roman" w:hAnsi="Arial" w:cs="Arial"/>
                <w:color w:val="000000"/>
                <w:sz w:val="20"/>
                <w:szCs w:val="20"/>
                <w:lang w:eastAsia="mk-MK"/>
              </w:rPr>
            </w:pPr>
          </w:p>
        </w:tc>
        <w:tc>
          <w:tcPr>
            <w:tcW w:w="19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7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840" w:type="dxa"/>
            <w:tcBorders>
              <w:top w:val="nil"/>
              <w:left w:val="nil"/>
              <w:bottom w:val="nil"/>
              <w:right w:val="single" w:sz="8" w:space="0" w:color="auto"/>
            </w:tcBorders>
            <w:shd w:val="clear" w:color="000000" w:fill="FFFF00"/>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r>
      <w:tr w:rsidR="0001614C" w:rsidRPr="00271508" w:rsidTr="00DF4405">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w:t>
            </w:r>
          </w:p>
        </w:tc>
        <w:tc>
          <w:tcPr>
            <w:tcW w:w="1700" w:type="dxa"/>
            <w:tcBorders>
              <w:top w:val="nil"/>
              <w:left w:val="nil"/>
              <w:bottom w:val="nil"/>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4</w:t>
            </w:r>
          </w:p>
        </w:tc>
        <w:tc>
          <w:tcPr>
            <w:tcW w:w="1560" w:type="dxa"/>
            <w:tcBorders>
              <w:top w:val="nil"/>
              <w:left w:val="nil"/>
              <w:bottom w:val="nil"/>
              <w:right w:val="single" w:sz="4"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2</w:t>
            </w:r>
          </w:p>
        </w:tc>
        <w:tc>
          <w:tcPr>
            <w:tcW w:w="1866" w:type="dxa"/>
            <w:tcBorders>
              <w:top w:val="nil"/>
              <w:left w:val="nil"/>
              <w:bottom w:val="nil"/>
              <w:right w:val="single" w:sz="4" w:space="0" w:color="auto"/>
            </w:tcBorders>
            <w:shd w:val="clear" w:color="auto" w:fill="auto"/>
            <w:noWrap/>
            <w:vAlign w:val="center"/>
            <w:hideMark/>
          </w:tcPr>
          <w:p w:rsidR="0001614C" w:rsidRPr="00271508" w:rsidRDefault="0001614C" w:rsidP="00F32479">
            <w:pPr>
              <w:spacing w:after="0" w:line="240" w:lineRule="auto"/>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                       4.586,64 € </w:t>
            </w:r>
          </w:p>
        </w:tc>
        <w:tc>
          <w:tcPr>
            <w:tcW w:w="1520" w:type="dxa"/>
            <w:vMerge/>
            <w:tcBorders>
              <w:top w:val="nil"/>
              <w:left w:val="single" w:sz="8" w:space="0" w:color="auto"/>
              <w:bottom w:val="single" w:sz="8" w:space="0" w:color="000000"/>
              <w:right w:val="single" w:sz="8" w:space="0" w:color="auto"/>
            </w:tcBorders>
            <w:vAlign w:val="center"/>
            <w:hideMark/>
          </w:tcPr>
          <w:p w:rsidR="0001614C" w:rsidRPr="00271508" w:rsidRDefault="0001614C" w:rsidP="00DF4405">
            <w:pPr>
              <w:spacing w:after="0" w:line="240" w:lineRule="auto"/>
              <w:rPr>
                <w:rFonts w:ascii="Arial" w:eastAsia="Times New Roman" w:hAnsi="Arial" w:cs="Arial"/>
                <w:color w:val="000000"/>
                <w:sz w:val="20"/>
                <w:szCs w:val="20"/>
                <w:lang w:eastAsia="mk-MK"/>
              </w:rPr>
            </w:pPr>
          </w:p>
        </w:tc>
        <w:tc>
          <w:tcPr>
            <w:tcW w:w="1740" w:type="dxa"/>
            <w:vMerge/>
            <w:tcBorders>
              <w:top w:val="nil"/>
              <w:left w:val="single" w:sz="8" w:space="0" w:color="auto"/>
              <w:bottom w:val="single" w:sz="8" w:space="0" w:color="000000"/>
              <w:right w:val="single" w:sz="8" w:space="0" w:color="auto"/>
            </w:tcBorders>
            <w:vAlign w:val="center"/>
            <w:hideMark/>
          </w:tcPr>
          <w:p w:rsidR="0001614C" w:rsidRPr="00271508" w:rsidRDefault="0001614C" w:rsidP="00DF4405">
            <w:pPr>
              <w:spacing w:after="0" w:line="240" w:lineRule="auto"/>
              <w:rPr>
                <w:rFonts w:ascii="Arial" w:eastAsia="Times New Roman" w:hAnsi="Arial" w:cs="Arial"/>
                <w:color w:val="000000"/>
                <w:sz w:val="20"/>
                <w:szCs w:val="20"/>
                <w:lang w:eastAsia="mk-MK"/>
              </w:rPr>
            </w:pPr>
          </w:p>
        </w:tc>
        <w:tc>
          <w:tcPr>
            <w:tcW w:w="19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780" w:type="dxa"/>
            <w:tcBorders>
              <w:top w:val="nil"/>
              <w:left w:val="nil"/>
              <w:bottom w:val="nil"/>
              <w:right w:val="single" w:sz="8" w:space="0" w:color="auto"/>
            </w:tcBorders>
            <w:shd w:val="clear" w:color="auto" w:fill="auto"/>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840" w:type="dxa"/>
            <w:tcBorders>
              <w:top w:val="nil"/>
              <w:left w:val="nil"/>
              <w:bottom w:val="nil"/>
              <w:right w:val="single" w:sz="8" w:space="0" w:color="auto"/>
            </w:tcBorders>
            <w:shd w:val="clear" w:color="000000" w:fill="FFFF00"/>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r>
      <w:tr w:rsidR="0001614C" w:rsidRPr="00271508" w:rsidTr="00DF4405">
        <w:trPr>
          <w:trHeight w:val="315"/>
        </w:trPr>
        <w:tc>
          <w:tcPr>
            <w:tcW w:w="266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1614C" w:rsidRPr="00271508" w:rsidRDefault="0001614C" w:rsidP="00DF4405">
            <w:pPr>
              <w:spacing w:after="0" w:line="240" w:lineRule="auto"/>
              <w:jc w:val="center"/>
              <w:rPr>
                <w:rFonts w:ascii="Arial" w:eastAsia="Times New Roman" w:hAnsi="Arial" w:cs="Arial"/>
                <w:b/>
                <w:bCs/>
                <w:color w:val="000000"/>
                <w:sz w:val="20"/>
                <w:szCs w:val="20"/>
                <w:lang w:eastAsia="mk-MK"/>
              </w:rPr>
            </w:pPr>
            <w:r w:rsidRPr="00271508">
              <w:rPr>
                <w:rFonts w:ascii="Arial" w:eastAsia="Times New Roman" w:hAnsi="Arial" w:cs="Arial"/>
                <w:b/>
                <w:bCs/>
                <w:color w:val="000000"/>
                <w:sz w:val="20"/>
                <w:szCs w:val="20"/>
                <w:lang w:eastAsia="mk-MK"/>
              </w:rPr>
              <w:t xml:space="preserve">Total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1099</w:t>
            </w:r>
          </w:p>
        </w:tc>
        <w:tc>
          <w:tcPr>
            <w:tcW w:w="1866" w:type="dxa"/>
            <w:tcBorders>
              <w:top w:val="single" w:sz="8" w:space="0" w:color="auto"/>
              <w:left w:val="nil"/>
              <w:bottom w:val="single" w:sz="8" w:space="0" w:color="auto"/>
              <w:right w:val="single" w:sz="8" w:space="0" w:color="auto"/>
            </w:tcBorders>
            <w:shd w:val="clear" w:color="000000" w:fill="FFFFFF"/>
            <w:noWrap/>
            <w:vAlign w:val="center"/>
            <w:hideMark/>
          </w:tcPr>
          <w:p w:rsidR="0001614C" w:rsidRPr="00271508" w:rsidRDefault="0001614C" w:rsidP="00F32479">
            <w:pPr>
              <w:spacing w:after="0" w:line="240" w:lineRule="auto"/>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18.803.804,99 € </w:t>
            </w:r>
          </w:p>
        </w:tc>
        <w:tc>
          <w:tcPr>
            <w:tcW w:w="1520" w:type="dxa"/>
            <w:tcBorders>
              <w:top w:val="nil"/>
              <w:left w:val="nil"/>
              <w:bottom w:val="single" w:sz="8" w:space="0" w:color="auto"/>
              <w:right w:val="single" w:sz="8" w:space="0" w:color="auto"/>
            </w:tcBorders>
            <w:shd w:val="clear" w:color="000000" w:fill="FFFFFF"/>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59</w:t>
            </w:r>
          </w:p>
        </w:tc>
        <w:tc>
          <w:tcPr>
            <w:tcW w:w="1740" w:type="dxa"/>
            <w:tcBorders>
              <w:top w:val="nil"/>
              <w:left w:val="nil"/>
              <w:bottom w:val="single" w:sz="8" w:space="0" w:color="auto"/>
              <w:right w:val="single" w:sz="8" w:space="0" w:color="auto"/>
            </w:tcBorders>
            <w:shd w:val="clear" w:color="000000" w:fill="FFFFFF"/>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0</w:t>
            </w:r>
          </w:p>
        </w:tc>
        <w:tc>
          <w:tcPr>
            <w:tcW w:w="1780" w:type="dxa"/>
            <w:tcBorders>
              <w:top w:val="single" w:sz="8" w:space="0" w:color="auto"/>
              <w:left w:val="nil"/>
              <w:bottom w:val="single" w:sz="8" w:space="0" w:color="auto"/>
              <w:right w:val="single" w:sz="8" w:space="0" w:color="auto"/>
            </w:tcBorders>
            <w:shd w:val="clear" w:color="000000" w:fill="FFFFFF"/>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                             -   € </w:t>
            </w:r>
          </w:p>
        </w:tc>
        <w:tc>
          <w:tcPr>
            <w:tcW w:w="1840" w:type="dxa"/>
            <w:tcBorders>
              <w:top w:val="single" w:sz="8" w:space="0" w:color="auto"/>
              <w:left w:val="nil"/>
              <w:bottom w:val="single" w:sz="8" w:space="0" w:color="auto"/>
              <w:right w:val="single" w:sz="8" w:space="0" w:color="auto"/>
            </w:tcBorders>
            <w:shd w:val="clear" w:color="000000" w:fill="FFFF00"/>
            <w:vAlign w:val="center"/>
            <w:hideMark/>
          </w:tcPr>
          <w:p w:rsidR="0001614C" w:rsidRPr="00271508" w:rsidRDefault="0001614C" w:rsidP="00DF4405">
            <w:pPr>
              <w:spacing w:after="0" w:line="240" w:lineRule="auto"/>
              <w:jc w:val="center"/>
              <w:rPr>
                <w:rFonts w:ascii="Arial" w:eastAsia="Times New Roman" w:hAnsi="Arial" w:cs="Arial"/>
                <w:color w:val="000000"/>
                <w:sz w:val="20"/>
                <w:szCs w:val="20"/>
                <w:lang w:eastAsia="mk-MK"/>
              </w:rPr>
            </w:pPr>
            <w:r w:rsidRPr="00271508">
              <w:rPr>
                <w:rFonts w:ascii="Arial" w:eastAsia="Times New Roman" w:hAnsi="Arial" w:cs="Arial"/>
                <w:color w:val="000000"/>
                <w:sz w:val="20"/>
                <w:szCs w:val="20"/>
                <w:lang w:eastAsia="mk-MK"/>
              </w:rPr>
              <w:t xml:space="preserve">                               -   € </w:t>
            </w:r>
          </w:p>
        </w:tc>
      </w:tr>
    </w:tbl>
    <w:p w:rsidR="0001614C" w:rsidRDefault="0001614C" w:rsidP="00566176">
      <w:pPr>
        <w:spacing w:after="0" w:line="240" w:lineRule="auto"/>
        <w:rPr>
          <w:rFonts w:ascii="StobiSerif Regular" w:eastAsia="Times New Roman" w:hAnsi="StobiSerif Regular"/>
          <w:sz w:val="20"/>
          <w:szCs w:val="20"/>
        </w:rPr>
      </w:pPr>
    </w:p>
    <w:p w:rsidR="0001614C" w:rsidRPr="00AC524E" w:rsidRDefault="00C646D5" w:rsidP="00566176">
      <w:pPr>
        <w:spacing w:after="0" w:line="240" w:lineRule="auto"/>
        <w:rPr>
          <w:rFonts w:ascii="Arial" w:eastAsia="Times New Roman" w:hAnsi="Arial" w:cs="Arial"/>
          <w:lang w:val="en-US"/>
        </w:rPr>
      </w:pPr>
      <w:r w:rsidRPr="00AC524E">
        <w:rPr>
          <w:rFonts w:ascii="Arial" w:eastAsia="Times New Roman" w:hAnsi="Arial" w:cs="Arial"/>
          <w:lang w:val="en-US"/>
        </w:rPr>
        <w:t>Agency has started with contracting of the eligible application of the public call 01/2018, the forecast for contracting of all eligible applications is September/October and for measure 1 of the public call 02/2018 to contract the application in October/November the latest.</w:t>
      </w:r>
    </w:p>
    <w:p w:rsidR="00353274" w:rsidRPr="00271508" w:rsidRDefault="00353274" w:rsidP="00353274">
      <w:pPr>
        <w:spacing w:after="0" w:line="240" w:lineRule="auto"/>
        <w:jc w:val="both"/>
        <w:rPr>
          <w:rStyle w:val="Emphasis"/>
          <w:rFonts w:ascii="Arial" w:hAnsi="Arial" w:cs="Arial"/>
          <w:i w:val="0"/>
        </w:rPr>
      </w:pPr>
    </w:p>
    <w:p w:rsidR="00353274" w:rsidRPr="00271508" w:rsidRDefault="00353274" w:rsidP="00353274">
      <w:pPr>
        <w:spacing w:after="0" w:line="240" w:lineRule="auto"/>
        <w:rPr>
          <w:rFonts w:ascii="Arial" w:eastAsia="Times New Roman" w:hAnsi="Arial" w:cs="Arial"/>
        </w:rPr>
      </w:pPr>
      <w:r w:rsidRPr="00271508">
        <w:rPr>
          <w:rFonts w:ascii="Arial" w:eastAsia="Times New Roman" w:hAnsi="Arial" w:cs="Arial"/>
        </w:rPr>
        <w:t xml:space="preserve">So far, </w:t>
      </w:r>
      <w:r w:rsidR="007B5E37" w:rsidRPr="00271508">
        <w:rPr>
          <w:rFonts w:ascii="Arial" w:eastAsia="Times New Roman" w:hAnsi="Arial" w:cs="Arial"/>
        </w:rPr>
        <w:t xml:space="preserve">789 </w:t>
      </w:r>
      <w:r w:rsidRPr="00271508">
        <w:rPr>
          <w:rFonts w:ascii="Arial" w:eastAsia="Times New Roman" w:hAnsi="Arial" w:cs="Arial"/>
        </w:rPr>
        <w:t>payment requests have been received, for the measure Investments in tangible assets for agricultural holdings</w:t>
      </w:r>
      <w:r w:rsidRPr="00271508">
        <w:rPr>
          <w:rFonts w:ascii="Arial" w:eastAsia="Times New Roman" w:hAnsi="Arial" w:cs="Arial"/>
        </w:rPr>
        <w:br/>
        <w:t xml:space="preserve">Total amount requested is </w:t>
      </w:r>
      <w:r w:rsidR="007B5E37" w:rsidRPr="00271508">
        <w:rPr>
          <w:rFonts w:ascii="Arial" w:eastAsia="Times New Roman" w:hAnsi="Arial" w:cs="Arial"/>
        </w:rPr>
        <w:t>6</w:t>
      </w:r>
      <w:r w:rsidRPr="00271508">
        <w:rPr>
          <w:rFonts w:ascii="Arial" w:eastAsia="Times New Roman" w:hAnsi="Arial" w:cs="Arial"/>
        </w:rPr>
        <w:t>.</w:t>
      </w:r>
      <w:r w:rsidR="007B5E37" w:rsidRPr="00271508">
        <w:rPr>
          <w:rFonts w:ascii="Arial" w:eastAsia="Times New Roman" w:hAnsi="Arial" w:cs="Arial"/>
        </w:rPr>
        <w:t>328</w:t>
      </w:r>
      <w:r w:rsidRPr="00271508">
        <w:rPr>
          <w:rFonts w:ascii="Arial" w:eastAsia="Times New Roman" w:hAnsi="Arial" w:cs="Arial"/>
        </w:rPr>
        <w:t>.</w:t>
      </w:r>
      <w:r w:rsidR="007B5E37" w:rsidRPr="00271508">
        <w:rPr>
          <w:rFonts w:ascii="Arial" w:eastAsia="Times New Roman" w:hAnsi="Arial" w:cs="Arial"/>
        </w:rPr>
        <w:t>038</w:t>
      </w:r>
      <w:r w:rsidRPr="00271508">
        <w:rPr>
          <w:rFonts w:ascii="Arial" w:eastAsia="Times New Roman" w:hAnsi="Arial" w:cs="Arial"/>
        </w:rPr>
        <w:t>,00 €.</w:t>
      </w:r>
    </w:p>
    <w:p w:rsidR="00353274" w:rsidRPr="00271508" w:rsidRDefault="00353274" w:rsidP="00353274">
      <w:pPr>
        <w:spacing w:after="0" w:line="240" w:lineRule="auto"/>
        <w:rPr>
          <w:rFonts w:ascii="Arial" w:eastAsia="Times New Roman" w:hAnsi="Arial" w:cs="Arial"/>
          <w:lang w:val="en-US"/>
        </w:rPr>
      </w:pPr>
      <w:r w:rsidRPr="00271508">
        <w:rPr>
          <w:rFonts w:ascii="Arial" w:eastAsia="Times New Roman" w:hAnsi="Arial" w:cs="Arial"/>
        </w:rPr>
        <w:t xml:space="preserve">So far AFSARD has approved </w:t>
      </w:r>
      <w:r w:rsidR="007B5E37" w:rsidRPr="00271508">
        <w:rPr>
          <w:rFonts w:ascii="Arial" w:eastAsia="Times New Roman" w:hAnsi="Arial" w:cs="Arial"/>
        </w:rPr>
        <w:t xml:space="preserve">173 </w:t>
      </w:r>
      <w:r w:rsidRPr="00271508">
        <w:rPr>
          <w:rFonts w:ascii="Arial" w:eastAsia="Times New Roman" w:hAnsi="Arial" w:cs="Arial"/>
        </w:rPr>
        <w:t xml:space="preserve">request for payments with total amount of approximately </w:t>
      </w:r>
      <w:r w:rsidR="007B5E37" w:rsidRPr="00271508">
        <w:rPr>
          <w:rFonts w:ascii="Arial" w:eastAsia="Times New Roman" w:hAnsi="Arial" w:cs="Arial"/>
        </w:rPr>
        <w:t>1,060</w:t>
      </w:r>
      <w:r w:rsidRPr="00271508">
        <w:rPr>
          <w:rFonts w:ascii="Arial" w:eastAsia="Times New Roman" w:hAnsi="Arial" w:cs="Arial"/>
        </w:rPr>
        <w:t>.000 €</w:t>
      </w:r>
      <w:r w:rsidRPr="00271508">
        <w:rPr>
          <w:rFonts w:ascii="Arial" w:eastAsia="Times New Roman" w:hAnsi="Arial" w:cs="Arial"/>
          <w:lang w:val="en-US"/>
        </w:rPr>
        <w:t>.</w:t>
      </w:r>
    </w:p>
    <w:p w:rsidR="00353274" w:rsidRPr="00271508" w:rsidRDefault="00353274" w:rsidP="00353274">
      <w:pPr>
        <w:tabs>
          <w:tab w:val="left" w:pos="11880"/>
        </w:tabs>
        <w:spacing w:after="0" w:line="240" w:lineRule="auto"/>
        <w:rPr>
          <w:rFonts w:ascii="Arial" w:eastAsia="Times New Roman" w:hAnsi="Arial" w:cs="Arial"/>
          <w:lang w:val="en-US"/>
        </w:rPr>
      </w:pPr>
    </w:p>
    <w:p w:rsidR="00353274" w:rsidRPr="00271508" w:rsidRDefault="00353274" w:rsidP="00353274">
      <w:pPr>
        <w:rPr>
          <w:rFonts w:ascii="Arial" w:eastAsia="Times New Roman" w:hAnsi="Arial" w:cs="Arial"/>
        </w:rPr>
      </w:pPr>
      <w:r w:rsidRPr="00271508">
        <w:rPr>
          <w:rFonts w:ascii="Arial" w:eastAsia="Times New Roman" w:hAnsi="Arial" w:cs="Arial"/>
        </w:rPr>
        <w:t xml:space="preserve">So far, </w:t>
      </w:r>
      <w:r w:rsidR="007B5E37" w:rsidRPr="00271508">
        <w:rPr>
          <w:rFonts w:ascii="Arial" w:eastAsia="Times New Roman" w:hAnsi="Arial" w:cs="Arial"/>
        </w:rPr>
        <w:t xml:space="preserve">19 </w:t>
      </w:r>
      <w:r w:rsidRPr="00271508">
        <w:rPr>
          <w:rFonts w:ascii="Arial" w:eastAsia="Times New Roman" w:hAnsi="Arial" w:cs="Arial"/>
        </w:rPr>
        <w:t>payment requests have been received, for the measure IVESTMENTS IN PHYSICAL ASSETS CONCERNING PROCESSING AND MARKETING OF AGRICULTURAL AND FISHERY PRODUCTS</w:t>
      </w:r>
      <w:r w:rsidRPr="00271508">
        <w:rPr>
          <w:rFonts w:ascii="Arial" w:eastAsia="Times New Roman" w:hAnsi="Arial" w:cs="Arial"/>
        </w:rPr>
        <w:br/>
        <w:t xml:space="preserve">Total amount requested is </w:t>
      </w:r>
      <w:r w:rsidR="007B5E37" w:rsidRPr="00271508">
        <w:rPr>
          <w:rFonts w:ascii="Arial" w:eastAsia="Times New Roman" w:hAnsi="Arial" w:cs="Arial"/>
        </w:rPr>
        <w:t>2.646</w:t>
      </w:r>
      <w:r w:rsidRPr="00271508">
        <w:rPr>
          <w:rFonts w:ascii="Arial" w:eastAsia="Times New Roman" w:hAnsi="Arial" w:cs="Arial"/>
          <w:lang w:val="en-US"/>
        </w:rPr>
        <w:t>.</w:t>
      </w:r>
      <w:r w:rsidR="007B5E37" w:rsidRPr="00271508">
        <w:rPr>
          <w:rFonts w:ascii="Arial" w:eastAsia="Times New Roman" w:hAnsi="Arial" w:cs="Arial"/>
        </w:rPr>
        <w:t>609</w:t>
      </w:r>
      <w:r w:rsidRPr="00271508">
        <w:rPr>
          <w:rFonts w:ascii="Arial" w:eastAsia="Times New Roman" w:hAnsi="Arial" w:cs="Arial"/>
          <w:lang w:val="en-US"/>
        </w:rPr>
        <w:t xml:space="preserve">,00 </w:t>
      </w:r>
      <w:r w:rsidRPr="00271508">
        <w:rPr>
          <w:rFonts w:ascii="Arial" w:eastAsia="Times New Roman" w:hAnsi="Arial" w:cs="Arial"/>
        </w:rPr>
        <w:t>€.</w:t>
      </w:r>
    </w:p>
    <w:p w:rsidR="00353274" w:rsidRPr="00271508" w:rsidRDefault="00353274" w:rsidP="00353274">
      <w:pPr>
        <w:spacing w:after="0" w:line="240" w:lineRule="auto"/>
        <w:rPr>
          <w:rFonts w:ascii="Arial" w:eastAsia="Times New Roman" w:hAnsi="Arial" w:cs="Arial"/>
          <w:lang w:val="en-US"/>
        </w:rPr>
      </w:pPr>
      <w:r w:rsidRPr="00271508">
        <w:rPr>
          <w:rFonts w:ascii="Arial" w:eastAsia="Times New Roman" w:hAnsi="Arial" w:cs="Arial"/>
        </w:rPr>
        <w:t xml:space="preserve">So far AFSARD has approved </w:t>
      </w:r>
      <w:r w:rsidR="007B5E37" w:rsidRPr="00271508">
        <w:rPr>
          <w:rFonts w:ascii="Arial" w:eastAsia="Times New Roman" w:hAnsi="Arial" w:cs="Arial"/>
        </w:rPr>
        <w:t xml:space="preserve">14 </w:t>
      </w:r>
      <w:r w:rsidRPr="00271508">
        <w:rPr>
          <w:rFonts w:ascii="Arial" w:eastAsia="Times New Roman" w:hAnsi="Arial" w:cs="Arial"/>
        </w:rPr>
        <w:t xml:space="preserve">request for payments with total amount of approximately </w:t>
      </w:r>
      <w:r w:rsidR="007B5E37" w:rsidRPr="00271508">
        <w:rPr>
          <w:rFonts w:ascii="Arial" w:eastAsia="Times New Roman" w:hAnsi="Arial" w:cs="Arial"/>
        </w:rPr>
        <w:t>1.105</w:t>
      </w:r>
      <w:r w:rsidRPr="00271508">
        <w:rPr>
          <w:rFonts w:ascii="Arial" w:eastAsia="Times New Roman" w:hAnsi="Arial" w:cs="Arial"/>
        </w:rPr>
        <w:t>.</w:t>
      </w:r>
      <w:r w:rsidR="007B5E37" w:rsidRPr="00271508">
        <w:rPr>
          <w:rFonts w:ascii="Arial" w:eastAsia="Times New Roman" w:hAnsi="Arial" w:cs="Arial"/>
        </w:rPr>
        <w:t xml:space="preserve">476 </w:t>
      </w:r>
      <w:r w:rsidRPr="00271508">
        <w:rPr>
          <w:rFonts w:ascii="Arial" w:eastAsia="Times New Roman" w:hAnsi="Arial" w:cs="Arial"/>
        </w:rPr>
        <w:t>€</w:t>
      </w:r>
      <w:r w:rsidRPr="00271508">
        <w:rPr>
          <w:rFonts w:ascii="Arial" w:eastAsia="Times New Roman" w:hAnsi="Arial" w:cs="Arial"/>
          <w:lang w:val="en-US"/>
        </w:rPr>
        <w:t>.</w:t>
      </w:r>
    </w:p>
    <w:p w:rsidR="00353274" w:rsidRPr="00271508" w:rsidRDefault="00353274" w:rsidP="00353274">
      <w:pPr>
        <w:spacing w:after="0" w:line="240" w:lineRule="auto"/>
        <w:rPr>
          <w:rFonts w:ascii="Arial" w:eastAsia="Times New Roman" w:hAnsi="Arial" w:cs="Arial"/>
        </w:rPr>
      </w:pPr>
    </w:p>
    <w:p w:rsidR="007B5E37" w:rsidRPr="00271508" w:rsidRDefault="007B5E37" w:rsidP="007B5E37">
      <w:pPr>
        <w:rPr>
          <w:rFonts w:ascii="Arial" w:eastAsia="Times New Roman" w:hAnsi="Arial" w:cs="Arial"/>
        </w:rPr>
      </w:pPr>
      <w:r w:rsidRPr="00271508">
        <w:rPr>
          <w:rFonts w:ascii="Arial" w:eastAsia="Times New Roman" w:hAnsi="Arial" w:cs="Arial"/>
        </w:rPr>
        <w:t xml:space="preserve">So far, 1 payment requests have been received, for the measure </w:t>
      </w:r>
      <w:r w:rsidRPr="00271508">
        <w:rPr>
          <w:rFonts w:ascii="Arial" w:hAnsi="Arial" w:cs="Arial"/>
          <w:b/>
          <w:lang w:val="en-GB"/>
        </w:rPr>
        <w:t>FARM DIVERSIFICATION AND BUSINESS DEVELOPMENT</w:t>
      </w:r>
      <w:r w:rsidRPr="00271508">
        <w:rPr>
          <w:rFonts w:ascii="Arial" w:eastAsia="Times New Roman" w:hAnsi="Arial" w:cs="Arial"/>
        </w:rPr>
        <w:br/>
        <w:t>Total amount requested is 1</w:t>
      </w:r>
      <w:r w:rsidRPr="00271508">
        <w:rPr>
          <w:rFonts w:ascii="Arial" w:eastAsia="Times New Roman" w:hAnsi="Arial" w:cs="Arial"/>
          <w:lang w:val="en-US"/>
        </w:rPr>
        <w:t>.</w:t>
      </w:r>
      <w:r w:rsidRPr="00271508">
        <w:rPr>
          <w:rFonts w:ascii="Arial" w:eastAsia="Times New Roman" w:hAnsi="Arial" w:cs="Arial"/>
        </w:rPr>
        <w:t>609</w:t>
      </w:r>
      <w:r w:rsidRPr="00271508">
        <w:rPr>
          <w:rFonts w:ascii="Arial" w:eastAsia="Times New Roman" w:hAnsi="Arial" w:cs="Arial"/>
          <w:lang w:val="en-US"/>
        </w:rPr>
        <w:t xml:space="preserve">,00 </w:t>
      </w:r>
      <w:r w:rsidRPr="00271508">
        <w:rPr>
          <w:rFonts w:ascii="Arial" w:eastAsia="Times New Roman" w:hAnsi="Arial" w:cs="Arial"/>
        </w:rPr>
        <w:t>€.</w:t>
      </w:r>
    </w:p>
    <w:p w:rsidR="007B5E37" w:rsidRPr="00B13F41" w:rsidRDefault="007B5E37" w:rsidP="007B5E37">
      <w:pPr>
        <w:spacing w:after="0" w:line="240" w:lineRule="auto"/>
        <w:rPr>
          <w:rFonts w:ascii="Arial" w:eastAsia="Times New Roman" w:hAnsi="Arial" w:cs="Arial"/>
          <w:lang w:val="en-US"/>
        </w:rPr>
      </w:pPr>
      <w:r w:rsidRPr="00271508">
        <w:rPr>
          <w:rFonts w:ascii="Arial" w:eastAsia="Times New Roman" w:hAnsi="Arial" w:cs="Arial"/>
        </w:rPr>
        <w:t>So far AFSARD has approved 14 request for payments with total amount of approximately 1.992,00 €</w:t>
      </w:r>
      <w:r w:rsidR="00B13F41">
        <w:rPr>
          <w:rFonts w:ascii="Arial" w:eastAsia="Times New Roman" w:hAnsi="Arial" w:cs="Arial"/>
          <w:lang w:val="en-US"/>
        </w:rPr>
        <w:t>.</w:t>
      </w:r>
    </w:p>
    <w:p w:rsidR="00353274" w:rsidRPr="00B21686" w:rsidRDefault="00353274" w:rsidP="00353274">
      <w:pPr>
        <w:tabs>
          <w:tab w:val="left" w:pos="11880"/>
        </w:tabs>
        <w:spacing w:after="0" w:line="240" w:lineRule="auto"/>
        <w:rPr>
          <w:rFonts w:ascii="StobiSerif Regular" w:eastAsia="Times New Roman" w:hAnsi="StobiSerif Regular"/>
          <w:lang w:val="en-US"/>
        </w:rPr>
      </w:pPr>
      <w:r>
        <w:rPr>
          <w:rFonts w:ascii="StobiSerif Regular" w:eastAsia="Times New Roman" w:hAnsi="StobiSerif Regular"/>
          <w:lang w:val="en-US"/>
        </w:rPr>
        <w:tab/>
      </w:r>
    </w:p>
    <w:p w:rsidR="00353274" w:rsidRDefault="00353274" w:rsidP="00353274">
      <w:pPr>
        <w:rPr>
          <w:rFonts w:ascii="Times New Roman" w:hAnsi="Times New Roman"/>
        </w:rPr>
      </w:pPr>
    </w:p>
    <w:p w:rsidR="00353274" w:rsidRPr="00271508" w:rsidRDefault="00353274" w:rsidP="00353274">
      <w:pPr>
        <w:spacing w:after="0" w:line="240" w:lineRule="auto"/>
        <w:jc w:val="both"/>
        <w:rPr>
          <w:rStyle w:val="Emphasis"/>
          <w:rFonts w:ascii="Arial" w:hAnsi="Arial" w:cs="Arial"/>
          <w:i w:val="0"/>
          <w:sz w:val="20"/>
          <w:szCs w:val="20"/>
        </w:rPr>
      </w:pPr>
    </w:p>
    <w:p w:rsidR="00AC6E44" w:rsidRPr="00271508" w:rsidRDefault="00AC6E44" w:rsidP="00AC6E44">
      <w:pPr>
        <w:pStyle w:val="ListParagraph"/>
        <w:spacing w:after="0" w:line="240" w:lineRule="auto"/>
        <w:ind w:left="900"/>
        <w:jc w:val="center"/>
        <w:rPr>
          <w:rFonts w:ascii="Arial" w:eastAsia="MS Mincho" w:hAnsi="Arial" w:cs="Arial"/>
          <w:lang w:val="ru-RU" w:eastAsia="ja-JP"/>
        </w:rPr>
      </w:pPr>
      <w:r w:rsidRPr="00271508">
        <w:rPr>
          <w:rStyle w:val="Emphasis"/>
          <w:rFonts w:ascii="Arial" w:hAnsi="Arial" w:cs="Arial"/>
          <w:lang w:val="en-US"/>
        </w:rPr>
        <w:t>On-the-spot controls</w:t>
      </w:r>
    </w:p>
    <w:p w:rsidR="00AC6E44" w:rsidRPr="00271508" w:rsidRDefault="00AC6E44" w:rsidP="00AC6E44">
      <w:pPr>
        <w:pStyle w:val="ListParagraph"/>
        <w:spacing w:after="0" w:line="240" w:lineRule="auto"/>
        <w:ind w:left="1080"/>
        <w:jc w:val="center"/>
        <w:rPr>
          <w:rStyle w:val="hps"/>
          <w:rFonts w:ascii="Arial" w:hAnsi="Arial" w:cs="Arial"/>
        </w:rPr>
      </w:pPr>
      <w:r w:rsidRPr="00271508">
        <w:rPr>
          <w:rFonts w:ascii="Arial" w:eastAsia="MS Mincho" w:hAnsi="Arial" w:cs="Arial"/>
          <w:lang w:val="ru-RU" w:eastAsia="ja-JP"/>
        </w:rPr>
        <w:t>(</w:t>
      </w:r>
      <w:r w:rsidRPr="00271508">
        <w:rPr>
          <w:rFonts w:ascii="Arial" w:eastAsia="MS Mincho" w:hAnsi="Arial" w:cs="Arial"/>
          <w:lang w:val="en-US" w:eastAsia="ja-JP"/>
        </w:rPr>
        <w:t>until 15.04.2019)</w:t>
      </w:r>
      <w:r w:rsidRPr="00271508">
        <w:rPr>
          <w:rFonts w:ascii="Arial" w:eastAsia="MS Mincho" w:hAnsi="Arial" w:cs="Arial"/>
          <w:lang w:val="ru-RU" w:eastAsia="ja-JP"/>
        </w:rPr>
        <w:t>;</w:t>
      </w:r>
      <w:bookmarkStart w:id="0" w:name="_GoBack"/>
      <w:bookmarkEnd w:id="0"/>
    </w:p>
    <w:p w:rsidR="00AC6E44" w:rsidRPr="00271508" w:rsidRDefault="00AC6E44" w:rsidP="00AC6E44">
      <w:pPr>
        <w:spacing w:after="0" w:line="240" w:lineRule="auto"/>
        <w:jc w:val="both"/>
        <w:rPr>
          <w:rStyle w:val="Emphasis"/>
          <w:rFonts w:ascii="Arial" w:hAnsi="Arial" w:cs="Arial"/>
          <w:i w:val="0"/>
        </w:rPr>
      </w:pPr>
    </w:p>
    <w:p w:rsidR="00AC6E44" w:rsidRPr="00271508" w:rsidRDefault="00AC6E44" w:rsidP="00AC6E44">
      <w:pPr>
        <w:spacing w:after="0" w:line="240" w:lineRule="auto"/>
        <w:jc w:val="both"/>
        <w:rPr>
          <w:rStyle w:val="Emphasis"/>
          <w:rFonts w:ascii="Arial" w:hAnsi="Arial" w:cs="Arial"/>
          <w:b/>
          <w:u w:val="single"/>
          <w:lang w:val="en-US"/>
        </w:rPr>
      </w:pPr>
    </w:p>
    <w:p w:rsidR="00AC6E44" w:rsidRPr="00271508" w:rsidRDefault="00AC6E44" w:rsidP="00AC6E44">
      <w:pPr>
        <w:spacing w:after="0" w:line="240" w:lineRule="auto"/>
        <w:jc w:val="both"/>
        <w:rPr>
          <w:rStyle w:val="Emphasis"/>
          <w:rFonts w:ascii="Arial" w:hAnsi="Arial" w:cs="Arial"/>
          <w:b/>
          <w:u w:val="single"/>
          <w:lang w:val="en-US"/>
        </w:rPr>
      </w:pPr>
      <w:r w:rsidRPr="00271508">
        <w:rPr>
          <w:rStyle w:val="Emphasis"/>
          <w:rFonts w:ascii="Arial" w:hAnsi="Arial" w:cs="Arial"/>
          <w:b/>
          <w:u w:val="single"/>
          <w:lang w:val="en-US"/>
        </w:rPr>
        <w:t>On-the-spot Controls prior approval</w:t>
      </w:r>
    </w:p>
    <w:p w:rsidR="00AC6E44" w:rsidRPr="00271508" w:rsidRDefault="00AC6E44" w:rsidP="00AC6E44">
      <w:pPr>
        <w:spacing w:after="0" w:line="240" w:lineRule="auto"/>
        <w:jc w:val="both"/>
        <w:rPr>
          <w:rStyle w:val="Emphasis"/>
          <w:rFonts w:ascii="Arial" w:hAnsi="Arial" w:cs="Arial"/>
          <w:i w:val="0"/>
          <w:lang w:val="en-US"/>
        </w:rPr>
      </w:pPr>
    </w:p>
    <w:p w:rsidR="00AC6E44" w:rsidRPr="00271508" w:rsidRDefault="00AC6E44" w:rsidP="00AC6E44">
      <w:pPr>
        <w:spacing w:after="0" w:line="240" w:lineRule="auto"/>
        <w:jc w:val="both"/>
        <w:rPr>
          <w:rStyle w:val="Emphasis"/>
          <w:rFonts w:ascii="Arial" w:hAnsi="Arial" w:cs="Arial"/>
          <w:i w:val="0"/>
        </w:rPr>
      </w:pPr>
      <w:r w:rsidRPr="00271508">
        <w:rPr>
          <w:rStyle w:val="Emphasis"/>
          <w:rFonts w:ascii="Arial" w:hAnsi="Arial" w:cs="Arial"/>
          <w:lang w:val="en-US"/>
        </w:rPr>
        <w:t xml:space="preserve">Sector for on-the-spot control within AFSARD since </w:t>
      </w:r>
      <w:r w:rsidRPr="00271508">
        <w:rPr>
          <w:rStyle w:val="Emphasis"/>
          <w:rFonts w:ascii="Arial" w:hAnsi="Arial" w:cs="Arial"/>
        </w:rPr>
        <w:t xml:space="preserve">01.01.2019 </w:t>
      </w:r>
      <w:r w:rsidRPr="00271508">
        <w:rPr>
          <w:rStyle w:val="Emphasis"/>
          <w:rFonts w:ascii="Arial" w:hAnsi="Arial" w:cs="Arial"/>
          <w:lang w:val="en-US"/>
        </w:rPr>
        <w:t xml:space="preserve">until </w:t>
      </w:r>
      <w:r w:rsidRPr="00271508">
        <w:rPr>
          <w:rStyle w:val="Emphasis"/>
          <w:rFonts w:ascii="Arial" w:hAnsi="Arial" w:cs="Arial"/>
        </w:rPr>
        <w:t>15</w:t>
      </w:r>
      <w:r w:rsidRPr="00271508">
        <w:rPr>
          <w:rStyle w:val="Emphasis"/>
          <w:rFonts w:ascii="Arial" w:hAnsi="Arial" w:cs="Arial"/>
          <w:lang w:val="en-US"/>
        </w:rPr>
        <w:t>.</w:t>
      </w:r>
      <w:r w:rsidRPr="00271508">
        <w:rPr>
          <w:rStyle w:val="Emphasis"/>
          <w:rFonts w:ascii="Arial" w:hAnsi="Arial" w:cs="Arial"/>
        </w:rPr>
        <w:t>04</w:t>
      </w:r>
      <w:r w:rsidRPr="00271508">
        <w:rPr>
          <w:rStyle w:val="Emphasis"/>
          <w:rFonts w:ascii="Arial" w:hAnsi="Arial" w:cs="Arial"/>
          <w:lang w:val="en-US"/>
        </w:rPr>
        <w:t>.201</w:t>
      </w:r>
      <w:r w:rsidRPr="00271508">
        <w:rPr>
          <w:rStyle w:val="Emphasis"/>
          <w:rFonts w:ascii="Arial" w:hAnsi="Arial" w:cs="Arial"/>
        </w:rPr>
        <w:t>9</w:t>
      </w:r>
      <w:r w:rsidRPr="00271508">
        <w:rPr>
          <w:rStyle w:val="Emphasis"/>
          <w:rFonts w:ascii="Arial" w:hAnsi="Arial" w:cs="Arial"/>
          <w:lang w:val="en-US"/>
        </w:rPr>
        <w:t xml:space="preserve"> has carried out total of 1</w:t>
      </w:r>
      <w:r w:rsidRPr="00271508">
        <w:rPr>
          <w:rStyle w:val="Emphasis"/>
          <w:rFonts w:ascii="Arial" w:hAnsi="Arial" w:cs="Arial"/>
        </w:rPr>
        <w:t>22</w:t>
      </w:r>
      <w:r w:rsidRPr="00271508">
        <w:rPr>
          <w:rStyle w:val="Emphasis"/>
          <w:rFonts w:ascii="Arial" w:hAnsi="Arial" w:cs="Arial"/>
          <w:lang w:val="en-US"/>
        </w:rPr>
        <w:t xml:space="preserve"> on-the-spot controls prior approval at investments under the Call for Applications 18/01 from IPARD 2 2014-2020.  In </w:t>
      </w:r>
      <w:r w:rsidR="006652D9" w:rsidRPr="00271508">
        <w:rPr>
          <w:rStyle w:val="Emphasis"/>
          <w:rFonts w:ascii="Arial" w:hAnsi="Arial" w:cs="Arial"/>
          <w:lang w:val="en-US"/>
        </w:rPr>
        <w:t>addition,</w:t>
      </w:r>
      <w:r w:rsidRPr="00271508">
        <w:rPr>
          <w:rStyle w:val="Emphasis"/>
          <w:rFonts w:ascii="Arial" w:hAnsi="Arial" w:cs="Arial"/>
          <w:lang w:val="en-US"/>
        </w:rPr>
        <w:t xml:space="preserve"> there is a table with carried out OTSC divided by measures</w:t>
      </w:r>
    </w:p>
    <w:tbl>
      <w:tblPr>
        <w:tblpPr w:leftFromText="180" w:rightFromText="180" w:vertAnchor="text" w:horzAnchor="margin" w:tblpXSpec="center" w:tblpY="200"/>
        <w:tblW w:w="7220" w:type="dxa"/>
        <w:tblLook w:val="04A0" w:firstRow="1" w:lastRow="0" w:firstColumn="1" w:lastColumn="0" w:noHBand="0" w:noVBand="1"/>
      </w:tblPr>
      <w:tblGrid>
        <w:gridCol w:w="3674"/>
        <w:gridCol w:w="3546"/>
      </w:tblGrid>
      <w:tr w:rsidR="00AC6E44" w:rsidRPr="00271508" w:rsidTr="0039519A">
        <w:trPr>
          <w:trHeight w:val="204"/>
        </w:trPr>
        <w:tc>
          <w:tcPr>
            <w:tcW w:w="722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AC6E44" w:rsidRPr="00271508" w:rsidRDefault="00AC6E44" w:rsidP="0039519A">
            <w:pPr>
              <w:spacing w:after="0" w:line="240" w:lineRule="auto"/>
              <w:jc w:val="center"/>
              <w:rPr>
                <w:rFonts w:ascii="Arial" w:eastAsia="Times New Roman" w:hAnsi="Arial" w:cs="Arial"/>
                <w:b/>
                <w:bCs/>
                <w:i/>
                <w:color w:val="000000"/>
                <w:lang w:val="en-US" w:eastAsia="mk-MK"/>
              </w:rPr>
            </w:pPr>
            <w:r w:rsidRPr="00271508">
              <w:rPr>
                <w:rFonts w:ascii="Arial" w:eastAsia="Times New Roman" w:hAnsi="Arial" w:cs="Arial"/>
                <w:b/>
                <w:bCs/>
                <w:i/>
                <w:iCs/>
                <w:color w:val="000000"/>
                <w:lang w:val="en-US" w:eastAsia="mk-MK"/>
              </w:rPr>
              <w:t>Call for applications 17/01</w:t>
            </w:r>
          </w:p>
        </w:tc>
      </w:tr>
      <w:tr w:rsidR="00AC6E44" w:rsidRPr="00271508" w:rsidTr="0039519A">
        <w:trPr>
          <w:trHeight w:val="428"/>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u w:val="single"/>
                <w:lang w:val="en-US" w:eastAsia="mk-MK"/>
              </w:rPr>
            </w:pPr>
            <w:r w:rsidRPr="00271508">
              <w:rPr>
                <w:rFonts w:ascii="Arial" w:eastAsia="Times New Roman" w:hAnsi="Arial" w:cs="Arial"/>
                <w:b/>
                <w:color w:val="000000"/>
                <w:u w:val="single"/>
                <w:lang w:val="en-US" w:eastAsia="mk-MK"/>
              </w:rPr>
              <w:t>Measure</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u w:val="single"/>
                <w:lang w:val="en-US" w:eastAsia="mk-MK"/>
              </w:rPr>
            </w:pPr>
            <w:r w:rsidRPr="00271508">
              <w:rPr>
                <w:rFonts w:ascii="Arial" w:eastAsia="Times New Roman" w:hAnsi="Arial" w:cs="Arial"/>
                <w:b/>
                <w:color w:val="000000"/>
                <w:u w:val="single"/>
                <w:lang w:val="en-US" w:eastAsia="mk-MK"/>
              </w:rPr>
              <w:t>Number of carried out OTSC prior approval per measure</w:t>
            </w:r>
          </w:p>
        </w:tc>
      </w:tr>
      <w:tr w:rsidR="00AC6E44" w:rsidRPr="00271508" w:rsidTr="0039519A">
        <w:trPr>
          <w:trHeight w:val="1040"/>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hAnsi="Arial" w:cs="Arial"/>
                <w:b/>
                <w:bCs/>
                <w:lang w:val="en-US"/>
              </w:rPr>
            </w:pPr>
            <w:r w:rsidRPr="00271508">
              <w:rPr>
                <w:rStyle w:val="Strong"/>
                <w:rFonts w:ascii="Arial" w:hAnsi="Arial" w:cs="Arial"/>
                <w:lang w:val="en-US"/>
              </w:rPr>
              <w:t>Investments in Physical Assets Concerning Processing and Marketing of Agricultural and Fishery products</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lang w:val="en-US" w:eastAsia="mk-MK"/>
              </w:rPr>
            </w:pPr>
            <w:r w:rsidRPr="00271508">
              <w:rPr>
                <w:rFonts w:ascii="Arial" w:eastAsia="Times New Roman" w:hAnsi="Arial" w:cs="Arial"/>
                <w:b/>
                <w:color w:val="000000"/>
                <w:lang w:val="en-US" w:eastAsia="mk-MK"/>
              </w:rPr>
              <w:t>22</w:t>
            </w:r>
          </w:p>
        </w:tc>
      </w:tr>
      <w:tr w:rsidR="00AC6E44" w:rsidRPr="00271508" w:rsidTr="0039519A">
        <w:trPr>
          <w:trHeight w:val="865"/>
        </w:trPr>
        <w:tc>
          <w:tcPr>
            <w:tcW w:w="3674" w:type="dxa"/>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AC6E44" w:rsidRPr="00271508" w:rsidRDefault="00AC6E44" w:rsidP="0039519A">
            <w:pPr>
              <w:spacing w:after="0" w:line="240" w:lineRule="auto"/>
              <w:jc w:val="center"/>
              <w:rPr>
                <w:rStyle w:val="Strong"/>
                <w:rFonts w:ascii="Arial" w:hAnsi="Arial" w:cs="Arial"/>
              </w:rPr>
            </w:pPr>
            <w:r w:rsidRPr="00271508">
              <w:rPr>
                <w:rStyle w:val="Strong"/>
                <w:rFonts w:ascii="Arial" w:hAnsi="Arial" w:cs="Arial"/>
                <w:lang w:val="en-US"/>
              </w:rPr>
              <w:t>Total No of OTSC</w:t>
            </w:r>
          </w:p>
        </w:tc>
        <w:tc>
          <w:tcPr>
            <w:tcW w:w="3546" w:type="dxa"/>
            <w:tcBorders>
              <w:top w:val="single" w:sz="8" w:space="0" w:color="auto"/>
              <w:left w:val="nil"/>
              <w:bottom w:val="single" w:sz="4" w:space="0" w:color="auto"/>
              <w:right w:val="single" w:sz="8" w:space="0" w:color="000000"/>
            </w:tcBorders>
            <w:shd w:val="clear" w:color="auto" w:fill="BFBFBF" w:themeFill="background1" w:themeFillShade="BF"/>
            <w:noWrap/>
            <w:vAlign w:val="center"/>
            <w:hideMark/>
          </w:tcPr>
          <w:p w:rsidR="00AC6E44" w:rsidRPr="00271508" w:rsidRDefault="00AC6E44" w:rsidP="0039519A">
            <w:pPr>
              <w:spacing w:after="0" w:line="240" w:lineRule="auto"/>
              <w:jc w:val="center"/>
              <w:rPr>
                <w:rFonts w:ascii="Arial" w:eastAsia="Times New Roman" w:hAnsi="Arial" w:cs="Arial"/>
                <w:color w:val="000000"/>
                <w:lang w:eastAsia="mk-MK"/>
              </w:rPr>
            </w:pPr>
            <w:r w:rsidRPr="00271508">
              <w:rPr>
                <w:rFonts w:ascii="Arial" w:eastAsia="Times New Roman" w:hAnsi="Arial" w:cs="Arial"/>
                <w:b/>
                <w:color w:val="000000"/>
                <w:lang w:val="en-US" w:eastAsia="mk-MK"/>
              </w:rPr>
              <w:t>22</w:t>
            </w:r>
          </w:p>
        </w:tc>
      </w:tr>
    </w:tbl>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b/>
          <w:u w:val="single"/>
          <w:lang w:val="en-US"/>
        </w:rPr>
      </w:pPr>
    </w:p>
    <w:p w:rsidR="00AC6E44" w:rsidRPr="00271508" w:rsidRDefault="00AC6E44" w:rsidP="00AC6E44">
      <w:pPr>
        <w:spacing w:after="0" w:line="240" w:lineRule="auto"/>
        <w:jc w:val="both"/>
        <w:rPr>
          <w:rStyle w:val="Emphasis"/>
          <w:rFonts w:ascii="Arial" w:hAnsi="Arial" w:cs="Arial"/>
          <w:b/>
          <w:u w:val="single"/>
          <w:lang w:val="en-US"/>
        </w:rPr>
      </w:pPr>
      <w:r w:rsidRPr="00271508">
        <w:rPr>
          <w:rStyle w:val="Emphasis"/>
          <w:rFonts w:ascii="Arial" w:hAnsi="Arial" w:cs="Arial"/>
          <w:b/>
          <w:u w:val="single"/>
          <w:lang w:val="en-US"/>
        </w:rPr>
        <w:lastRenderedPageBreak/>
        <w:t>On-the-spot Controls before payment</w:t>
      </w:r>
    </w:p>
    <w:p w:rsidR="00AC6E44" w:rsidRDefault="00AC6E44" w:rsidP="00AC6E44">
      <w:pPr>
        <w:spacing w:after="0" w:line="240" w:lineRule="auto"/>
        <w:jc w:val="both"/>
        <w:rPr>
          <w:rStyle w:val="Emphasis"/>
          <w:rFonts w:ascii="StobiSerif Regular" w:hAnsi="StobiSerif Regular"/>
          <w:i w:val="0"/>
          <w:lang w:val="en-US"/>
        </w:rPr>
      </w:pPr>
    </w:p>
    <w:p w:rsidR="00AC6E44" w:rsidRPr="00271508" w:rsidRDefault="00AC6E44" w:rsidP="00AC6E44">
      <w:pPr>
        <w:spacing w:after="0" w:line="240" w:lineRule="auto"/>
        <w:jc w:val="both"/>
        <w:rPr>
          <w:rStyle w:val="Emphasis"/>
          <w:rFonts w:ascii="Arial" w:hAnsi="Arial" w:cs="Arial"/>
          <w:i w:val="0"/>
        </w:rPr>
      </w:pPr>
      <w:r w:rsidRPr="00271508">
        <w:rPr>
          <w:rStyle w:val="Emphasis"/>
          <w:rFonts w:ascii="Arial" w:hAnsi="Arial" w:cs="Arial"/>
          <w:lang w:val="en-US"/>
        </w:rPr>
        <w:t xml:space="preserve">Sector for on-the-spot control within AFSARD since 01.01.2019 until 15.04.2019 has carried out total of 351 on-the-spot controls before payment at investments under the Call for Applications 18/01 from IPARD 2 2014-2020.  In </w:t>
      </w:r>
      <w:proofErr w:type="gramStart"/>
      <w:r w:rsidRPr="00271508">
        <w:rPr>
          <w:rStyle w:val="Emphasis"/>
          <w:rFonts w:ascii="Arial" w:hAnsi="Arial" w:cs="Arial"/>
          <w:lang w:val="en-US"/>
        </w:rPr>
        <w:t>addition</w:t>
      </w:r>
      <w:proofErr w:type="gramEnd"/>
      <w:r w:rsidRPr="00271508">
        <w:rPr>
          <w:rStyle w:val="Emphasis"/>
          <w:rFonts w:ascii="Arial" w:hAnsi="Arial" w:cs="Arial"/>
          <w:lang w:val="en-US"/>
        </w:rPr>
        <w:t xml:space="preserve"> there is a table with carried out OTSC divided by measures</w:t>
      </w:r>
    </w:p>
    <w:p w:rsidR="00AC6E44" w:rsidRPr="00271508" w:rsidRDefault="00AC6E44" w:rsidP="00AC6E44">
      <w:pPr>
        <w:spacing w:after="0" w:line="240" w:lineRule="auto"/>
        <w:jc w:val="both"/>
        <w:rPr>
          <w:rStyle w:val="Emphasis"/>
          <w:rFonts w:ascii="Arial" w:hAnsi="Arial" w:cs="Arial"/>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tbl>
      <w:tblPr>
        <w:tblpPr w:leftFromText="180" w:rightFromText="180" w:vertAnchor="text" w:horzAnchor="margin" w:tblpXSpec="center" w:tblpY="200"/>
        <w:tblW w:w="7220" w:type="dxa"/>
        <w:tblLook w:val="04A0" w:firstRow="1" w:lastRow="0" w:firstColumn="1" w:lastColumn="0" w:noHBand="0" w:noVBand="1"/>
      </w:tblPr>
      <w:tblGrid>
        <w:gridCol w:w="3674"/>
        <w:gridCol w:w="3546"/>
      </w:tblGrid>
      <w:tr w:rsidR="00AC6E44" w:rsidRPr="00271508" w:rsidTr="0039519A">
        <w:trPr>
          <w:trHeight w:val="204"/>
        </w:trPr>
        <w:tc>
          <w:tcPr>
            <w:tcW w:w="722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AC6E44" w:rsidRPr="00271508" w:rsidRDefault="00AC6E44" w:rsidP="0039519A">
            <w:pPr>
              <w:spacing w:after="0" w:line="240" w:lineRule="auto"/>
              <w:jc w:val="center"/>
              <w:rPr>
                <w:rFonts w:ascii="Arial" w:eastAsia="Times New Roman" w:hAnsi="Arial" w:cs="Arial"/>
                <w:b/>
                <w:bCs/>
                <w:i/>
                <w:color w:val="000000"/>
                <w:lang w:val="en-US" w:eastAsia="mk-MK"/>
              </w:rPr>
            </w:pPr>
            <w:r w:rsidRPr="00271508">
              <w:rPr>
                <w:rFonts w:ascii="Arial" w:eastAsia="Times New Roman" w:hAnsi="Arial" w:cs="Arial"/>
                <w:b/>
                <w:bCs/>
                <w:i/>
                <w:iCs/>
                <w:color w:val="000000"/>
                <w:lang w:val="en-US" w:eastAsia="mk-MK"/>
              </w:rPr>
              <w:t>Call for applications 17/01</w:t>
            </w:r>
          </w:p>
        </w:tc>
      </w:tr>
      <w:tr w:rsidR="00AC6E44" w:rsidRPr="00271508" w:rsidTr="0039519A">
        <w:trPr>
          <w:trHeight w:val="428"/>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u w:val="single"/>
                <w:lang w:val="en-US" w:eastAsia="mk-MK"/>
              </w:rPr>
            </w:pPr>
            <w:r w:rsidRPr="00271508">
              <w:rPr>
                <w:rFonts w:ascii="Arial" w:eastAsia="Times New Roman" w:hAnsi="Arial" w:cs="Arial"/>
                <w:b/>
                <w:color w:val="000000"/>
                <w:u w:val="single"/>
                <w:lang w:val="en-US" w:eastAsia="mk-MK"/>
              </w:rPr>
              <w:t>Measure</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u w:val="single"/>
                <w:lang w:val="en-US" w:eastAsia="mk-MK"/>
              </w:rPr>
            </w:pPr>
            <w:r w:rsidRPr="00271508">
              <w:rPr>
                <w:rFonts w:ascii="Arial" w:eastAsia="Times New Roman" w:hAnsi="Arial" w:cs="Arial"/>
                <w:b/>
                <w:color w:val="000000"/>
                <w:u w:val="single"/>
                <w:lang w:val="en-US" w:eastAsia="mk-MK"/>
              </w:rPr>
              <w:t>Number of carried out OTSC before payment per measure</w:t>
            </w:r>
          </w:p>
        </w:tc>
      </w:tr>
      <w:tr w:rsidR="00AC6E44" w:rsidRPr="00271508" w:rsidTr="0039519A">
        <w:trPr>
          <w:trHeight w:val="930"/>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hAnsi="Arial" w:cs="Arial"/>
                <w:b/>
                <w:bCs/>
                <w:lang w:val="en-US"/>
              </w:rPr>
            </w:pPr>
            <w:r w:rsidRPr="00271508">
              <w:rPr>
                <w:rStyle w:val="Strong"/>
                <w:rFonts w:ascii="Arial" w:hAnsi="Arial" w:cs="Arial"/>
                <w:lang w:val="en-US"/>
              </w:rPr>
              <w:t>Investments in Physical Assets of Agricultural Holdings</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lang w:val="en-US" w:eastAsia="mk-MK"/>
              </w:rPr>
            </w:pPr>
            <w:r w:rsidRPr="00271508">
              <w:rPr>
                <w:rFonts w:ascii="Arial" w:eastAsia="Times New Roman" w:hAnsi="Arial" w:cs="Arial"/>
                <w:b/>
                <w:color w:val="000000"/>
                <w:lang w:val="en-US" w:eastAsia="mk-MK"/>
              </w:rPr>
              <w:t>346</w:t>
            </w:r>
          </w:p>
        </w:tc>
      </w:tr>
      <w:tr w:rsidR="00AC6E44" w:rsidRPr="00271508" w:rsidTr="0039519A">
        <w:trPr>
          <w:trHeight w:val="1040"/>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hAnsi="Arial" w:cs="Arial"/>
                <w:b/>
                <w:bCs/>
                <w:lang w:val="en-US"/>
              </w:rPr>
            </w:pPr>
            <w:r w:rsidRPr="00271508">
              <w:rPr>
                <w:rStyle w:val="Strong"/>
                <w:rFonts w:ascii="Arial" w:hAnsi="Arial" w:cs="Arial"/>
                <w:lang w:val="en-US"/>
              </w:rPr>
              <w:t>Investments in Physical Assets Concerning Processing and Marketing of Agricultural and Fishery products</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lang w:val="en-US" w:eastAsia="mk-MK"/>
              </w:rPr>
            </w:pPr>
            <w:r w:rsidRPr="00271508">
              <w:rPr>
                <w:rFonts w:ascii="Arial" w:eastAsia="Times New Roman" w:hAnsi="Arial" w:cs="Arial"/>
                <w:b/>
                <w:color w:val="000000"/>
                <w:lang w:val="en-US" w:eastAsia="mk-MK"/>
              </w:rPr>
              <w:t>5</w:t>
            </w:r>
          </w:p>
        </w:tc>
      </w:tr>
      <w:tr w:rsidR="00AC6E44" w:rsidRPr="00271508" w:rsidTr="0039519A">
        <w:trPr>
          <w:trHeight w:val="865"/>
        </w:trPr>
        <w:tc>
          <w:tcPr>
            <w:tcW w:w="3674" w:type="dxa"/>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AC6E44" w:rsidRPr="00271508" w:rsidRDefault="00AC6E44" w:rsidP="0039519A">
            <w:pPr>
              <w:spacing w:after="0" w:line="240" w:lineRule="auto"/>
              <w:jc w:val="center"/>
              <w:rPr>
                <w:rStyle w:val="Strong"/>
                <w:rFonts w:ascii="Arial" w:hAnsi="Arial" w:cs="Arial"/>
              </w:rPr>
            </w:pPr>
            <w:r w:rsidRPr="00271508">
              <w:rPr>
                <w:rStyle w:val="Strong"/>
                <w:rFonts w:ascii="Arial" w:hAnsi="Arial" w:cs="Arial"/>
                <w:lang w:val="en-US"/>
              </w:rPr>
              <w:t>Total No of OTSC</w:t>
            </w:r>
          </w:p>
        </w:tc>
        <w:tc>
          <w:tcPr>
            <w:tcW w:w="3546" w:type="dxa"/>
            <w:tcBorders>
              <w:top w:val="single" w:sz="8" w:space="0" w:color="auto"/>
              <w:left w:val="nil"/>
              <w:bottom w:val="single" w:sz="4" w:space="0" w:color="auto"/>
              <w:right w:val="single" w:sz="8" w:space="0" w:color="000000"/>
            </w:tcBorders>
            <w:shd w:val="clear" w:color="auto" w:fill="BFBFBF" w:themeFill="background1" w:themeFillShade="BF"/>
            <w:noWrap/>
            <w:vAlign w:val="center"/>
            <w:hideMark/>
          </w:tcPr>
          <w:p w:rsidR="00AC6E44" w:rsidRPr="00271508" w:rsidRDefault="00AC6E44" w:rsidP="0039519A">
            <w:pPr>
              <w:spacing w:after="0" w:line="240" w:lineRule="auto"/>
              <w:jc w:val="center"/>
              <w:rPr>
                <w:rFonts w:ascii="Arial" w:eastAsia="Times New Roman" w:hAnsi="Arial" w:cs="Arial"/>
                <w:color w:val="000000"/>
                <w:lang w:eastAsia="mk-MK"/>
              </w:rPr>
            </w:pPr>
            <w:r w:rsidRPr="00271508">
              <w:rPr>
                <w:rFonts w:ascii="Arial" w:eastAsia="Times New Roman" w:hAnsi="Arial" w:cs="Arial"/>
                <w:b/>
                <w:color w:val="000000"/>
                <w:lang w:val="en-US" w:eastAsia="mk-MK"/>
              </w:rPr>
              <w:t>351</w:t>
            </w:r>
          </w:p>
        </w:tc>
      </w:tr>
    </w:tbl>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58227E" w:rsidRDefault="0058227E"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p w:rsidR="00AC6E44" w:rsidRPr="00271508" w:rsidRDefault="00AC6E44" w:rsidP="00AC6E44">
      <w:pPr>
        <w:spacing w:after="0" w:line="240" w:lineRule="auto"/>
        <w:jc w:val="both"/>
        <w:rPr>
          <w:rStyle w:val="Emphasis"/>
          <w:rFonts w:ascii="Arial" w:hAnsi="Arial" w:cs="Arial"/>
          <w:i w:val="0"/>
          <w:sz w:val="20"/>
          <w:szCs w:val="20"/>
        </w:rPr>
      </w:pPr>
    </w:p>
    <w:p w:rsidR="00AC6E44" w:rsidRPr="00271508" w:rsidRDefault="00AC6E44" w:rsidP="00AC6E44">
      <w:pPr>
        <w:spacing w:after="0" w:line="240" w:lineRule="auto"/>
        <w:jc w:val="both"/>
        <w:rPr>
          <w:rStyle w:val="Emphasis"/>
          <w:rFonts w:ascii="Arial" w:hAnsi="Arial" w:cs="Arial"/>
          <w:i w:val="0"/>
          <w:sz w:val="20"/>
          <w:szCs w:val="20"/>
        </w:rPr>
      </w:pPr>
      <w:r w:rsidRPr="00271508">
        <w:rPr>
          <w:rStyle w:val="Emphasis"/>
          <w:rFonts w:ascii="Arial" w:hAnsi="Arial" w:cs="Arial"/>
          <w:lang w:val="en-US"/>
        </w:rPr>
        <w:lastRenderedPageBreak/>
        <w:t xml:space="preserve">Sector for on-the-spot control within AFSARD since 01.01.2019 until 15.04.2019 has carried out total of 46 </w:t>
      </w:r>
      <w:r w:rsidRPr="00271508">
        <w:rPr>
          <w:rStyle w:val="Emphasis"/>
          <w:rFonts w:ascii="Arial" w:hAnsi="Arial" w:cs="Arial"/>
        </w:rPr>
        <w:t xml:space="preserve">ex-post </w:t>
      </w:r>
      <w:r w:rsidRPr="00271508">
        <w:rPr>
          <w:rStyle w:val="Emphasis"/>
          <w:rFonts w:ascii="Arial" w:hAnsi="Arial" w:cs="Arial"/>
          <w:lang w:val="en-US"/>
        </w:rPr>
        <w:t xml:space="preserve">on-the-spot controls at investments under IPARD 1 2007-2013.  </w:t>
      </w:r>
    </w:p>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i w:val="0"/>
          <w:sz w:val="20"/>
          <w:szCs w:val="20"/>
        </w:rPr>
      </w:pPr>
    </w:p>
    <w:tbl>
      <w:tblPr>
        <w:tblpPr w:leftFromText="180" w:rightFromText="180" w:vertAnchor="text" w:horzAnchor="margin" w:tblpXSpec="center" w:tblpY="200"/>
        <w:tblW w:w="7220" w:type="dxa"/>
        <w:tblLook w:val="04A0" w:firstRow="1" w:lastRow="0" w:firstColumn="1" w:lastColumn="0" w:noHBand="0" w:noVBand="1"/>
      </w:tblPr>
      <w:tblGrid>
        <w:gridCol w:w="3674"/>
        <w:gridCol w:w="3546"/>
      </w:tblGrid>
      <w:tr w:rsidR="00AC6E44" w:rsidRPr="00271508" w:rsidTr="0039519A">
        <w:trPr>
          <w:trHeight w:val="204"/>
        </w:trPr>
        <w:tc>
          <w:tcPr>
            <w:tcW w:w="7220" w:type="dxa"/>
            <w:gridSpan w:val="2"/>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AC6E44" w:rsidRPr="00271508" w:rsidRDefault="00AC6E44" w:rsidP="0039519A">
            <w:pPr>
              <w:spacing w:after="0" w:line="240" w:lineRule="auto"/>
              <w:jc w:val="center"/>
              <w:rPr>
                <w:rFonts w:ascii="Arial" w:eastAsia="Times New Roman" w:hAnsi="Arial" w:cs="Arial"/>
                <w:b/>
                <w:bCs/>
                <w:i/>
                <w:color w:val="000000"/>
                <w:lang w:val="en-US" w:eastAsia="mk-MK"/>
              </w:rPr>
            </w:pPr>
            <w:r w:rsidRPr="00271508">
              <w:rPr>
                <w:rFonts w:ascii="Arial" w:eastAsia="Times New Roman" w:hAnsi="Arial" w:cs="Arial"/>
                <w:b/>
                <w:bCs/>
                <w:i/>
                <w:iCs/>
                <w:color w:val="000000"/>
                <w:lang w:val="en-US" w:eastAsia="mk-MK"/>
              </w:rPr>
              <w:t>Ex-post OTSC (IPARD 1 2007-2013)</w:t>
            </w:r>
          </w:p>
        </w:tc>
      </w:tr>
      <w:tr w:rsidR="00AC6E44" w:rsidRPr="00271508" w:rsidTr="0039519A">
        <w:trPr>
          <w:trHeight w:val="428"/>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u w:val="single"/>
                <w:lang w:val="en-US" w:eastAsia="mk-MK"/>
              </w:rPr>
            </w:pPr>
            <w:r w:rsidRPr="00271508">
              <w:rPr>
                <w:rFonts w:ascii="Arial" w:eastAsia="Times New Roman" w:hAnsi="Arial" w:cs="Arial"/>
                <w:b/>
                <w:color w:val="000000"/>
                <w:u w:val="single"/>
                <w:lang w:val="en-US" w:eastAsia="mk-MK"/>
              </w:rPr>
              <w:t>Measure</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u w:val="single"/>
                <w:lang w:val="en-US" w:eastAsia="mk-MK"/>
              </w:rPr>
            </w:pPr>
            <w:r w:rsidRPr="00271508">
              <w:rPr>
                <w:rFonts w:ascii="Arial" w:eastAsia="Times New Roman" w:hAnsi="Arial" w:cs="Arial"/>
                <w:b/>
                <w:color w:val="000000"/>
                <w:u w:val="single"/>
                <w:lang w:val="en-US" w:eastAsia="mk-MK"/>
              </w:rPr>
              <w:t>Number of carried out OTSC before payment per measure</w:t>
            </w:r>
          </w:p>
        </w:tc>
      </w:tr>
      <w:tr w:rsidR="00AC6E44" w:rsidRPr="00271508" w:rsidTr="0039519A">
        <w:trPr>
          <w:trHeight w:val="930"/>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hAnsi="Arial" w:cs="Arial"/>
                <w:b/>
                <w:bCs/>
                <w:lang w:val="en-US"/>
              </w:rPr>
            </w:pPr>
            <w:r w:rsidRPr="00271508">
              <w:rPr>
                <w:rStyle w:val="Strong"/>
                <w:rFonts w:ascii="Arial" w:hAnsi="Arial" w:cs="Arial"/>
              </w:rPr>
              <w:t>101</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lang w:val="en-US" w:eastAsia="mk-MK"/>
              </w:rPr>
            </w:pPr>
            <w:r w:rsidRPr="00271508">
              <w:rPr>
                <w:rFonts w:ascii="Arial" w:eastAsia="Times New Roman" w:hAnsi="Arial" w:cs="Arial"/>
                <w:b/>
                <w:color w:val="000000"/>
                <w:lang w:val="en-US" w:eastAsia="mk-MK"/>
              </w:rPr>
              <w:t>42</w:t>
            </w:r>
          </w:p>
        </w:tc>
      </w:tr>
      <w:tr w:rsidR="00AC6E44" w:rsidRPr="00271508" w:rsidTr="0039519A">
        <w:trPr>
          <w:trHeight w:val="1040"/>
        </w:trPr>
        <w:tc>
          <w:tcPr>
            <w:tcW w:w="3674" w:type="dxa"/>
            <w:tcBorders>
              <w:top w:val="single" w:sz="8" w:space="0" w:color="auto"/>
              <w:left w:val="single" w:sz="8" w:space="0" w:color="auto"/>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hAnsi="Arial" w:cs="Arial"/>
                <w:b/>
                <w:bCs/>
                <w:lang w:val="en-US"/>
              </w:rPr>
            </w:pPr>
            <w:r w:rsidRPr="00271508">
              <w:rPr>
                <w:rStyle w:val="Strong"/>
                <w:rFonts w:ascii="Arial" w:hAnsi="Arial" w:cs="Arial"/>
                <w:lang w:val="en-US"/>
              </w:rPr>
              <w:t>I03</w:t>
            </w:r>
          </w:p>
        </w:tc>
        <w:tc>
          <w:tcPr>
            <w:tcW w:w="3546" w:type="dxa"/>
            <w:tcBorders>
              <w:top w:val="single" w:sz="8" w:space="0" w:color="auto"/>
              <w:left w:val="nil"/>
              <w:bottom w:val="single" w:sz="8" w:space="0" w:color="auto"/>
              <w:right w:val="single" w:sz="8" w:space="0" w:color="000000"/>
            </w:tcBorders>
            <w:noWrap/>
            <w:vAlign w:val="center"/>
            <w:hideMark/>
          </w:tcPr>
          <w:p w:rsidR="00AC6E44" w:rsidRPr="00271508" w:rsidRDefault="00AC6E44" w:rsidP="0039519A">
            <w:pPr>
              <w:spacing w:after="0" w:line="240" w:lineRule="auto"/>
              <w:jc w:val="center"/>
              <w:rPr>
                <w:rFonts w:ascii="Arial" w:eastAsia="Times New Roman" w:hAnsi="Arial" w:cs="Arial"/>
                <w:b/>
                <w:color w:val="000000"/>
                <w:lang w:val="en-US" w:eastAsia="mk-MK"/>
              </w:rPr>
            </w:pPr>
            <w:r w:rsidRPr="00271508">
              <w:rPr>
                <w:rFonts w:ascii="Arial" w:eastAsia="Times New Roman" w:hAnsi="Arial" w:cs="Arial"/>
                <w:b/>
                <w:color w:val="000000"/>
                <w:lang w:val="en-US" w:eastAsia="mk-MK"/>
              </w:rPr>
              <w:t>2</w:t>
            </w:r>
          </w:p>
        </w:tc>
      </w:tr>
      <w:tr w:rsidR="00AC6E44" w:rsidRPr="00271508" w:rsidTr="0039519A">
        <w:trPr>
          <w:trHeight w:val="1040"/>
        </w:trPr>
        <w:tc>
          <w:tcPr>
            <w:tcW w:w="3674" w:type="dxa"/>
            <w:tcBorders>
              <w:top w:val="single" w:sz="8" w:space="0" w:color="auto"/>
              <w:left w:val="single" w:sz="8" w:space="0" w:color="auto"/>
              <w:bottom w:val="single" w:sz="8" w:space="0" w:color="auto"/>
              <w:right w:val="single" w:sz="8" w:space="0" w:color="000000"/>
            </w:tcBorders>
            <w:noWrap/>
            <w:vAlign w:val="center"/>
          </w:tcPr>
          <w:p w:rsidR="00AC6E44" w:rsidRPr="00271508" w:rsidRDefault="00AC6E44" w:rsidP="0039519A">
            <w:pPr>
              <w:spacing w:after="0" w:line="240" w:lineRule="auto"/>
              <w:jc w:val="center"/>
              <w:rPr>
                <w:rStyle w:val="Strong"/>
                <w:rFonts w:ascii="Arial" w:hAnsi="Arial" w:cs="Arial"/>
                <w:lang w:val="en-US"/>
              </w:rPr>
            </w:pPr>
            <w:r w:rsidRPr="00271508">
              <w:rPr>
                <w:rStyle w:val="Strong"/>
                <w:rFonts w:ascii="Arial" w:hAnsi="Arial" w:cs="Arial"/>
                <w:lang w:val="en-US"/>
              </w:rPr>
              <w:t>302</w:t>
            </w:r>
          </w:p>
        </w:tc>
        <w:tc>
          <w:tcPr>
            <w:tcW w:w="3546" w:type="dxa"/>
            <w:tcBorders>
              <w:top w:val="single" w:sz="8" w:space="0" w:color="auto"/>
              <w:left w:val="nil"/>
              <w:bottom w:val="single" w:sz="8" w:space="0" w:color="auto"/>
              <w:right w:val="single" w:sz="8" w:space="0" w:color="000000"/>
            </w:tcBorders>
            <w:noWrap/>
            <w:vAlign w:val="center"/>
          </w:tcPr>
          <w:p w:rsidR="00AC6E44" w:rsidRPr="00271508" w:rsidRDefault="00AC6E44" w:rsidP="0039519A">
            <w:pPr>
              <w:spacing w:after="0" w:line="240" w:lineRule="auto"/>
              <w:jc w:val="center"/>
              <w:rPr>
                <w:rFonts w:ascii="Arial" w:eastAsia="Times New Roman" w:hAnsi="Arial" w:cs="Arial"/>
                <w:b/>
                <w:color w:val="000000"/>
                <w:lang w:val="en-US" w:eastAsia="mk-MK"/>
              </w:rPr>
            </w:pPr>
            <w:r w:rsidRPr="00271508">
              <w:rPr>
                <w:rFonts w:ascii="Arial" w:eastAsia="Times New Roman" w:hAnsi="Arial" w:cs="Arial"/>
                <w:b/>
                <w:color w:val="000000"/>
                <w:lang w:val="en-US" w:eastAsia="mk-MK"/>
              </w:rPr>
              <w:t>2</w:t>
            </w:r>
          </w:p>
        </w:tc>
      </w:tr>
      <w:tr w:rsidR="00AC6E44" w:rsidRPr="00271508" w:rsidTr="0039519A">
        <w:trPr>
          <w:trHeight w:val="865"/>
        </w:trPr>
        <w:tc>
          <w:tcPr>
            <w:tcW w:w="3674" w:type="dxa"/>
            <w:tcBorders>
              <w:top w:val="single" w:sz="8" w:space="0" w:color="auto"/>
              <w:left w:val="single" w:sz="8" w:space="0" w:color="auto"/>
              <w:bottom w:val="single" w:sz="8" w:space="0" w:color="000000"/>
              <w:right w:val="single" w:sz="8" w:space="0" w:color="000000"/>
            </w:tcBorders>
            <w:shd w:val="clear" w:color="auto" w:fill="BFBFBF"/>
            <w:noWrap/>
            <w:vAlign w:val="center"/>
            <w:hideMark/>
          </w:tcPr>
          <w:p w:rsidR="00AC6E44" w:rsidRPr="00271508" w:rsidRDefault="00AC6E44" w:rsidP="0039519A">
            <w:pPr>
              <w:spacing w:after="0" w:line="240" w:lineRule="auto"/>
              <w:jc w:val="center"/>
              <w:rPr>
                <w:rStyle w:val="Strong"/>
                <w:rFonts w:ascii="Arial" w:hAnsi="Arial" w:cs="Arial"/>
              </w:rPr>
            </w:pPr>
            <w:r w:rsidRPr="00271508">
              <w:rPr>
                <w:rStyle w:val="Strong"/>
                <w:rFonts w:ascii="Arial" w:hAnsi="Arial" w:cs="Arial"/>
                <w:lang w:val="en-US"/>
              </w:rPr>
              <w:t>Total No of OTSC</w:t>
            </w:r>
          </w:p>
        </w:tc>
        <w:tc>
          <w:tcPr>
            <w:tcW w:w="3546" w:type="dxa"/>
            <w:tcBorders>
              <w:top w:val="single" w:sz="8" w:space="0" w:color="auto"/>
              <w:left w:val="nil"/>
              <w:bottom w:val="single" w:sz="4" w:space="0" w:color="auto"/>
              <w:right w:val="single" w:sz="8" w:space="0" w:color="000000"/>
            </w:tcBorders>
            <w:shd w:val="clear" w:color="auto" w:fill="BFBFBF"/>
            <w:noWrap/>
            <w:vAlign w:val="center"/>
            <w:hideMark/>
          </w:tcPr>
          <w:p w:rsidR="00AC6E44" w:rsidRPr="00271508" w:rsidRDefault="00AC6E44" w:rsidP="0039519A">
            <w:pPr>
              <w:spacing w:after="0" w:line="240" w:lineRule="auto"/>
              <w:jc w:val="center"/>
              <w:rPr>
                <w:rFonts w:ascii="Arial" w:eastAsia="Times New Roman" w:hAnsi="Arial" w:cs="Arial"/>
                <w:color w:val="000000"/>
                <w:lang w:eastAsia="mk-MK"/>
              </w:rPr>
            </w:pPr>
            <w:r w:rsidRPr="00271508">
              <w:rPr>
                <w:rFonts w:ascii="Arial" w:eastAsia="Times New Roman" w:hAnsi="Arial" w:cs="Arial"/>
                <w:b/>
                <w:color w:val="000000"/>
                <w:lang w:val="en-US" w:eastAsia="mk-MK"/>
              </w:rPr>
              <w:t>46</w:t>
            </w:r>
          </w:p>
        </w:tc>
      </w:tr>
    </w:tbl>
    <w:p w:rsidR="00AC6E44" w:rsidRDefault="00AC6E44" w:rsidP="00AC6E44">
      <w:pPr>
        <w:spacing w:after="0" w:line="240" w:lineRule="auto"/>
        <w:jc w:val="both"/>
        <w:rPr>
          <w:rStyle w:val="Emphasis"/>
          <w:rFonts w:ascii="StobiSerif Regular" w:hAnsi="StobiSerif Regular"/>
          <w:i w:val="0"/>
          <w:sz w:val="20"/>
          <w:szCs w:val="20"/>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Default="00AC6E44" w:rsidP="00AC6E44">
      <w:pPr>
        <w:spacing w:after="0" w:line="240" w:lineRule="auto"/>
        <w:jc w:val="both"/>
        <w:rPr>
          <w:rStyle w:val="Emphasis"/>
          <w:rFonts w:ascii="StobiSerif Regular" w:hAnsi="StobiSerif Regular"/>
          <w:lang w:val="en-US"/>
        </w:rPr>
      </w:pPr>
    </w:p>
    <w:p w:rsidR="00AC6E44" w:rsidRPr="00271508" w:rsidRDefault="00AC6E44" w:rsidP="00AC6E44">
      <w:pPr>
        <w:spacing w:after="0" w:line="240" w:lineRule="auto"/>
        <w:jc w:val="both"/>
        <w:rPr>
          <w:rStyle w:val="Emphasis"/>
          <w:rFonts w:ascii="Arial" w:hAnsi="Arial" w:cs="Arial"/>
          <w:i w:val="0"/>
          <w:lang w:val="en-US"/>
        </w:rPr>
      </w:pPr>
      <w:r w:rsidRPr="00271508">
        <w:rPr>
          <w:rStyle w:val="Emphasis"/>
          <w:rFonts w:ascii="Arial" w:hAnsi="Arial" w:cs="Arial"/>
          <w:lang w:val="en-US"/>
        </w:rPr>
        <w:t>Sector for on-the-spot control has carried also 5 OTSC for establishing hidden works out of which 2 OTSC at investments under Measure 1, 1 OTSC at Investment under Measure 3 and 2OTSC at investment under Measure 7, Call for Applications 17/01</w:t>
      </w:r>
    </w:p>
    <w:p w:rsidR="00AC6E44" w:rsidRPr="00271508" w:rsidRDefault="00AC6E44" w:rsidP="00AC6E44">
      <w:pPr>
        <w:spacing w:after="0" w:line="240" w:lineRule="auto"/>
        <w:jc w:val="both"/>
        <w:rPr>
          <w:rStyle w:val="Emphasis"/>
          <w:rFonts w:ascii="Arial" w:hAnsi="Arial" w:cs="Arial"/>
          <w:i w:val="0"/>
          <w:lang w:val="en-US"/>
        </w:rPr>
      </w:pPr>
    </w:p>
    <w:p w:rsidR="00AC6E44" w:rsidRPr="00271508" w:rsidRDefault="00AC6E44" w:rsidP="00AC6E44">
      <w:pPr>
        <w:pStyle w:val="ListParagraph"/>
        <w:spacing w:after="0" w:line="240" w:lineRule="auto"/>
        <w:ind w:left="900"/>
        <w:rPr>
          <w:rFonts w:ascii="Arial" w:hAnsi="Arial" w:cs="Arial"/>
        </w:rPr>
      </w:pPr>
    </w:p>
    <w:p w:rsidR="00271508" w:rsidRDefault="00271508" w:rsidP="00271508">
      <w:pPr>
        <w:spacing w:after="0" w:line="240" w:lineRule="auto"/>
      </w:pPr>
    </w:p>
    <w:p w:rsidR="00AC6E44" w:rsidRPr="00271508" w:rsidRDefault="00AC6E44" w:rsidP="00271508">
      <w:pPr>
        <w:spacing w:after="0" w:line="240" w:lineRule="auto"/>
        <w:jc w:val="both"/>
        <w:rPr>
          <w:rFonts w:ascii="Arial" w:eastAsia="Times New Roman" w:hAnsi="Arial" w:cs="Arial"/>
          <w:i/>
          <w:lang w:val="en"/>
        </w:rPr>
      </w:pPr>
      <w:r w:rsidRPr="00271508">
        <w:rPr>
          <w:rFonts w:ascii="Arial" w:eastAsia="Times New Roman" w:hAnsi="Arial" w:cs="Arial"/>
          <w:i/>
          <w:lang w:val="en"/>
        </w:rPr>
        <w:t xml:space="preserve">Most common findings encountered during the OTSC - findings that have very little or none financial impact to the investment.  </w:t>
      </w:r>
    </w:p>
    <w:p w:rsidR="00AC6E44" w:rsidRPr="00271508" w:rsidRDefault="00AC6E44" w:rsidP="00AC6E44">
      <w:pPr>
        <w:spacing w:after="0" w:line="240" w:lineRule="auto"/>
        <w:rPr>
          <w:rFonts w:ascii="Arial" w:eastAsia="Times New Roman" w:hAnsi="Arial" w:cs="Arial"/>
        </w:rPr>
      </w:pPr>
    </w:p>
    <w:p w:rsidR="00AC6E44" w:rsidRPr="00271508" w:rsidRDefault="00AC6E44" w:rsidP="00AC6E44">
      <w:pPr>
        <w:spacing w:after="0" w:line="240" w:lineRule="auto"/>
        <w:rPr>
          <w:rFonts w:ascii="Arial" w:eastAsia="Times New Roman" w:hAnsi="Arial" w:cs="Arial"/>
          <w:i/>
          <w:lang w:val="en-US"/>
        </w:rPr>
      </w:pPr>
      <w:r w:rsidRPr="00271508">
        <w:rPr>
          <w:rFonts w:ascii="Arial" w:eastAsia="Times New Roman" w:hAnsi="Arial" w:cs="Arial"/>
          <w:i/>
          <w:lang w:val="en-US"/>
        </w:rPr>
        <w:t>Prior approval</w:t>
      </w:r>
    </w:p>
    <w:p w:rsidR="00AC6E44" w:rsidRPr="00271508" w:rsidRDefault="00AC6E44" w:rsidP="00AC6E44">
      <w:pPr>
        <w:spacing w:after="0" w:line="240" w:lineRule="auto"/>
        <w:rPr>
          <w:rFonts w:ascii="Arial" w:eastAsia="Times New Roman" w:hAnsi="Arial" w:cs="Arial"/>
          <w:i/>
          <w:lang w:val="en-US"/>
        </w:rPr>
      </w:pPr>
    </w:p>
    <w:p w:rsidR="00AC6E44" w:rsidRPr="00271508" w:rsidRDefault="00AC6E44" w:rsidP="00AC6E44">
      <w:pPr>
        <w:spacing w:after="0" w:line="240" w:lineRule="auto"/>
        <w:rPr>
          <w:rFonts w:ascii="Arial" w:eastAsia="Times New Roman" w:hAnsi="Arial" w:cs="Arial"/>
          <w:i/>
          <w:lang w:val="en-US"/>
        </w:rPr>
      </w:pPr>
      <w:r w:rsidRPr="00271508">
        <w:rPr>
          <w:rFonts w:ascii="Arial" w:eastAsia="Times New Roman" w:hAnsi="Arial" w:cs="Arial"/>
          <w:i/>
          <w:lang w:val="en-US"/>
        </w:rPr>
        <w:t xml:space="preserve">No major finding </w:t>
      </w:r>
      <w:proofErr w:type="gramStart"/>
      <w:r w:rsidRPr="00271508">
        <w:rPr>
          <w:rFonts w:ascii="Arial" w:eastAsia="Times New Roman" w:hAnsi="Arial" w:cs="Arial"/>
          <w:i/>
          <w:lang w:val="en-US"/>
        </w:rPr>
        <w:t>were</w:t>
      </w:r>
      <w:proofErr w:type="gramEnd"/>
      <w:r w:rsidRPr="00271508">
        <w:rPr>
          <w:rFonts w:ascii="Arial" w:eastAsia="Times New Roman" w:hAnsi="Arial" w:cs="Arial"/>
          <w:i/>
          <w:lang w:val="en-US"/>
        </w:rPr>
        <w:t xml:space="preserve"> established while performing OTSC prior approval at investments form call for applications 18/01</w:t>
      </w: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Before payment</w:t>
      </w: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Most common findings established while performing OTSC before payment are the following:</w:t>
      </w: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lastRenderedPageBreak/>
        <w:t>-differences in the technical characteristics of the purchased equipment between the contract, invoices and OTSC. The most frequent reason for these differences is due to technical reasons, i.e. mistakes made when issuing the necessary documentation for the equipment by the supplier / manufacturer.</w:t>
      </w: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w:t>
      </w:r>
      <w:r w:rsidRPr="00271508">
        <w:rPr>
          <w:rFonts w:ascii="Arial" w:hAnsi="Arial" w:cs="Arial"/>
        </w:rPr>
        <w:t xml:space="preserve"> </w:t>
      </w:r>
      <w:r w:rsidRPr="00271508">
        <w:rPr>
          <w:rFonts w:ascii="Arial" w:eastAsia="Times New Roman" w:hAnsi="Arial" w:cs="Arial"/>
          <w:i/>
          <w:lang w:val="en"/>
        </w:rPr>
        <w:t xml:space="preserve">the absence of certain data clearly marked on the equipment itself (year of manufacture, country of origin, serial number, model) and in certain cases no existence of any markings (equipment and mechanization without plates with technical data (usually with mechanization and equipment from domestic </w:t>
      </w:r>
      <w:proofErr w:type="gramStart"/>
      <w:r w:rsidRPr="00271508">
        <w:rPr>
          <w:rFonts w:ascii="Arial" w:eastAsia="Times New Roman" w:hAnsi="Arial" w:cs="Arial"/>
          <w:i/>
          <w:lang w:val="en"/>
        </w:rPr>
        <w:t>production .</w:t>
      </w:r>
      <w:proofErr w:type="gramEnd"/>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 xml:space="preserve">- part or all of the equipment not </w:t>
      </w:r>
      <w:proofErr w:type="gramStart"/>
      <w:r w:rsidRPr="00271508">
        <w:rPr>
          <w:rFonts w:ascii="Arial" w:eastAsia="Times New Roman" w:hAnsi="Arial" w:cs="Arial"/>
          <w:i/>
          <w:lang w:val="en"/>
        </w:rPr>
        <w:t>functioning  (</w:t>
      </w:r>
      <w:proofErr w:type="gramEnd"/>
      <w:r w:rsidRPr="00271508">
        <w:rPr>
          <w:rFonts w:ascii="Arial" w:eastAsia="Times New Roman" w:hAnsi="Arial" w:cs="Arial"/>
          <w:i/>
          <w:lang w:val="en"/>
        </w:rPr>
        <w:t>equipment that during the OTSC has been determined not to be in a functional state, that it is disassembled in parts or not connected to electricity or with a certain defect. In such cases certain time period is given for the equipment to be put into operation and OTSC is carried out again. All beneficiaries where such findings were established, installed the equipment and put into function.</w:t>
      </w: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w:t>
      </w:r>
      <w:r w:rsidRPr="00271508">
        <w:rPr>
          <w:rFonts w:ascii="Arial" w:hAnsi="Arial" w:cs="Arial"/>
        </w:rPr>
        <w:t xml:space="preserve"> </w:t>
      </w:r>
      <w:r w:rsidRPr="00271508">
        <w:rPr>
          <w:rFonts w:ascii="Arial" w:eastAsia="Times New Roman" w:hAnsi="Arial" w:cs="Arial"/>
          <w:i/>
          <w:lang w:val="en"/>
        </w:rPr>
        <w:t xml:space="preserve">damaged mechanization / equipment while using (users submit written evidence that the equipment has been repaired and that the defect is removed and the equipment / mechanization is used without any problems. </w:t>
      </w:r>
    </w:p>
    <w:p w:rsidR="00AC6E44" w:rsidRPr="00271508" w:rsidRDefault="00AC6E44" w:rsidP="00AC6E44">
      <w:pPr>
        <w:spacing w:after="0" w:line="240" w:lineRule="auto"/>
        <w:rPr>
          <w:rFonts w:ascii="Arial" w:eastAsia="Times New Roman" w:hAnsi="Arial" w:cs="Arial"/>
          <w:i/>
        </w:rPr>
      </w:pPr>
      <w:r w:rsidRPr="00271508">
        <w:rPr>
          <w:rFonts w:ascii="Arial" w:eastAsia="Times New Roman" w:hAnsi="Arial" w:cs="Arial"/>
          <w:i/>
        </w:rPr>
        <w:t xml:space="preserve">- differences in quantities and type of </w:t>
      </w:r>
      <w:r w:rsidRPr="00271508">
        <w:rPr>
          <w:rFonts w:ascii="Arial" w:eastAsia="Times New Roman" w:hAnsi="Arial" w:cs="Arial"/>
          <w:i/>
          <w:lang w:val="en-US"/>
        </w:rPr>
        <w:t xml:space="preserve">construction </w:t>
      </w:r>
      <w:r w:rsidRPr="00271508">
        <w:rPr>
          <w:rFonts w:ascii="Arial" w:eastAsia="Times New Roman" w:hAnsi="Arial" w:cs="Arial"/>
          <w:i/>
        </w:rPr>
        <w:t xml:space="preserve">material between the invoice/delivery note, construction documentation and </w:t>
      </w:r>
      <w:r w:rsidRPr="00271508">
        <w:rPr>
          <w:rFonts w:ascii="Arial" w:eastAsia="Times New Roman" w:hAnsi="Arial" w:cs="Arial"/>
          <w:i/>
          <w:lang w:val="en-US"/>
        </w:rPr>
        <w:t>OTSC</w:t>
      </w:r>
      <w:r w:rsidRPr="00271508">
        <w:rPr>
          <w:rFonts w:ascii="Arial" w:eastAsia="Times New Roman" w:hAnsi="Arial" w:cs="Arial"/>
          <w:i/>
        </w:rPr>
        <w:t>.</w:t>
      </w: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OTSC for establishing hidden works</w:t>
      </w:r>
    </w:p>
    <w:p w:rsidR="00AC6E44" w:rsidRPr="0039519A" w:rsidRDefault="00AC6E44" w:rsidP="00AC6E44">
      <w:pPr>
        <w:spacing w:after="0" w:line="240" w:lineRule="auto"/>
        <w:rPr>
          <w:rFonts w:ascii="StobiSerif Regular" w:eastAsia="Times New Roman" w:hAnsi="StobiSerif Regular"/>
          <w:i/>
          <w:lang w:val="en"/>
        </w:rPr>
      </w:pP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 xml:space="preserve">Pursuant to the procedures for work of SC during the realization of the investments, especially when it comes to construction works, on-the-spot controls are carried out during the realization of certain activities, so called control of hidden works, or for things that cannot be established at the end of the investment. </w:t>
      </w: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 xml:space="preserve">These controls involve checking of construction documents and comparing them with the situation on-the-spot. The most common findings in this type of controls are </w:t>
      </w: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 incomplete construction documentation during the control - OTSC I carried out during certain construction activities, so often the responsible persons cannot provide certain documents at the moment. After a given deadline, they are provided to the controllers</w:t>
      </w: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p>
    <w:p w:rsidR="00AC6E44" w:rsidRPr="00271508" w:rsidRDefault="00AC6E44" w:rsidP="00AC6E44">
      <w:pPr>
        <w:spacing w:after="0" w:line="240" w:lineRule="auto"/>
        <w:rPr>
          <w:rFonts w:ascii="Arial" w:eastAsia="Times New Roman" w:hAnsi="Arial" w:cs="Arial"/>
          <w:i/>
          <w:lang w:val="en"/>
        </w:rPr>
      </w:pPr>
      <w:r w:rsidRPr="00271508">
        <w:rPr>
          <w:rFonts w:ascii="Arial" w:eastAsia="Times New Roman" w:hAnsi="Arial" w:cs="Arial"/>
          <w:i/>
          <w:lang w:val="en"/>
        </w:rPr>
        <w:t xml:space="preserve">Ex-post OTSC </w:t>
      </w:r>
    </w:p>
    <w:p w:rsidR="00AC6E44" w:rsidRPr="00271508" w:rsidRDefault="00AC6E44" w:rsidP="00AC6E44">
      <w:pPr>
        <w:spacing w:after="0" w:line="240" w:lineRule="auto"/>
        <w:jc w:val="both"/>
        <w:rPr>
          <w:rFonts w:ascii="Arial" w:eastAsia="Times New Roman" w:hAnsi="Arial" w:cs="Arial"/>
          <w:i/>
          <w:lang w:val="en"/>
        </w:rPr>
      </w:pPr>
    </w:p>
    <w:p w:rsidR="00AC6E44" w:rsidRPr="00271508" w:rsidRDefault="00AC6E44" w:rsidP="00AC6E44">
      <w:pPr>
        <w:spacing w:after="0" w:line="240" w:lineRule="auto"/>
        <w:jc w:val="both"/>
        <w:rPr>
          <w:rFonts w:ascii="Arial" w:eastAsia="Times New Roman" w:hAnsi="Arial" w:cs="Arial"/>
          <w:i/>
          <w:lang w:val="en"/>
        </w:rPr>
      </w:pPr>
      <w:r w:rsidRPr="00271508">
        <w:rPr>
          <w:rFonts w:ascii="Arial" w:eastAsia="Times New Roman" w:hAnsi="Arial" w:cs="Arial"/>
          <w:i/>
          <w:lang w:val="en"/>
        </w:rPr>
        <w:t>In 2019, 46 ex-post OTSC were carried out for investments under IPARD 1, realized until 2017. No major findings have been identified in carrying out these controls. There are no changes to the constructed / reconstructed buildings and premises facilities, all users keep the equipment / mechanization, it is used in accordance with the intended purpose and it is marked according to the contract.</w:t>
      </w:r>
    </w:p>
    <w:p w:rsidR="001926AE" w:rsidRPr="00271508" w:rsidRDefault="001926AE" w:rsidP="000B7320">
      <w:pPr>
        <w:pStyle w:val="ListParagraph"/>
        <w:spacing w:after="0" w:line="240" w:lineRule="auto"/>
        <w:ind w:left="0"/>
        <w:contextualSpacing w:val="0"/>
        <w:jc w:val="both"/>
        <w:rPr>
          <w:rFonts w:ascii="Arial" w:hAnsi="Arial" w:cs="Arial"/>
        </w:rPr>
      </w:pPr>
    </w:p>
    <w:sectPr w:rsidR="001926AE" w:rsidRPr="00271508" w:rsidSect="002C286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479" w:rsidRDefault="00F32479" w:rsidP="00F32479">
      <w:pPr>
        <w:spacing w:after="0" w:line="240" w:lineRule="auto"/>
      </w:pPr>
      <w:r>
        <w:separator/>
      </w:r>
    </w:p>
  </w:endnote>
  <w:endnote w:type="continuationSeparator" w:id="0">
    <w:p w:rsidR="00F32479" w:rsidRDefault="00F32479" w:rsidP="00F3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479" w:rsidRDefault="00F32479" w:rsidP="00F32479">
      <w:pPr>
        <w:spacing w:after="0" w:line="240" w:lineRule="auto"/>
      </w:pPr>
      <w:r>
        <w:separator/>
      </w:r>
    </w:p>
  </w:footnote>
  <w:footnote w:type="continuationSeparator" w:id="0">
    <w:p w:rsidR="00F32479" w:rsidRDefault="00F32479" w:rsidP="00F32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55293"/>
      <w:docPartObj>
        <w:docPartGallery w:val="Page Numbers (Top of Page)"/>
        <w:docPartUnique/>
      </w:docPartObj>
    </w:sdtPr>
    <w:sdtEndPr>
      <w:rPr>
        <w:noProof/>
      </w:rPr>
    </w:sdtEndPr>
    <w:sdtContent>
      <w:p w:rsidR="00F32479" w:rsidRDefault="00F324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32479" w:rsidRDefault="00F3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7199"/>
    <w:multiLevelType w:val="hybridMultilevel"/>
    <w:tmpl w:val="BAF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7F46"/>
    <w:multiLevelType w:val="hybridMultilevel"/>
    <w:tmpl w:val="BF326E54"/>
    <w:lvl w:ilvl="0" w:tplc="6E006C9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D63D8"/>
    <w:multiLevelType w:val="hybridMultilevel"/>
    <w:tmpl w:val="F67A3A0E"/>
    <w:lvl w:ilvl="0" w:tplc="5198A518">
      <w:start w:val="4"/>
      <w:numFmt w:val="bullet"/>
      <w:lvlText w:val="-"/>
      <w:lvlJc w:val="left"/>
      <w:pPr>
        <w:ind w:left="1440" w:hanging="360"/>
      </w:pPr>
      <w:rPr>
        <w:rFonts w:ascii="StobiSerif Regular" w:eastAsia="MS Mincho" w:hAnsi="StobiSerif Regular"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D119BD"/>
    <w:multiLevelType w:val="hybridMultilevel"/>
    <w:tmpl w:val="EB2A4F26"/>
    <w:lvl w:ilvl="0" w:tplc="042F000F">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abstractNum w:abstractNumId="4" w15:restartNumberingAfterBreak="0">
    <w:nsid w:val="2C627283"/>
    <w:multiLevelType w:val="hybridMultilevel"/>
    <w:tmpl w:val="C03A149E"/>
    <w:lvl w:ilvl="0" w:tplc="0809000F">
      <w:start w:val="1"/>
      <w:numFmt w:val="decimal"/>
      <w:lvlText w:val="%1."/>
      <w:lvlJc w:val="left"/>
      <w:pPr>
        <w:tabs>
          <w:tab w:val="num" w:pos="720"/>
        </w:tabs>
        <w:ind w:left="720" w:hanging="360"/>
      </w:pPr>
      <w:rPr>
        <w:rFonts w:eastAsia="Times New Roman" w:cs="Times New Roman" w:hint="default"/>
      </w:rPr>
    </w:lvl>
    <w:lvl w:ilvl="1" w:tplc="32EABF9E">
      <w:start w:val="1"/>
      <w:numFmt w:val="bullet"/>
      <w:lvlText w:val=""/>
      <w:lvlJc w:val="left"/>
      <w:pPr>
        <w:tabs>
          <w:tab w:val="num" w:pos="1440"/>
        </w:tabs>
        <w:ind w:left="1440" w:hanging="360"/>
      </w:pPr>
      <w:rPr>
        <w:rFonts w:ascii="Wingdings" w:hAnsi="Wingdings" w:hint="default"/>
      </w:rPr>
    </w:lvl>
    <w:lvl w:ilvl="2" w:tplc="6A860682">
      <w:start w:val="18"/>
      <w:numFmt w:val="bullet"/>
      <w:lvlText w:val="-"/>
      <w:lvlJc w:val="left"/>
      <w:pPr>
        <w:tabs>
          <w:tab w:val="num" w:pos="2340"/>
        </w:tabs>
        <w:ind w:left="2340" w:hanging="360"/>
      </w:pPr>
      <w:rPr>
        <w:rFonts w:ascii="Arial" w:eastAsia="Times New Roman" w:hAnsi="Arial" w:hint="default"/>
      </w:rPr>
    </w:lvl>
    <w:lvl w:ilvl="3" w:tplc="0809000F">
      <w:start w:val="1"/>
      <w:numFmt w:val="decimal"/>
      <w:lvlText w:val="%4."/>
      <w:lvlJc w:val="left"/>
      <w:pPr>
        <w:tabs>
          <w:tab w:val="num" w:pos="2880"/>
        </w:tabs>
        <w:ind w:left="2880" w:hanging="360"/>
      </w:pPr>
      <w:rPr>
        <w:rFonts w:cs="Times New Roman"/>
      </w:rPr>
    </w:lvl>
    <w:lvl w:ilvl="4" w:tplc="E390C460">
      <w:start w:val="1"/>
      <w:numFmt w:val="bullet"/>
      <w:lvlText w:val=""/>
      <w:lvlJc w:val="left"/>
      <w:pPr>
        <w:tabs>
          <w:tab w:val="num" w:pos="360"/>
        </w:tabs>
        <w:ind w:left="360" w:hanging="360"/>
      </w:pPr>
      <w:rPr>
        <w:rFonts w:ascii="Symbol" w:hAnsi="Symbol" w:hint="default"/>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F068CC"/>
    <w:multiLevelType w:val="hybridMultilevel"/>
    <w:tmpl w:val="4A26EB94"/>
    <w:lvl w:ilvl="0" w:tplc="12189C9E">
      <w:start w:val="4"/>
      <w:numFmt w:val="bullet"/>
      <w:lvlText w:val="-"/>
      <w:lvlJc w:val="left"/>
      <w:pPr>
        <w:ind w:left="720" w:hanging="360"/>
      </w:pPr>
      <w:rPr>
        <w:rFonts w:ascii="StobiSerif Regular" w:eastAsia="Times New Roman" w:hAnsi="StobiSerif Regular"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30DCC59C">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842"/>
    <w:multiLevelType w:val="hybridMultilevel"/>
    <w:tmpl w:val="8740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7339B"/>
    <w:multiLevelType w:val="hybridMultilevel"/>
    <w:tmpl w:val="AB02D8EA"/>
    <w:lvl w:ilvl="0" w:tplc="CE8EB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87A1B"/>
    <w:multiLevelType w:val="hybridMultilevel"/>
    <w:tmpl w:val="3E78F3FA"/>
    <w:lvl w:ilvl="0" w:tplc="04DCDB32">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30DCC59C">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C250B"/>
    <w:multiLevelType w:val="hybridMultilevel"/>
    <w:tmpl w:val="600AE0FA"/>
    <w:lvl w:ilvl="0" w:tplc="042F0017">
      <w:start w:val="1"/>
      <w:numFmt w:val="lowerLetter"/>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0" w15:restartNumberingAfterBreak="0">
    <w:nsid w:val="78B178CF"/>
    <w:multiLevelType w:val="hybridMultilevel"/>
    <w:tmpl w:val="04AA5D80"/>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9"/>
  </w:num>
  <w:num w:numId="4">
    <w:abstractNumId w:val="3"/>
  </w:num>
  <w:num w:numId="5">
    <w:abstractNumId w:val="0"/>
  </w:num>
  <w:num w:numId="6">
    <w:abstractNumId w:val="1"/>
  </w:num>
  <w:num w:numId="7">
    <w:abstractNumId w:val="2"/>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AD"/>
    <w:rsid w:val="00012628"/>
    <w:rsid w:val="0001614C"/>
    <w:rsid w:val="00041B3B"/>
    <w:rsid w:val="00061FA2"/>
    <w:rsid w:val="000B7320"/>
    <w:rsid w:val="000D4715"/>
    <w:rsid w:val="000E5DA3"/>
    <w:rsid w:val="0010237D"/>
    <w:rsid w:val="00111EC5"/>
    <w:rsid w:val="00126969"/>
    <w:rsid w:val="001269C6"/>
    <w:rsid w:val="0017651F"/>
    <w:rsid w:val="001817FC"/>
    <w:rsid w:val="001926AE"/>
    <w:rsid w:val="001F6515"/>
    <w:rsid w:val="0020767B"/>
    <w:rsid w:val="002544DC"/>
    <w:rsid w:val="002557DB"/>
    <w:rsid w:val="00271508"/>
    <w:rsid w:val="002A0168"/>
    <w:rsid w:val="002C286B"/>
    <w:rsid w:val="00304973"/>
    <w:rsid w:val="00323E19"/>
    <w:rsid w:val="0033252E"/>
    <w:rsid w:val="003356CE"/>
    <w:rsid w:val="00353274"/>
    <w:rsid w:val="00364922"/>
    <w:rsid w:val="003B3B73"/>
    <w:rsid w:val="003C2C90"/>
    <w:rsid w:val="00445F82"/>
    <w:rsid w:val="004536FF"/>
    <w:rsid w:val="00487EFA"/>
    <w:rsid w:val="004908DC"/>
    <w:rsid w:val="004953F9"/>
    <w:rsid w:val="004A0C54"/>
    <w:rsid w:val="004D40E2"/>
    <w:rsid w:val="004F2A2E"/>
    <w:rsid w:val="00505C12"/>
    <w:rsid w:val="005125AD"/>
    <w:rsid w:val="00534D5F"/>
    <w:rsid w:val="00540D4B"/>
    <w:rsid w:val="00543197"/>
    <w:rsid w:val="00546A1E"/>
    <w:rsid w:val="00546D00"/>
    <w:rsid w:val="00547452"/>
    <w:rsid w:val="00566170"/>
    <w:rsid w:val="00566176"/>
    <w:rsid w:val="00570647"/>
    <w:rsid w:val="0058227E"/>
    <w:rsid w:val="005A7EA8"/>
    <w:rsid w:val="005B1D9E"/>
    <w:rsid w:val="005F040C"/>
    <w:rsid w:val="006652D9"/>
    <w:rsid w:val="006755F8"/>
    <w:rsid w:val="00677291"/>
    <w:rsid w:val="006C51BB"/>
    <w:rsid w:val="006E2F1D"/>
    <w:rsid w:val="006F023D"/>
    <w:rsid w:val="00724DD7"/>
    <w:rsid w:val="00741BA0"/>
    <w:rsid w:val="00751D58"/>
    <w:rsid w:val="007B5E37"/>
    <w:rsid w:val="007C112F"/>
    <w:rsid w:val="007D2138"/>
    <w:rsid w:val="008014F3"/>
    <w:rsid w:val="008115E4"/>
    <w:rsid w:val="00886AE6"/>
    <w:rsid w:val="008900FB"/>
    <w:rsid w:val="008C40D7"/>
    <w:rsid w:val="008D00E5"/>
    <w:rsid w:val="00910ECA"/>
    <w:rsid w:val="009368C6"/>
    <w:rsid w:val="009C2985"/>
    <w:rsid w:val="00A11899"/>
    <w:rsid w:val="00A14C3A"/>
    <w:rsid w:val="00A16A86"/>
    <w:rsid w:val="00A253DA"/>
    <w:rsid w:val="00A36B1C"/>
    <w:rsid w:val="00A55508"/>
    <w:rsid w:val="00A749CF"/>
    <w:rsid w:val="00AC524E"/>
    <w:rsid w:val="00AC6E44"/>
    <w:rsid w:val="00AE5035"/>
    <w:rsid w:val="00AF0F09"/>
    <w:rsid w:val="00B10BAD"/>
    <w:rsid w:val="00B13F41"/>
    <w:rsid w:val="00B4190F"/>
    <w:rsid w:val="00B63B2C"/>
    <w:rsid w:val="00B704BD"/>
    <w:rsid w:val="00B82FF8"/>
    <w:rsid w:val="00BC2261"/>
    <w:rsid w:val="00BC5B0D"/>
    <w:rsid w:val="00BE410E"/>
    <w:rsid w:val="00C346DF"/>
    <w:rsid w:val="00C60761"/>
    <w:rsid w:val="00C646D5"/>
    <w:rsid w:val="00C954D5"/>
    <w:rsid w:val="00CC1CAD"/>
    <w:rsid w:val="00CC2FA6"/>
    <w:rsid w:val="00CF2935"/>
    <w:rsid w:val="00D04B9E"/>
    <w:rsid w:val="00D06E91"/>
    <w:rsid w:val="00D179AC"/>
    <w:rsid w:val="00D2510B"/>
    <w:rsid w:val="00D56E5D"/>
    <w:rsid w:val="00D71AE4"/>
    <w:rsid w:val="00D72B5E"/>
    <w:rsid w:val="00D9470A"/>
    <w:rsid w:val="00DA02E4"/>
    <w:rsid w:val="00DD5FBA"/>
    <w:rsid w:val="00DE7228"/>
    <w:rsid w:val="00DF4405"/>
    <w:rsid w:val="00DF58B9"/>
    <w:rsid w:val="00E044D3"/>
    <w:rsid w:val="00E55BE3"/>
    <w:rsid w:val="00E65403"/>
    <w:rsid w:val="00E65672"/>
    <w:rsid w:val="00E70179"/>
    <w:rsid w:val="00E9676F"/>
    <w:rsid w:val="00EA4DE2"/>
    <w:rsid w:val="00EB38D7"/>
    <w:rsid w:val="00EB5EDE"/>
    <w:rsid w:val="00EC7578"/>
    <w:rsid w:val="00F14C16"/>
    <w:rsid w:val="00F16F07"/>
    <w:rsid w:val="00F32479"/>
    <w:rsid w:val="00F761A6"/>
    <w:rsid w:val="00F96396"/>
    <w:rsid w:val="00FC56A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7449C"/>
  <w15:docId w15:val="{5959C19A-49B1-4CD4-9540-37529CB6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1F"/>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1CAD"/>
    <w:rPr>
      <w:rFonts w:ascii="Tahoma" w:hAnsi="Tahoma" w:cs="Tahoma"/>
      <w:sz w:val="16"/>
      <w:szCs w:val="16"/>
    </w:rPr>
  </w:style>
  <w:style w:type="paragraph" w:styleId="ListParagraph">
    <w:name w:val="List Paragraph"/>
    <w:basedOn w:val="Normal"/>
    <w:uiPriority w:val="34"/>
    <w:qFormat/>
    <w:rsid w:val="00CC1CAD"/>
    <w:pPr>
      <w:ind w:left="720"/>
      <w:contextualSpacing/>
    </w:pPr>
  </w:style>
  <w:style w:type="paragraph" w:styleId="Header">
    <w:name w:val="header"/>
    <w:basedOn w:val="Normal"/>
    <w:link w:val="HeaderChar"/>
    <w:uiPriority w:val="99"/>
    <w:rsid w:val="00364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64922"/>
    <w:rPr>
      <w:rFonts w:cs="Times New Roman"/>
    </w:rPr>
  </w:style>
  <w:style w:type="paragraph" w:customStyle="1" w:styleId="Char">
    <w:name w:val="Char"/>
    <w:basedOn w:val="Normal"/>
    <w:uiPriority w:val="99"/>
    <w:rsid w:val="0020767B"/>
    <w:pPr>
      <w:spacing w:after="160" w:line="240" w:lineRule="exact"/>
    </w:pPr>
    <w:rPr>
      <w:rFonts w:ascii="Tahoma" w:hAnsi="Tahoma"/>
      <w:sz w:val="20"/>
      <w:szCs w:val="20"/>
      <w:lang w:val="en-US"/>
    </w:rPr>
  </w:style>
  <w:style w:type="character" w:customStyle="1" w:styleId="hps">
    <w:name w:val="hps"/>
    <w:rsid w:val="00CC2FA6"/>
  </w:style>
  <w:style w:type="character" w:styleId="Emphasis">
    <w:name w:val="Emphasis"/>
    <w:basedOn w:val="DefaultParagraphFont"/>
    <w:qFormat/>
    <w:locked/>
    <w:rsid w:val="005B1D9E"/>
    <w:rPr>
      <w:i/>
      <w:iCs/>
    </w:rPr>
  </w:style>
  <w:style w:type="character" w:styleId="Strong">
    <w:name w:val="Strong"/>
    <w:basedOn w:val="DefaultParagraphFont"/>
    <w:uiPriority w:val="22"/>
    <w:qFormat/>
    <w:locked/>
    <w:rsid w:val="001926AE"/>
    <w:rPr>
      <w:b/>
      <w:bCs/>
    </w:rPr>
  </w:style>
  <w:style w:type="table" w:styleId="TableGrid">
    <w:name w:val="Table Grid"/>
    <w:basedOn w:val="TableNormal"/>
    <w:uiPriority w:val="39"/>
    <w:locked/>
    <w:rsid w:val="00DF440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2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479"/>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061">
      <w:bodyDiv w:val="1"/>
      <w:marLeft w:val="0"/>
      <w:marRight w:val="0"/>
      <w:marTop w:val="0"/>
      <w:marBottom w:val="0"/>
      <w:divBdr>
        <w:top w:val="none" w:sz="0" w:space="0" w:color="auto"/>
        <w:left w:val="none" w:sz="0" w:space="0" w:color="auto"/>
        <w:bottom w:val="none" w:sz="0" w:space="0" w:color="auto"/>
        <w:right w:val="none" w:sz="0" w:space="0" w:color="auto"/>
      </w:divBdr>
    </w:div>
    <w:div w:id="63727595">
      <w:bodyDiv w:val="1"/>
      <w:marLeft w:val="0"/>
      <w:marRight w:val="0"/>
      <w:marTop w:val="0"/>
      <w:marBottom w:val="0"/>
      <w:divBdr>
        <w:top w:val="none" w:sz="0" w:space="0" w:color="auto"/>
        <w:left w:val="none" w:sz="0" w:space="0" w:color="auto"/>
        <w:bottom w:val="none" w:sz="0" w:space="0" w:color="auto"/>
        <w:right w:val="none" w:sz="0" w:space="0" w:color="auto"/>
      </w:divBdr>
    </w:div>
    <w:div w:id="161969895">
      <w:bodyDiv w:val="1"/>
      <w:marLeft w:val="0"/>
      <w:marRight w:val="0"/>
      <w:marTop w:val="0"/>
      <w:marBottom w:val="0"/>
      <w:divBdr>
        <w:top w:val="none" w:sz="0" w:space="0" w:color="auto"/>
        <w:left w:val="none" w:sz="0" w:space="0" w:color="auto"/>
        <w:bottom w:val="none" w:sz="0" w:space="0" w:color="auto"/>
        <w:right w:val="none" w:sz="0" w:space="0" w:color="auto"/>
      </w:divBdr>
    </w:div>
    <w:div w:id="174852904">
      <w:bodyDiv w:val="1"/>
      <w:marLeft w:val="0"/>
      <w:marRight w:val="0"/>
      <w:marTop w:val="0"/>
      <w:marBottom w:val="0"/>
      <w:divBdr>
        <w:top w:val="none" w:sz="0" w:space="0" w:color="auto"/>
        <w:left w:val="none" w:sz="0" w:space="0" w:color="auto"/>
        <w:bottom w:val="none" w:sz="0" w:space="0" w:color="auto"/>
        <w:right w:val="none" w:sz="0" w:space="0" w:color="auto"/>
      </w:divBdr>
    </w:div>
    <w:div w:id="197283458">
      <w:bodyDiv w:val="1"/>
      <w:marLeft w:val="0"/>
      <w:marRight w:val="0"/>
      <w:marTop w:val="0"/>
      <w:marBottom w:val="0"/>
      <w:divBdr>
        <w:top w:val="none" w:sz="0" w:space="0" w:color="auto"/>
        <w:left w:val="none" w:sz="0" w:space="0" w:color="auto"/>
        <w:bottom w:val="none" w:sz="0" w:space="0" w:color="auto"/>
        <w:right w:val="none" w:sz="0" w:space="0" w:color="auto"/>
      </w:divBdr>
    </w:div>
    <w:div w:id="530649445">
      <w:bodyDiv w:val="1"/>
      <w:marLeft w:val="0"/>
      <w:marRight w:val="0"/>
      <w:marTop w:val="0"/>
      <w:marBottom w:val="0"/>
      <w:divBdr>
        <w:top w:val="none" w:sz="0" w:space="0" w:color="auto"/>
        <w:left w:val="none" w:sz="0" w:space="0" w:color="auto"/>
        <w:bottom w:val="none" w:sz="0" w:space="0" w:color="auto"/>
        <w:right w:val="none" w:sz="0" w:space="0" w:color="auto"/>
      </w:divBdr>
    </w:div>
    <w:div w:id="655305707">
      <w:bodyDiv w:val="1"/>
      <w:marLeft w:val="0"/>
      <w:marRight w:val="0"/>
      <w:marTop w:val="0"/>
      <w:marBottom w:val="0"/>
      <w:divBdr>
        <w:top w:val="none" w:sz="0" w:space="0" w:color="auto"/>
        <w:left w:val="none" w:sz="0" w:space="0" w:color="auto"/>
        <w:bottom w:val="none" w:sz="0" w:space="0" w:color="auto"/>
        <w:right w:val="none" w:sz="0" w:space="0" w:color="auto"/>
      </w:divBdr>
    </w:div>
    <w:div w:id="658188645">
      <w:bodyDiv w:val="1"/>
      <w:marLeft w:val="0"/>
      <w:marRight w:val="0"/>
      <w:marTop w:val="0"/>
      <w:marBottom w:val="0"/>
      <w:divBdr>
        <w:top w:val="none" w:sz="0" w:space="0" w:color="auto"/>
        <w:left w:val="none" w:sz="0" w:space="0" w:color="auto"/>
        <w:bottom w:val="none" w:sz="0" w:space="0" w:color="auto"/>
        <w:right w:val="none" w:sz="0" w:space="0" w:color="auto"/>
      </w:divBdr>
    </w:div>
    <w:div w:id="1464230480">
      <w:bodyDiv w:val="1"/>
      <w:marLeft w:val="0"/>
      <w:marRight w:val="0"/>
      <w:marTop w:val="0"/>
      <w:marBottom w:val="0"/>
      <w:divBdr>
        <w:top w:val="none" w:sz="0" w:space="0" w:color="auto"/>
        <w:left w:val="none" w:sz="0" w:space="0" w:color="auto"/>
        <w:bottom w:val="none" w:sz="0" w:space="0" w:color="auto"/>
        <w:right w:val="none" w:sz="0" w:space="0" w:color="auto"/>
      </w:divBdr>
    </w:div>
    <w:div w:id="1490902144">
      <w:bodyDiv w:val="1"/>
      <w:marLeft w:val="0"/>
      <w:marRight w:val="0"/>
      <w:marTop w:val="0"/>
      <w:marBottom w:val="0"/>
      <w:divBdr>
        <w:top w:val="none" w:sz="0" w:space="0" w:color="auto"/>
        <w:left w:val="none" w:sz="0" w:space="0" w:color="auto"/>
        <w:bottom w:val="none" w:sz="0" w:space="0" w:color="auto"/>
        <w:right w:val="none" w:sz="0" w:space="0" w:color="auto"/>
      </w:divBdr>
      <w:divsChild>
        <w:div w:id="1113524664">
          <w:marLeft w:val="0"/>
          <w:marRight w:val="0"/>
          <w:marTop w:val="0"/>
          <w:marBottom w:val="0"/>
          <w:divBdr>
            <w:top w:val="none" w:sz="0" w:space="0" w:color="auto"/>
            <w:left w:val="none" w:sz="0" w:space="0" w:color="auto"/>
            <w:bottom w:val="none" w:sz="0" w:space="0" w:color="auto"/>
            <w:right w:val="none" w:sz="0" w:space="0" w:color="auto"/>
          </w:divBdr>
          <w:divsChild>
            <w:div w:id="1429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088">
      <w:bodyDiv w:val="1"/>
      <w:marLeft w:val="0"/>
      <w:marRight w:val="0"/>
      <w:marTop w:val="0"/>
      <w:marBottom w:val="0"/>
      <w:divBdr>
        <w:top w:val="none" w:sz="0" w:space="0" w:color="auto"/>
        <w:left w:val="none" w:sz="0" w:space="0" w:color="auto"/>
        <w:bottom w:val="none" w:sz="0" w:space="0" w:color="auto"/>
        <w:right w:val="none" w:sz="0" w:space="0" w:color="auto"/>
      </w:divBdr>
    </w:div>
    <w:div w:id="1670985721">
      <w:bodyDiv w:val="1"/>
      <w:marLeft w:val="0"/>
      <w:marRight w:val="0"/>
      <w:marTop w:val="0"/>
      <w:marBottom w:val="0"/>
      <w:divBdr>
        <w:top w:val="none" w:sz="0" w:space="0" w:color="auto"/>
        <w:left w:val="none" w:sz="0" w:space="0" w:color="auto"/>
        <w:bottom w:val="none" w:sz="0" w:space="0" w:color="auto"/>
        <w:right w:val="none" w:sz="0" w:space="0" w:color="auto"/>
      </w:divBdr>
      <w:divsChild>
        <w:div w:id="791561944">
          <w:marLeft w:val="0"/>
          <w:marRight w:val="0"/>
          <w:marTop w:val="0"/>
          <w:marBottom w:val="0"/>
          <w:divBdr>
            <w:top w:val="none" w:sz="0" w:space="0" w:color="auto"/>
            <w:left w:val="none" w:sz="0" w:space="0" w:color="auto"/>
            <w:bottom w:val="none" w:sz="0" w:space="0" w:color="auto"/>
            <w:right w:val="none" w:sz="0" w:space="0" w:color="auto"/>
          </w:divBdr>
        </w:div>
      </w:divsChild>
    </w:div>
    <w:div w:id="20504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2505</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MZSVADMIN</dc:creator>
  <cp:lastModifiedBy>Kalina</cp:lastModifiedBy>
  <cp:revision>12</cp:revision>
  <cp:lastPrinted>2015-05-26T10:15:00Z</cp:lastPrinted>
  <dcterms:created xsi:type="dcterms:W3CDTF">2019-05-06T11:33:00Z</dcterms:created>
  <dcterms:modified xsi:type="dcterms:W3CDTF">2019-05-18T20:52:00Z</dcterms:modified>
</cp:coreProperties>
</file>