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04" w:rsidRDefault="00590304" w:rsidP="008B7A30">
      <w:pPr>
        <w:jc w:val="center"/>
        <w:rPr>
          <w:rFonts w:ascii="StobiSerif Regular" w:hAnsi="StobiSerif Regular"/>
          <w:b/>
          <w:sz w:val="28"/>
          <w:szCs w:val="28"/>
          <w:lang w:val="en-US"/>
        </w:rPr>
      </w:pPr>
      <w:bookmarkStart w:id="0" w:name="_GoBack"/>
      <w:bookmarkEnd w:id="0"/>
    </w:p>
    <w:p w:rsidR="00590304" w:rsidRDefault="00590304" w:rsidP="00590304">
      <w:pPr>
        <w:jc w:val="center"/>
        <w:rPr>
          <w:rFonts w:ascii="StobiSerif Regular" w:hAnsi="StobiSerif Regular"/>
          <w:b/>
          <w:sz w:val="28"/>
          <w:szCs w:val="28"/>
          <w:lang w:val="en-US"/>
        </w:rPr>
      </w:pPr>
    </w:p>
    <w:p w:rsidR="0009228A" w:rsidRPr="0009228A" w:rsidRDefault="0009228A" w:rsidP="0009228A">
      <w:pPr>
        <w:jc w:val="center"/>
        <w:rPr>
          <w:rFonts w:ascii="StobiSerif Regular" w:hAnsi="StobiSerif Regular"/>
          <w:b/>
        </w:rPr>
      </w:pPr>
      <w:r w:rsidRPr="0009228A">
        <w:rPr>
          <w:rFonts w:ascii="StobiSerif Regular" w:hAnsi="StobiSerif Regular"/>
          <w:b/>
        </w:rPr>
        <w:t xml:space="preserve">ГОДИШЕН ИЗВЕШТАЈ </w:t>
      </w:r>
    </w:p>
    <w:p w:rsidR="0009228A" w:rsidRPr="0009228A" w:rsidRDefault="0009228A" w:rsidP="0009228A">
      <w:pPr>
        <w:jc w:val="center"/>
        <w:rPr>
          <w:rFonts w:ascii="StobiSerif Regular" w:hAnsi="StobiSerif Regular"/>
          <w:b/>
        </w:rPr>
      </w:pPr>
      <w:r w:rsidRPr="0009228A">
        <w:rPr>
          <w:rFonts w:ascii="StobiSerif Regular" w:hAnsi="StobiSerif Regular"/>
          <w:b/>
        </w:rPr>
        <w:t>ЗА</w:t>
      </w:r>
    </w:p>
    <w:p w:rsidR="0009228A" w:rsidRPr="0009228A" w:rsidRDefault="0009228A" w:rsidP="0009228A">
      <w:pPr>
        <w:jc w:val="center"/>
        <w:rPr>
          <w:rFonts w:ascii="StobiSerif Regular" w:hAnsi="StobiSerif Regular"/>
          <w:b/>
        </w:rPr>
      </w:pPr>
      <w:r w:rsidRPr="0009228A">
        <w:rPr>
          <w:rFonts w:ascii="StobiSerif Regular" w:hAnsi="StobiSerif Regular"/>
          <w:b/>
        </w:rPr>
        <w:t>СПРОВЕДУВАЊЕ НА ИПАРД ПРОГРАМА 2007-2013</w:t>
      </w:r>
    </w:p>
    <w:p w:rsidR="00590304" w:rsidRPr="00E57D88" w:rsidRDefault="00422DDB" w:rsidP="00590304">
      <w:pPr>
        <w:spacing w:line="240" w:lineRule="auto"/>
        <w:jc w:val="center"/>
        <w:rPr>
          <w:rFonts w:ascii="StobiSerif Regular" w:hAnsi="StobiSerif Regular"/>
          <w:b/>
          <w:sz w:val="28"/>
          <w:szCs w:val="28"/>
          <w:lang w:val="en-US"/>
        </w:rPr>
      </w:pPr>
      <w:r w:rsidRPr="005C54A9">
        <w:rPr>
          <w:rFonts w:ascii="StobiSerif Regular" w:hAnsi="StobiSerif Regular"/>
          <w:b/>
        </w:rPr>
        <w:t xml:space="preserve">за период </w:t>
      </w:r>
      <w:r>
        <w:rPr>
          <w:rFonts w:ascii="StobiSerif Regular" w:hAnsi="StobiSerif Regular"/>
          <w:b/>
          <w:lang w:val="en-US"/>
        </w:rPr>
        <w:t xml:space="preserve"> </w:t>
      </w:r>
      <w:r w:rsidRPr="005C54A9">
        <w:rPr>
          <w:rFonts w:ascii="StobiSerif Regular" w:hAnsi="StobiSerif Regular"/>
          <w:b/>
        </w:rPr>
        <w:t xml:space="preserve">1 јануари </w:t>
      </w:r>
      <w:r w:rsidR="00590304" w:rsidRPr="00E57D88">
        <w:rPr>
          <w:rFonts w:ascii="StobiSerif Regular" w:hAnsi="StobiSerif Regular"/>
          <w:b/>
          <w:sz w:val="28"/>
          <w:szCs w:val="28"/>
          <w:lang w:val="en-US"/>
        </w:rPr>
        <w:t>201</w:t>
      </w:r>
      <w:r w:rsidR="00590304">
        <w:rPr>
          <w:rFonts w:ascii="StobiSerif Regular" w:hAnsi="StobiSerif Regular"/>
          <w:b/>
          <w:sz w:val="28"/>
          <w:szCs w:val="28"/>
          <w:lang w:val="en-US"/>
        </w:rPr>
        <w:t>6</w:t>
      </w:r>
      <w:r>
        <w:rPr>
          <w:rFonts w:ascii="StobiSerif Regular" w:hAnsi="StobiSerif Regular"/>
          <w:b/>
          <w:sz w:val="28"/>
          <w:szCs w:val="28"/>
          <w:lang w:val="en-US"/>
        </w:rPr>
        <w:t xml:space="preserve"> – 31 </w:t>
      </w:r>
      <w:r>
        <w:rPr>
          <w:rFonts w:ascii="StobiSerif Regular" w:hAnsi="StobiSerif Regular"/>
          <w:b/>
          <w:sz w:val="28"/>
          <w:szCs w:val="28"/>
        </w:rPr>
        <w:t xml:space="preserve">декември </w:t>
      </w:r>
      <w:r w:rsidR="00590304" w:rsidRPr="00E57D88">
        <w:rPr>
          <w:rFonts w:ascii="StobiSerif Regular" w:hAnsi="StobiSerif Regular"/>
          <w:b/>
          <w:sz w:val="28"/>
          <w:szCs w:val="28"/>
          <w:lang w:val="en-US"/>
        </w:rPr>
        <w:t xml:space="preserve"> 201</w:t>
      </w:r>
      <w:r w:rsidR="00590304">
        <w:rPr>
          <w:rFonts w:ascii="StobiSerif Regular" w:hAnsi="StobiSerif Regular"/>
          <w:b/>
          <w:sz w:val="28"/>
          <w:szCs w:val="28"/>
          <w:lang w:val="en-US"/>
        </w:rPr>
        <w:t>6</w:t>
      </w:r>
    </w:p>
    <w:p w:rsidR="0009228A" w:rsidRPr="0009228A" w:rsidRDefault="0009228A" w:rsidP="0009228A">
      <w:pPr>
        <w:jc w:val="center"/>
        <w:rPr>
          <w:rFonts w:ascii="StobiSerif Regular" w:hAnsi="StobiSerif Regular"/>
          <w:lang w:val="en-US"/>
        </w:rPr>
      </w:pPr>
      <w:r w:rsidRPr="0009228A">
        <w:rPr>
          <w:rFonts w:ascii="StobiSerif Regular" w:hAnsi="StobiSerif Regular"/>
          <w:lang w:val="en-US"/>
        </w:rPr>
        <w:t>(Во согласност со</w:t>
      </w:r>
      <w:r w:rsidRPr="0009228A">
        <w:rPr>
          <w:rFonts w:ascii="StobiSerif Regular" w:hAnsi="StobiSerif Regular"/>
        </w:rPr>
        <w:t xml:space="preserve"> член</w:t>
      </w:r>
      <w:r w:rsidRPr="0009228A">
        <w:rPr>
          <w:rFonts w:ascii="StobiSerif Regular" w:hAnsi="StobiSerif Regular"/>
          <w:lang w:val="en-US"/>
        </w:rPr>
        <w:t xml:space="preserve"> 68 од Секторската спогодба)</w:t>
      </w:r>
    </w:p>
    <w:p w:rsidR="0009228A" w:rsidRPr="0009228A" w:rsidRDefault="0009228A" w:rsidP="0009228A">
      <w:pPr>
        <w:jc w:val="center"/>
        <w:rPr>
          <w:rFonts w:ascii="StobiSerif Regular" w:hAnsi="StobiSerif Regular"/>
          <w:lang w:val="en-US"/>
        </w:rPr>
      </w:pPr>
    </w:p>
    <w:p w:rsidR="0009228A" w:rsidRPr="0009228A" w:rsidRDefault="0009228A" w:rsidP="0009228A">
      <w:pPr>
        <w:jc w:val="center"/>
        <w:rPr>
          <w:rFonts w:ascii="StobiSerif Regular" w:hAnsi="StobiSerif Regular"/>
          <w:b/>
          <w:lang w:val="en-US"/>
        </w:rPr>
      </w:pPr>
      <w:r w:rsidRPr="0009228A">
        <w:rPr>
          <w:rFonts w:ascii="StobiSerif Regular" w:hAnsi="StobiSerif Regular"/>
          <w:b/>
          <w:lang w:val="en-US"/>
        </w:rPr>
        <w:t>CCI No: 2007MK06IPO 001</w:t>
      </w:r>
    </w:p>
    <w:p w:rsidR="00590304" w:rsidRPr="00590304" w:rsidRDefault="00590304" w:rsidP="00590304"/>
    <w:p w:rsidR="00590304" w:rsidRPr="00590304" w:rsidRDefault="00590304" w:rsidP="00590304"/>
    <w:p w:rsidR="00590304" w:rsidRPr="00590304" w:rsidRDefault="00590304" w:rsidP="00590304"/>
    <w:p w:rsidR="00590304" w:rsidRPr="00590304" w:rsidRDefault="00590304" w:rsidP="00590304"/>
    <w:p w:rsidR="00590304" w:rsidRPr="00590304" w:rsidRDefault="00590304" w:rsidP="00590304"/>
    <w:p w:rsidR="00590304" w:rsidRPr="00590304" w:rsidRDefault="00590304" w:rsidP="00590304"/>
    <w:p w:rsidR="00590304" w:rsidRDefault="00590304" w:rsidP="00590304"/>
    <w:p w:rsidR="00590304" w:rsidRPr="00E57D88" w:rsidRDefault="00590304" w:rsidP="00590304">
      <w:pPr>
        <w:jc w:val="center"/>
        <w:rPr>
          <w:rFonts w:ascii="StobiSerif Regular" w:hAnsi="StobiSerif Regular"/>
          <w:sz w:val="24"/>
          <w:szCs w:val="24"/>
          <w:lang w:val="en-US"/>
        </w:rPr>
      </w:pPr>
      <w:r>
        <w:tab/>
      </w:r>
      <w:r w:rsidR="00422DDB">
        <w:rPr>
          <w:rFonts w:ascii="StobiSerif Regular" w:hAnsi="StobiSerif Regular"/>
          <w:sz w:val="24"/>
          <w:szCs w:val="24"/>
          <w:lang w:val="en-US"/>
        </w:rPr>
        <w:t>J</w:t>
      </w:r>
      <w:r w:rsidR="00422DDB">
        <w:rPr>
          <w:rFonts w:ascii="StobiSerif Regular" w:hAnsi="StobiSerif Regular"/>
          <w:sz w:val="24"/>
          <w:szCs w:val="24"/>
        </w:rPr>
        <w:t xml:space="preserve">уни </w:t>
      </w:r>
      <w:r w:rsidRPr="00E57D88">
        <w:rPr>
          <w:rFonts w:ascii="StobiSerif Regular" w:hAnsi="StobiSerif Regular"/>
          <w:sz w:val="24"/>
          <w:szCs w:val="24"/>
          <w:lang w:val="en-US"/>
        </w:rPr>
        <w:t>201</w:t>
      </w:r>
      <w:r>
        <w:rPr>
          <w:rFonts w:ascii="StobiSerif Regular" w:hAnsi="StobiSerif Regular"/>
          <w:sz w:val="24"/>
          <w:szCs w:val="24"/>
          <w:lang w:val="en-US"/>
        </w:rPr>
        <w:t>7</w:t>
      </w:r>
    </w:p>
    <w:p w:rsidR="00AC6426" w:rsidRDefault="00AC6426" w:rsidP="00590304">
      <w:pPr>
        <w:tabs>
          <w:tab w:val="left" w:pos="3469"/>
        </w:tabs>
        <w:rPr>
          <w:lang w:val="en-US"/>
        </w:rPr>
      </w:pPr>
    </w:p>
    <w:p w:rsidR="00590304" w:rsidRDefault="00590304" w:rsidP="00590304">
      <w:pPr>
        <w:tabs>
          <w:tab w:val="left" w:pos="3469"/>
        </w:tabs>
        <w:rPr>
          <w:lang w:val="en-US"/>
        </w:rPr>
      </w:pPr>
    </w:p>
    <w:p w:rsidR="00590304" w:rsidRDefault="00590304" w:rsidP="00590304">
      <w:pPr>
        <w:tabs>
          <w:tab w:val="left" w:pos="3469"/>
        </w:tabs>
        <w:rPr>
          <w:lang w:val="en-US"/>
        </w:rPr>
      </w:pPr>
    </w:p>
    <w:p w:rsidR="00590304" w:rsidRDefault="00590304" w:rsidP="00590304">
      <w:pPr>
        <w:tabs>
          <w:tab w:val="left" w:pos="3469"/>
        </w:tabs>
        <w:rPr>
          <w:lang w:val="en-US"/>
        </w:rPr>
      </w:pPr>
    </w:p>
    <w:p w:rsidR="00590304" w:rsidRDefault="00D332E6" w:rsidP="00D332E6">
      <w:pPr>
        <w:tabs>
          <w:tab w:val="left" w:pos="2579"/>
        </w:tabs>
        <w:rPr>
          <w:lang w:val="en-US"/>
        </w:rPr>
      </w:pPr>
      <w:r>
        <w:rPr>
          <w:lang w:val="en-US"/>
        </w:rPr>
        <w:tab/>
      </w:r>
    </w:p>
    <w:p w:rsidR="00590304" w:rsidRDefault="00590304" w:rsidP="00590304">
      <w:pPr>
        <w:tabs>
          <w:tab w:val="left" w:pos="3469"/>
        </w:tabs>
        <w:rPr>
          <w:lang w:val="en-US"/>
        </w:rPr>
      </w:pPr>
    </w:p>
    <w:p w:rsidR="00590304" w:rsidRDefault="00590304" w:rsidP="00590304">
      <w:pPr>
        <w:pStyle w:val="TOCHeading"/>
      </w:pPr>
    </w:p>
    <w:p w:rsidR="003F0125" w:rsidRPr="003F0125" w:rsidRDefault="003F0125" w:rsidP="003F0125">
      <w:pPr>
        <w:rPr>
          <w:lang w:val="en-US" w:eastAsia="ja-JP"/>
        </w:rPr>
      </w:pPr>
    </w:p>
    <w:p w:rsidR="00181541" w:rsidRDefault="00590304">
      <w:pPr>
        <w:pStyle w:val="TOC1"/>
        <w:rPr>
          <w:rFonts w:eastAsiaTheme="minorEastAsia"/>
          <w:b w:val="0"/>
          <w:bCs w:val="0"/>
          <w:i w:val="0"/>
          <w:iCs w:val="0"/>
          <w:noProof/>
          <w:sz w:val="22"/>
          <w:szCs w:val="22"/>
          <w:lang w:eastAsia="mk-MK"/>
        </w:rPr>
      </w:pPr>
      <w:r>
        <w:rPr>
          <w:sz w:val="20"/>
          <w:szCs w:val="20"/>
          <w:lang w:val="en-US"/>
        </w:rPr>
        <w:fldChar w:fldCharType="begin"/>
      </w:r>
      <w:r>
        <w:rPr>
          <w:lang w:val="en-US"/>
        </w:rPr>
        <w:instrText xml:space="preserve"> TOC \o "1-3" \p " " \h \z \u </w:instrText>
      </w:r>
      <w:r>
        <w:rPr>
          <w:sz w:val="20"/>
          <w:szCs w:val="20"/>
          <w:lang w:val="en-US"/>
        </w:rPr>
        <w:fldChar w:fldCharType="separate"/>
      </w:r>
      <w:hyperlink w:anchor="_Toc485394798" w:history="1">
        <w:r w:rsidR="00181541" w:rsidRPr="00797C64">
          <w:rPr>
            <w:rStyle w:val="Hyperlink"/>
            <w:rFonts w:ascii="StobiSerif Regular" w:hAnsi="StobiSerif Regular"/>
            <w:noProof/>
          </w:rPr>
          <w:t>Вовед</w:t>
        </w:r>
        <w:r w:rsidR="00181541">
          <w:rPr>
            <w:noProof/>
            <w:webHidden/>
          </w:rPr>
          <w:t xml:space="preserve"> </w:t>
        </w:r>
        <w:r w:rsidR="00181541">
          <w:rPr>
            <w:noProof/>
            <w:webHidden/>
          </w:rPr>
          <w:fldChar w:fldCharType="begin"/>
        </w:r>
        <w:r w:rsidR="00181541">
          <w:rPr>
            <w:noProof/>
            <w:webHidden/>
          </w:rPr>
          <w:instrText xml:space="preserve"> PAGEREF _Toc485394798 \h </w:instrText>
        </w:r>
        <w:r w:rsidR="00181541">
          <w:rPr>
            <w:noProof/>
            <w:webHidden/>
          </w:rPr>
        </w:r>
        <w:r w:rsidR="00181541">
          <w:rPr>
            <w:noProof/>
            <w:webHidden/>
          </w:rPr>
          <w:fldChar w:fldCharType="separate"/>
        </w:r>
        <w:r w:rsidR="00181541">
          <w:rPr>
            <w:noProof/>
            <w:webHidden/>
          </w:rPr>
          <w:t>5</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799" w:history="1">
        <w:r w:rsidR="00181541" w:rsidRPr="00797C64">
          <w:rPr>
            <w:rStyle w:val="Hyperlink"/>
            <w:rFonts w:ascii="StobiSerif Regular" w:eastAsia="Calibri" w:hAnsi="StobiSerif Regular" w:cs="Times New Roman"/>
            <w:noProof/>
          </w:rPr>
          <w:t>ЛИСТА НА АКРОНИМИ</w:t>
        </w:r>
        <w:r w:rsidR="00181541">
          <w:rPr>
            <w:noProof/>
            <w:webHidden/>
          </w:rPr>
          <w:t xml:space="preserve"> </w:t>
        </w:r>
        <w:r w:rsidR="00181541">
          <w:rPr>
            <w:noProof/>
            <w:webHidden/>
          </w:rPr>
          <w:fldChar w:fldCharType="begin"/>
        </w:r>
        <w:r w:rsidR="00181541">
          <w:rPr>
            <w:noProof/>
            <w:webHidden/>
          </w:rPr>
          <w:instrText xml:space="preserve"> PAGEREF _Toc485394799 \h </w:instrText>
        </w:r>
        <w:r w:rsidR="00181541">
          <w:rPr>
            <w:noProof/>
            <w:webHidden/>
          </w:rPr>
        </w:r>
        <w:r w:rsidR="00181541">
          <w:rPr>
            <w:noProof/>
            <w:webHidden/>
          </w:rPr>
          <w:fldChar w:fldCharType="separate"/>
        </w:r>
        <w:r w:rsidR="00181541">
          <w:rPr>
            <w:noProof/>
            <w:webHidden/>
          </w:rPr>
          <w:t>9</w:t>
        </w:r>
        <w:r w:rsidR="00181541">
          <w:rPr>
            <w:noProof/>
            <w:webHidden/>
          </w:rPr>
          <w:fldChar w:fldCharType="end"/>
        </w:r>
      </w:hyperlink>
    </w:p>
    <w:p w:rsidR="00181541" w:rsidRDefault="00762162">
      <w:pPr>
        <w:pStyle w:val="TOC1"/>
        <w:rPr>
          <w:rFonts w:eastAsiaTheme="minorEastAsia"/>
          <w:b w:val="0"/>
          <w:bCs w:val="0"/>
          <w:i w:val="0"/>
          <w:iCs w:val="0"/>
          <w:noProof/>
          <w:sz w:val="22"/>
          <w:szCs w:val="22"/>
          <w:lang w:eastAsia="mk-MK"/>
        </w:rPr>
      </w:pPr>
      <w:hyperlink w:anchor="_Toc485394800" w:history="1">
        <w:r w:rsidR="00181541" w:rsidRPr="00797C64">
          <w:rPr>
            <w:rStyle w:val="Hyperlink"/>
            <w:rFonts w:ascii="StobiSerif Regular" w:hAnsi="StobiSerif Regular"/>
            <w:noProof/>
            <w:lang w:val="en-US"/>
          </w:rPr>
          <w:t>1:Промени во општите услови во Република Македонија</w:t>
        </w:r>
        <w:r w:rsidR="00181541">
          <w:rPr>
            <w:noProof/>
            <w:webHidden/>
          </w:rPr>
          <w:t xml:space="preserve"> </w:t>
        </w:r>
        <w:r w:rsidR="00181541">
          <w:rPr>
            <w:noProof/>
            <w:webHidden/>
          </w:rPr>
          <w:fldChar w:fldCharType="begin"/>
        </w:r>
        <w:r w:rsidR="00181541">
          <w:rPr>
            <w:noProof/>
            <w:webHidden/>
          </w:rPr>
          <w:instrText xml:space="preserve"> PAGEREF _Toc485394800 \h </w:instrText>
        </w:r>
        <w:r w:rsidR="00181541">
          <w:rPr>
            <w:noProof/>
            <w:webHidden/>
          </w:rPr>
        </w:r>
        <w:r w:rsidR="00181541">
          <w:rPr>
            <w:noProof/>
            <w:webHidden/>
          </w:rPr>
          <w:fldChar w:fldCharType="separate"/>
        </w:r>
        <w:r w:rsidR="00181541">
          <w:rPr>
            <w:noProof/>
            <w:webHidden/>
          </w:rPr>
          <w:t>10</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01" w:history="1">
        <w:r w:rsidR="00181541" w:rsidRPr="00797C64">
          <w:rPr>
            <w:rStyle w:val="Hyperlink"/>
            <w:rFonts w:ascii="StobiSerif Regular" w:hAnsi="StobiSerif Regular"/>
            <w:b/>
            <w:noProof/>
            <w:lang w:val="en-US"/>
          </w:rPr>
          <w:t xml:space="preserve">1.1 </w:t>
        </w:r>
        <w:r w:rsidR="00181541" w:rsidRPr="00797C64">
          <w:rPr>
            <w:rStyle w:val="Hyperlink"/>
            <w:rFonts w:ascii="StobiSerif Regular" w:hAnsi="StobiSerif Regular"/>
            <w:b/>
            <w:noProof/>
          </w:rPr>
          <w:t>Институционални и политичка рамка</w:t>
        </w:r>
        <w:r w:rsidR="00181541">
          <w:rPr>
            <w:noProof/>
            <w:webHidden/>
          </w:rPr>
          <w:t xml:space="preserve"> </w:t>
        </w:r>
        <w:r w:rsidR="00181541">
          <w:rPr>
            <w:noProof/>
            <w:webHidden/>
          </w:rPr>
          <w:fldChar w:fldCharType="begin"/>
        </w:r>
        <w:r w:rsidR="00181541">
          <w:rPr>
            <w:noProof/>
            <w:webHidden/>
          </w:rPr>
          <w:instrText xml:space="preserve"> PAGEREF _Toc485394801 \h </w:instrText>
        </w:r>
        <w:r w:rsidR="00181541">
          <w:rPr>
            <w:noProof/>
            <w:webHidden/>
          </w:rPr>
        </w:r>
        <w:r w:rsidR="00181541">
          <w:rPr>
            <w:noProof/>
            <w:webHidden/>
          </w:rPr>
          <w:fldChar w:fldCharType="separate"/>
        </w:r>
        <w:r w:rsidR="00181541">
          <w:rPr>
            <w:noProof/>
            <w:webHidden/>
          </w:rPr>
          <w:t>10</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02" w:history="1">
        <w:r w:rsidR="00181541" w:rsidRPr="00797C64">
          <w:rPr>
            <w:rStyle w:val="Hyperlink"/>
            <w:rFonts w:ascii="StobiSerif Regular" w:hAnsi="StobiSerif Regular"/>
            <w:b/>
            <w:noProof/>
            <w:lang w:val="en-US"/>
          </w:rPr>
          <w:t xml:space="preserve">1.2 </w:t>
        </w:r>
        <w:r w:rsidR="00181541" w:rsidRPr="00797C64">
          <w:rPr>
            <w:rStyle w:val="Hyperlink"/>
            <w:rFonts w:ascii="StobiSerif Regular" w:hAnsi="StobiSerif Regular"/>
            <w:b/>
            <w:noProof/>
          </w:rPr>
          <w:t>Развој на макроекономската ситуација</w:t>
        </w:r>
        <w:r w:rsidR="00181541">
          <w:rPr>
            <w:noProof/>
            <w:webHidden/>
          </w:rPr>
          <w:t xml:space="preserve"> </w:t>
        </w:r>
        <w:r w:rsidR="00181541">
          <w:rPr>
            <w:noProof/>
            <w:webHidden/>
          </w:rPr>
          <w:fldChar w:fldCharType="begin"/>
        </w:r>
        <w:r w:rsidR="00181541">
          <w:rPr>
            <w:noProof/>
            <w:webHidden/>
          </w:rPr>
          <w:instrText xml:space="preserve"> PAGEREF _Toc485394802 \h </w:instrText>
        </w:r>
        <w:r w:rsidR="00181541">
          <w:rPr>
            <w:noProof/>
            <w:webHidden/>
          </w:rPr>
        </w:r>
        <w:r w:rsidR="00181541">
          <w:rPr>
            <w:noProof/>
            <w:webHidden/>
          </w:rPr>
          <w:fldChar w:fldCharType="separate"/>
        </w:r>
        <w:r w:rsidR="00181541">
          <w:rPr>
            <w:noProof/>
            <w:webHidden/>
          </w:rPr>
          <w:t>10</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03" w:history="1">
        <w:r w:rsidR="00181541" w:rsidRPr="00797C64">
          <w:rPr>
            <w:rStyle w:val="Hyperlink"/>
            <w:rFonts w:ascii="StobiSerif Regular" w:hAnsi="StobiSerif Regular"/>
            <w:b/>
            <w:noProof/>
            <w:lang w:val="en-US"/>
          </w:rPr>
          <w:t xml:space="preserve">1.3 </w:t>
        </w:r>
        <w:r w:rsidR="00181541" w:rsidRPr="00797C64">
          <w:rPr>
            <w:rStyle w:val="Hyperlink"/>
            <w:rFonts w:ascii="StobiSerif Regular" w:hAnsi="StobiSerif Regular"/>
            <w:b/>
            <w:noProof/>
          </w:rPr>
          <w:t>Демографска ситуација</w:t>
        </w:r>
        <w:r w:rsidR="00181541">
          <w:rPr>
            <w:noProof/>
            <w:webHidden/>
          </w:rPr>
          <w:t xml:space="preserve"> </w:t>
        </w:r>
        <w:r w:rsidR="00181541">
          <w:rPr>
            <w:noProof/>
            <w:webHidden/>
          </w:rPr>
          <w:fldChar w:fldCharType="begin"/>
        </w:r>
        <w:r w:rsidR="00181541">
          <w:rPr>
            <w:noProof/>
            <w:webHidden/>
          </w:rPr>
          <w:instrText xml:space="preserve"> PAGEREF _Toc485394803 \h </w:instrText>
        </w:r>
        <w:r w:rsidR="00181541">
          <w:rPr>
            <w:noProof/>
            <w:webHidden/>
          </w:rPr>
        </w:r>
        <w:r w:rsidR="00181541">
          <w:rPr>
            <w:noProof/>
            <w:webHidden/>
          </w:rPr>
          <w:fldChar w:fldCharType="separate"/>
        </w:r>
        <w:r w:rsidR="00181541">
          <w:rPr>
            <w:noProof/>
            <w:webHidden/>
          </w:rPr>
          <w:t>11</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04" w:history="1">
        <w:r w:rsidR="00181541" w:rsidRPr="00797C64">
          <w:rPr>
            <w:rStyle w:val="Hyperlink"/>
            <w:rFonts w:ascii="StobiSerif Regular" w:hAnsi="StobiSerif Regular"/>
            <w:b/>
            <w:noProof/>
            <w:lang w:val="en-US"/>
          </w:rPr>
          <w:t>1.4.</w:t>
        </w:r>
        <w:r w:rsidR="00181541" w:rsidRPr="00797C64">
          <w:rPr>
            <w:rStyle w:val="Hyperlink"/>
            <w:rFonts w:ascii="StobiSerif Regular" w:hAnsi="StobiSerif Regular"/>
            <w:b/>
            <w:noProof/>
          </w:rPr>
          <w:t>Стуктура на фарми</w:t>
        </w:r>
        <w:r w:rsidR="00181541">
          <w:rPr>
            <w:noProof/>
            <w:webHidden/>
          </w:rPr>
          <w:t xml:space="preserve"> </w:t>
        </w:r>
        <w:r w:rsidR="00181541">
          <w:rPr>
            <w:noProof/>
            <w:webHidden/>
          </w:rPr>
          <w:fldChar w:fldCharType="begin"/>
        </w:r>
        <w:r w:rsidR="00181541">
          <w:rPr>
            <w:noProof/>
            <w:webHidden/>
          </w:rPr>
          <w:instrText xml:space="preserve"> PAGEREF _Toc485394804 \h </w:instrText>
        </w:r>
        <w:r w:rsidR="00181541">
          <w:rPr>
            <w:noProof/>
            <w:webHidden/>
          </w:rPr>
        </w:r>
        <w:r w:rsidR="00181541">
          <w:rPr>
            <w:noProof/>
            <w:webHidden/>
          </w:rPr>
          <w:fldChar w:fldCharType="separate"/>
        </w:r>
        <w:r w:rsidR="00181541">
          <w:rPr>
            <w:noProof/>
            <w:webHidden/>
          </w:rPr>
          <w:t>12</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05" w:history="1">
        <w:r w:rsidR="00181541" w:rsidRPr="00797C64">
          <w:rPr>
            <w:rStyle w:val="Hyperlink"/>
            <w:rFonts w:ascii="StobiSerif Regular" w:hAnsi="StobiSerif Regular"/>
            <w:noProof/>
            <w:lang w:val="en-US"/>
          </w:rPr>
          <w:t>1.</w:t>
        </w:r>
        <w:r w:rsidR="00181541" w:rsidRPr="00797C64">
          <w:rPr>
            <w:rStyle w:val="Hyperlink"/>
            <w:rFonts w:ascii="StobiSerif Regular" w:hAnsi="StobiSerif Regular"/>
            <w:b/>
            <w:noProof/>
          </w:rPr>
          <w:t>5</w:t>
        </w:r>
        <w:r w:rsidR="00181541" w:rsidRPr="00797C64">
          <w:rPr>
            <w:rStyle w:val="Hyperlink"/>
            <w:rFonts w:ascii="StobiSerif Regular" w:hAnsi="StobiSerif Regular"/>
            <w:b/>
            <w:noProof/>
            <w:lang w:val="en-US"/>
          </w:rPr>
          <w:t xml:space="preserve"> </w:t>
        </w:r>
        <w:r w:rsidR="00181541" w:rsidRPr="00797C64">
          <w:rPr>
            <w:rStyle w:val="Hyperlink"/>
            <w:rFonts w:ascii="StobiSerif Regular" w:hAnsi="StobiSerif Regular"/>
            <w:b/>
            <w:noProof/>
          </w:rPr>
          <w:t>Измени во Националната политика</w:t>
        </w:r>
        <w:r w:rsidR="00181541">
          <w:rPr>
            <w:noProof/>
            <w:webHidden/>
          </w:rPr>
          <w:t xml:space="preserve"> </w:t>
        </w:r>
        <w:r w:rsidR="00181541">
          <w:rPr>
            <w:noProof/>
            <w:webHidden/>
          </w:rPr>
          <w:fldChar w:fldCharType="begin"/>
        </w:r>
        <w:r w:rsidR="00181541">
          <w:rPr>
            <w:noProof/>
            <w:webHidden/>
          </w:rPr>
          <w:instrText xml:space="preserve"> PAGEREF _Toc485394805 \h </w:instrText>
        </w:r>
        <w:r w:rsidR="00181541">
          <w:rPr>
            <w:noProof/>
            <w:webHidden/>
          </w:rPr>
        </w:r>
        <w:r w:rsidR="00181541">
          <w:rPr>
            <w:noProof/>
            <w:webHidden/>
          </w:rPr>
          <w:fldChar w:fldCharType="separate"/>
        </w:r>
        <w:r w:rsidR="00181541">
          <w:rPr>
            <w:noProof/>
            <w:webHidden/>
          </w:rPr>
          <w:t>13</w:t>
        </w:r>
        <w:r w:rsidR="00181541">
          <w:rPr>
            <w:noProof/>
            <w:webHidden/>
          </w:rPr>
          <w:fldChar w:fldCharType="end"/>
        </w:r>
      </w:hyperlink>
    </w:p>
    <w:p w:rsidR="00181541" w:rsidRDefault="00762162">
      <w:pPr>
        <w:pStyle w:val="TOC1"/>
        <w:rPr>
          <w:rFonts w:eastAsiaTheme="minorEastAsia"/>
          <w:b w:val="0"/>
          <w:bCs w:val="0"/>
          <w:i w:val="0"/>
          <w:iCs w:val="0"/>
          <w:noProof/>
          <w:sz w:val="22"/>
          <w:szCs w:val="22"/>
          <w:lang w:eastAsia="mk-MK"/>
        </w:rPr>
      </w:pPr>
      <w:hyperlink w:anchor="_Toc485394806" w:history="1">
        <w:r w:rsidR="00181541" w:rsidRPr="00797C64">
          <w:rPr>
            <w:rStyle w:val="Hyperlink"/>
            <w:rFonts w:ascii="StobiSerif Regular" w:hAnsi="StobiSerif Regular"/>
            <w:noProof/>
            <w:lang w:val="en-US"/>
          </w:rPr>
          <w:t>2: Напредок во спроведувањето на ИПАРД Програмата</w:t>
        </w:r>
        <w:r w:rsidR="00181541">
          <w:rPr>
            <w:noProof/>
            <w:webHidden/>
          </w:rPr>
          <w:t xml:space="preserve"> </w:t>
        </w:r>
        <w:r w:rsidR="00181541">
          <w:rPr>
            <w:noProof/>
            <w:webHidden/>
          </w:rPr>
          <w:fldChar w:fldCharType="begin"/>
        </w:r>
        <w:r w:rsidR="00181541">
          <w:rPr>
            <w:noProof/>
            <w:webHidden/>
          </w:rPr>
          <w:instrText xml:space="preserve"> PAGEREF _Toc485394806 \h </w:instrText>
        </w:r>
        <w:r w:rsidR="00181541">
          <w:rPr>
            <w:noProof/>
            <w:webHidden/>
          </w:rPr>
        </w:r>
        <w:r w:rsidR="00181541">
          <w:rPr>
            <w:noProof/>
            <w:webHidden/>
          </w:rPr>
          <w:fldChar w:fldCharType="separate"/>
        </w:r>
        <w:r w:rsidR="00181541">
          <w:rPr>
            <w:noProof/>
            <w:webHidden/>
          </w:rPr>
          <w:t>15</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07" w:history="1">
        <w:r w:rsidR="00181541" w:rsidRPr="00797C64">
          <w:rPr>
            <w:rStyle w:val="Hyperlink"/>
            <w:rFonts w:ascii="StobiSerif Regular" w:hAnsi="StobiSerif Regular"/>
            <w:b/>
            <w:noProof/>
            <w:lang w:val="en-US"/>
          </w:rPr>
          <w:t>2.1 Резиме на стратешка рамка на ИПАРД Програмата 2007-2013</w:t>
        </w:r>
        <w:r w:rsidR="00181541">
          <w:rPr>
            <w:noProof/>
            <w:webHidden/>
          </w:rPr>
          <w:t xml:space="preserve"> </w:t>
        </w:r>
        <w:r w:rsidR="00181541">
          <w:rPr>
            <w:noProof/>
            <w:webHidden/>
          </w:rPr>
          <w:fldChar w:fldCharType="begin"/>
        </w:r>
        <w:r w:rsidR="00181541">
          <w:rPr>
            <w:noProof/>
            <w:webHidden/>
          </w:rPr>
          <w:instrText xml:space="preserve"> PAGEREF _Toc485394807 \h </w:instrText>
        </w:r>
        <w:r w:rsidR="00181541">
          <w:rPr>
            <w:noProof/>
            <w:webHidden/>
          </w:rPr>
        </w:r>
        <w:r w:rsidR="00181541">
          <w:rPr>
            <w:noProof/>
            <w:webHidden/>
          </w:rPr>
          <w:fldChar w:fldCharType="separate"/>
        </w:r>
        <w:r w:rsidR="00181541">
          <w:rPr>
            <w:noProof/>
            <w:webHidden/>
          </w:rPr>
          <w:t>15</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08" w:history="1">
        <w:r w:rsidR="00181541" w:rsidRPr="00797C64">
          <w:rPr>
            <w:rStyle w:val="Hyperlink"/>
            <w:rFonts w:ascii="StobiSerif Regular" w:hAnsi="StobiSerif Regular"/>
            <w:b/>
            <w:noProof/>
            <w:lang w:val="en-US"/>
          </w:rPr>
          <w:t xml:space="preserve">2.2 </w:t>
        </w:r>
        <w:r w:rsidR="00181541" w:rsidRPr="00797C64">
          <w:rPr>
            <w:rStyle w:val="Hyperlink"/>
            <w:rFonts w:ascii="StobiSerif Regular" w:hAnsi="StobiSerif Regular"/>
            <w:b/>
            <w:noProof/>
          </w:rPr>
          <w:t>Реализиција на програмата во</w:t>
        </w:r>
        <w:r w:rsidR="00181541" w:rsidRPr="00797C64">
          <w:rPr>
            <w:rStyle w:val="Hyperlink"/>
            <w:rFonts w:ascii="StobiSerif Regular" w:hAnsi="StobiSerif Regular"/>
            <w:b/>
            <w:noProof/>
            <w:lang w:val="en-US"/>
          </w:rPr>
          <w:t xml:space="preserve"> 201</w:t>
        </w:r>
        <w:r w:rsidR="00181541" w:rsidRPr="00797C64">
          <w:rPr>
            <w:rStyle w:val="Hyperlink"/>
            <w:rFonts w:ascii="StobiSerif Regular" w:hAnsi="StobiSerif Regular"/>
            <w:b/>
            <w:noProof/>
          </w:rPr>
          <w:t>6 година</w:t>
        </w:r>
        <w:r w:rsidR="00181541">
          <w:rPr>
            <w:noProof/>
            <w:webHidden/>
          </w:rPr>
          <w:t xml:space="preserve"> </w:t>
        </w:r>
        <w:r w:rsidR="00181541">
          <w:rPr>
            <w:noProof/>
            <w:webHidden/>
          </w:rPr>
          <w:fldChar w:fldCharType="begin"/>
        </w:r>
        <w:r w:rsidR="00181541">
          <w:rPr>
            <w:noProof/>
            <w:webHidden/>
          </w:rPr>
          <w:instrText xml:space="preserve"> PAGEREF _Toc485394808 \h </w:instrText>
        </w:r>
        <w:r w:rsidR="00181541">
          <w:rPr>
            <w:noProof/>
            <w:webHidden/>
          </w:rPr>
        </w:r>
        <w:r w:rsidR="00181541">
          <w:rPr>
            <w:noProof/>
            <w:webHidden/>
          </w:rPr>
          <w:fldChar w:fldCharType="separate"/>
        </w:r>
        <w:r w:rsidR="00181541">
          <w:rPr>
            <w:noProof/>
            <w:webHidden/>
          </w:rPr>
          <w:t>19</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09" w:history="1">
        <w:r w:rsidR="00181541" w:rsidRPr="00797C64">
          <w:rPr>
            <w:rStyle w:val="Hyperlink"/>
            <w:rFonts w:ascii="StobiSerif Regular" w:hAnsi="StobiSerif Regular"/>
            <w:b/>
            <w:noProof/>
            <w:lang w:val="en-US"/>
          </w:rPr>
          <w:t xml:space="preserve">2.3 </w:t>
        </w:r>
        <w:r w:rsidR="00181541" w:rsidRPr="00797C64">
          <w:rPr>
            <w:rStyle w:val="Hyperlink"/>
            <w:rFonts w:ascii="StobiSerif Regular" w:hAnsi="StobiSerif Regular"/>
            <w:b/>
            <w:noProof/>
          </w:rPr>
          <w:t>Квалитативна анализа на постигнатиот напредок по приоритетни оски и мерки</w:t>
        </w:r>
        <w:r w:rsidR="00181541">
          <w:rPr>
            <w:noProof/>
            <w:webHidden/>
          </w:rPr>
          <w:t xml:space="preserve"> </w:t>
        </w:r>
        <w:r w:rsidR="00181541">
          <w:rPr>
            <w:noProof/>
            <w:webHidden/>
          </w:rPr>
          <w:fldChar w:fldCharType="begin"/>
        </w:r>
        <w:r w:rsidR="00181541">
          <w:rPr>
            <w:noProof/>
            <w:webHidden/>
          </w:rPr>
          <w:instrText xml:space="preserve"> PAGEREF _Toc485394809 \h </w:instrText>
        </w:r>
        <w:r w:rsidR="00181541">
          <w:rPr>
            <w:noProof/>
            <w:webHidden/>
          </w:rPr>
        </w:r>
        <w:r w:rsidR="00181541">
          <w:rPr>
            <w:noProof/>
            <w:webHidden/>
          </w:rPr>
          <w:fldChar w:fldCharType="separate"/>
        </w:r>
        <w:r w:rsidR="00181541">
          <w:rPr>
            <w:noProof/>
            <w:webHidden/>
          </w:rPr>
          <w:t>21</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10" w:history="1">
        <w:r w:rsidR="00181541" w:rsidRPr="00797C64">
          <w:rPr>
            <w:rStyle w:val="Hyperlink"/>
            <w:rFonts w:ascii="StobiSerif Regular" w:hAnsi="StobiSerif Regular"/>
            <w:b/>
            <w:noProof/>
          </w:rPr>
          <w:t>2.3.1. МЕРКА</w:t>
        </w:r>
        <w:r w:rsidR="00181541" w:rsidRPr="00797C64">
          <w:rPr>
            <w:rStyle w:val="Hyperlink"/>
            <w:rFonts w:ascii="StobiSerif Regular" w:hAnsi="StobiSerif Regular"/>
            <w:b/>
            <w:noProof/>
            <w:lang w:val="en-GB"/>
          </w:rPr>
          <w:t xml:space="preserve"> 101 – </w:t>
        </w:r>
        <w:r w:rsidR="00181541" w:rsidRPr="00797C64">
          <w:rPr>
            <w:rStyle w:val="Hyperlink"/>
            <w:rFonts w:ascii="StobiSerif Regular" w:hAnsi="StobiSerif Regular"/>
            <w:b/>
            <w:noProof/>
          </w:rPr>
          <w:t>Инвстиции во земјоделски стопанства</w:t>
        </w:r>
        <w:r w:rsidR="00181541">
          <w:rPr>
            <w:noProof/>
            <w:webHidden/>
          </w:rPr>
          <w:t xml:space="preserve"> </w:t>
        </w:r>
        <w:r w:rsidR="00181541">
          <w:rPr>
            <w:noProof/>
            <w:webHidden/>
          </w:rPr>
          <w:fldChar w:fldCharType="begin"/>
        </w:r>
        <w:r w:rsidR="00181541">
          <w:rPr>
            <w:noProof/>
            <w:webHidden/>
          </w:rPr>
          <w:instrText xml:space="preserve"> PAGEREF _Toc485394810 \h </w:instrText>
        </w:r>
        <w:r w:rsidR="00181541">
          <w:rPr>
            <w:noProof/>
            <w:webHidden/>
          </w:rPr>
        </w:r>
        <w:r w:rsidR="00181541">
          <w:rPr>
            <w:noProof/>
            <w:webHidden/>
          </w:rPr>
          <w:fldChar w:fldCharType="separate"/>
        </w:r>
        <w:r w:rsidR="00181541">
          <w:rPr>
            <w:noProof/>
            <w:webHidden/>
          </w:rPr>
          <w:t>21</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11" w:history="1">
        <w:r w:rsidR="00181541" w:rsidRPr="00797C64">
          <w:rPr>
            <w:rStyle w:val="Hyperlink"/>
            <w:rFonts w:ascii="StobiSerif Regular" w:hAnsi="StobiSerif Regular"/>
            <w:b/>
            <w:noProof/>
            <w:lang w:val="en-GB"/>
          </w:rPr>
          <w:t xml:space="preserve">2.3.2 </w:t>
        </w:r>
        <w:r w:rsidR="00181541" w:rsidRPr="00797C64">
          <w:rPr>
            <w:rStyle w:val="Hyperlink"/>
            <w:rFonts w:ascii="StobiSerif Regular" w:hAnsi="StobiSerif Regular"/>
            <w:b/>
            <w:noProof/>
          </w:rPr>
          <w:t>МЕРКА</w:t>
        </w:r>
        <w:r w:rsidR="00181541" w:rsidRPr="00797C64">
          <w:rPr>
            <w:rStyle w:val="Hyperlink"/>
            <w:rFonts w:ascii="StobiSerif Regular" w:hAnsi="StobiSerif Regular"/>
            <w:b/>
            <w:noProof/>
            <w:lang w:val="en-GB"/>
          </w:rPr>
          <w:t xml:space="preserve"> 103 – </w:t>
        </w:r>
        <w:r w:rsidR="00181541" w:rsidRPr="00797C64">
          <w:rPr>
            <w:rStyle w:val="Hyperlink"/>
            <w:rFonts w:ascii="StobiSerif Regular" w:hAnsi="StobiSerif Regular"/>
            <w:b/>
            <w:noProof/>
          </w:rPr>
          <w:t>Инвестиции во преработка и маркетинг</w:t>
        </w:r>
        <w:r w:rsidR="00181541">
          <w:rPr>
            <w:noProof/>
            <w:webHidden/>
          </w:rPr>
          <w:t xml:space="preserve"> </w:t>
        </w:r>
        <w:r w:rsidR="00181541">
          <w:rPr>
            <w:noProof/>
            <w:webHidden/>
          </w:rPr>
          <w:fldChar w:fldCharType="begin"/>
        </w:r>
        <w:r w:rsidR="00181541">
          <w:rPr>
            <w:noProof/>
            <w:webHidden/>
          </w:rPr>
          <w:instrText xml:space="preserve"> PAGEREF _Toc485394811 \h </w:instrText>
        </w:r>
        <w:r w:rsidR="00181541">
          <w:rPr>
            <w:noProof/>
            <w:webHidden/>
          </w:rPr>
        </w:r>
        <w:r w:rsidR="00181541">
          <w:rPr>
            <w:noProof/>
            <w:webHidden/>
          </w:rPr>
          <w:fldChar w:fldCharType="separate"/>
        </w:r>
        <w:r w:rsidR="00181541">
          <w:rPr>
            <w:noProof/>
            <w:webHidden/>
          </w:rPr>
          <w:t>26</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12" w:history="1">
        <w:r w:rsidR="00181541" w:rsidRPr="00797C64">
          <w:rPr>
            <w:rStyle w:val="Hyperlink"/>
            <w:rFonts w:ascii="StobiSerif Regular" w:hAnsi="StobiSerif Regular"/>
            <w:b/>
            <w:noProof/>
            <w:lang w:val="en-GB"/>
          </w:rPr>
          <w:t xml:space="preserve">2.3.3 </w:t>
        </w:r>
        <w:r w:rsidR="00181541" w:rsidRPr="00797C64">
          <w:rPr>
            <w:rStyle w:val="Hyperlink"/>
            <w:rFonts w:ascii="StobiSerif Regular" w:hAnsi="StobiSerif Regular"/>
            <w:b/>
            <w:noProof/>
          </w:rPr>
          <w:t xml:space="preserve">МЕРКА </w:t>
        </w:r>
        <w:r w:rsidR="00181541" w:rsidRPr="00797C64">
          <w:rPr>
            <w:rStyle w:val="Hyperlink"/>
            <w:rFonts w:ascii="StobiSerif Regular" w:hAnsi="StobiSerif Regular"/>
            <w:b/>
            <w:noProof/>
            <w:lang w:val="en-GB"/>
          </w:rPr>
          <w:t xml:space="preserve">302 – </w:t>
        </w:r>
        <w:r w:rsidR="00181541" w:rsidRPr="00797C64">
          <w:rPr>
            <w:rStyle w:val="Hyperlink"/>
            <w:rFonts w:ascii="StobiSerif Regular" w:hAnsi="StobiSerif Regular"/>
            <w:b/>
            <w:noProof/>
          </w:rPr>
          <w:t>Диверзификација на рурална економија</w:t>
        </w:r>
        <w:r w:rsidR="00181541">
          <w:rPr>
            <w:noProof/>
            <w:webHidden/>
          </w:rPr>
          <w:t xml:space="preserve"> </w:t>
        </w:r>
        <w:r w:rsidR="00181541">
          <w:rPr>
            <w:noProof/>
            <w:webHidden/>
          </w:rPr>
          <w:fldChar w:fldCharType="begin"/>
        </w:r>
        <w:r w:rsidR="00181541">
          <w:rPr>
            <w:noProof/>
            <w:webHidden/>
          </w:rPr>
          <w:instrText xml:space="preserve"> PAGEREF _Toc485394812 \h </w:instrText>
        </w:r>
        <w:r w:rsidR="00181541">
          <w:rPr>
            <w:noProof/>
            <w:webHidden/>
          </w:rPr>
        </w:r>
        <w:r w:rsidR="00181541">
          <w:rPr>
            <w:noProof/>
            <w:webHidden/>
          </w:rPr>
          <w:fldChar w:fldCharType="separate"/>
        </w:r>
        <w:r w:rsidR="00181541">
          <w:rPr>
            <w:noProof/>
            <w:webHidden/>
          </w:rPr>
          <w:t>30</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13" w:history="1">
        <w:r w:rsidR="00181541" w:rsidRPr="00797C64">
          <w:rPr>
            <w:rStyle w:val="Hyperlink"/>
            <w:rFonts w:ascii="StobiSerif Regular" w:hAnsi="StobiSerif Regular"/>
            <w:b/>
            <w:noProof/>
          </w:rPr>
          <w:t>2.4. Финансиски трошоци по мерки</w:t>
        </w:r>
        <w:r w:rsidR="00181541">
          <w:rPr>
            <w:noProof/>
            <w:webHidden/>
          </w:rPr>
          <w:t xml:space="preserve"> </w:t>
        </w:r>
        <w:r w:rsidR="00181541">
          <w:rPr>
            <w:noProof/>
            <w:webHidden/>
          </w:rPr>
          <w:fldChar w:fldCharType="begin"/>
        </w:r>
        <w:r w:rsidR="00181541">
          <w:rPr>
            <w:noProof/>
            <w:webHidden/>
          </w:rPr>
          <w:instrText xml:space="preserve"> PAGEREF _Toc485394813 \h </w:instrText>
        </w:r>
        <w:r w:rsidR="00181541">
          <w:rPr>
            <w:noProof/>
            <w:webHidden/>
          </w:rPr>
        </w:r>
        <w:r w:rsidR="00181541">
          <w:rPr>
            <w:noProof/>
            <w:webHidden/>
          </w:rPr>
          <w:fldChar w:fldCharType="separate"/>
        </w:r>
        <w:r w:rsidR="00181541">
          <w:rPr>
            <w:noProof/>
            <w:webHidden/>
          </w:rPr>
          <w:t>34</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14" w:history="1">
        <w:r w:rsidR="00181541" w:rsidRPr="00797C64">
          <w:rPr>
            <w:rStyle w:val="Hyperlink"/>
            <w:rFonts w:ascii="StobiSerif Regular" w:eastAsia="TimesNewRomanPS-BoldItalicMT" w:hAnsi="StobiSerif Regular" w:cs="StobiSerif Regular"/>
            <w:b/>
            <w:noProof/>
            <w:lang w:val="en-US"/>
          </w:rPr>
          <w:t>2.</w:t>
        </w:r>
        <w:r w:rsidR="00181541" w:rsidRPr="00797C64">
          <w:rPr>
            <w:rStyle w:val="Hyperlink"/>
            <w:rFonts w:ascii="StobiSerif Regular" w:eastAsia="TimesNewRomanPS-BoldItalicMT" w:hAnsi="StobiSerif Regular" w:cs="StobiSerif Regular"/>
            <w:b/>
            <w:noProof/>
          </w:rPr>
          <w:t>5</w:t>
        </w:r>
        <w:r w:rsidR="00181541" w:rsidRPr="00797C64">
          <w:rPr>
            <w:rStyle w:val="Hyperlink"/>
            <w:rFonts w:ascii="StobiSerif Regular" w:eastAsia="TimesNewRomanPS-BoldItalicMT" w:hAnsi="StobiSerif Regular" w:cs="StobiSerif Regular"/>
            <w:b/>
            <w:noProof/>
            <w:lang w:val="en-US"/>
          </w:rPr>
          <w:t xml:space="preserve"> </w:t>
        </w:r>
        <w:r w:rsidR="00181541" w:rsidRPr="00797C64">
          <w:rPr>
            <w:rStyle w:val="Hyperlink"/>
            <w:rFonts w:ascii="StobiSerif Regular" w:eastAsia="TimesNewRomanPS-BoldItalicMT" w:hAnsi="StobiSerif Regular" w:cs="StobiSerif Regular"/>
            <w:b/>
            <w:noProof/>
          </w:rPr>
          <w:t>Географска анализа</w:t>
        </w:r>
        <w:r w:rsidR="00181541">
          <w:rPr>
            <w:noProof/>
            <w:webHidden/>
          </w:rPr>
          <w:t xml:space="preserve"> </w:t>
        </w:r>
        <w:r w:rsidR="00181541">
          <w:rPr>
            <w:noProof/>
            <w:webHidden/>
          </w:rPr>
          <w:fldChar w:fldCharType="begin"/>
        </w:r>
        <w:r w:rsidR="00181541">
          <w:rPr>
            <w:noProof/>
            <w:webHidden/>
          </w:rPr>
          <w:instrText xml:space="preserve"> PAGEREF _Toc485394814 \h </w:instrText>
        </w:r>
        <w:r w:rsidR="00181541">
          <w:rPr>
            <w:noProof/>
            <w:webHidden/>
          </w:rPr>
        </w:r>
        <w:r w:rsidR="00181541">
          <w:rPr>
            <w:noProof/>
            <w:webHidden/>
          </w:rPr>
          <w:fldChar w:fldCharType="separate"/>
        </w:r>
        <w:r w:rsidR="00181541">
          <w:rPr>
            <w:noProof/>
            <w:webHidden/>
          </w:rPr>
          <w:t>36</w:t>
        </w:r>
        <w:r w:rsidR="00181541">
          <w:rPr>
            <w:noProof/>
            <w:webHidden/>
          </w:rPr>
          <w:fldChar w:fldCharType="end"/>
        </w:r>
      </w:hyperlink>
    </w:p>
    <w:p w:rsidR="00181541" w:rsidRDefault="00762162">
      <w:pPr>
        <w:pStyle w:val="TOC1"/>
        <w:rPr>
          <w:rFonts w:eastAsiaTheme="minorEastAsia"/>
          <w:b w:val="0"/>
          <w:bCs w:val="0"/>
          <w:i w:val="0"/>
          <w:iCs w:val="0"/>
          <w:noProof/>
          <w:sz w:val="22"/>
          <w:szCs w:val="22"/>
          <w:lang w:eastAsia="mk-MK"/>
        </w:rPr>
      </w:pPr>
      <w:hyperlink w:anchor="_Toc485394815" w:history="1">
        <w:r w:rsidR="00181541" w:rsidRPr="00797C64">
          <w:rPr>
            <w:rStyle w:val="Hyperlink"/>
            <w:rFonts w:ascii="StobiSerif Regular" w:hAnsi="StobiSerif Regular"/>
            <w:noProof/>
          </w:rPr>
          <w:t>3.</w:t>
        </w:r>
        <w:r w:rsidR="00181541" w:rsidRPr="00797C64">
          <w:rPr>
            <w:rStyle w:val="Hyperlink"/>
            <w:rFonts w:ascii="StobiSerif Regular" w:hAnsi="StobiSerif Regular"/>
            <w:noProof/>
            <w:lang w:val="en-US"/>
          </w:rPr>
          <w:t xml:space="preserve"> </w:t>
        </w:r>
        <w:r w:rsidR="00181541" w:rsidRPr="00797C64">
          <w:rPr>
            <w:rStyle w:val="Hyperlink"/>
            <w:rFonts w:ascii="StobiSerif Regular" w:hAnsi="StobiSerif Regular"/>
            <w:noProof/>
          </w:rPr>
          <w:t>Aктивности за гаранација на квалитет и спроведување</w:t>
        </w:r>
        <w:r w:rsidR="00181541">
          <w:rPr>
            <w:noProof/>
            <w:webHidden/>
          </w:rPr>
          <w:t xml:space="preserve"> </w:t>
        </w:r>
        <w:r w:rsidR="00181541">
          <w:rPr>
            <w:noProof/>
            <w:webHidden/>
          </w:rPr>
          <w:fldChar w:fldCharType="begin"/>
        </w:r>
        <w:r w:rsidR="00181541">
          <w:rPr>
            <w:noProof/>
            <w:webHidden/>
          </w:rPr>
          <w:instrText xml:space="preserve"> PAGEREF _Toc485394815 \h </w:instrText>
        </w:r>
        <w:r w:rsidR="00181541">
          <w:rPr>
            <w:noProof/>
            <w:webHidden/>
          </w:rPr>
        </w:r>
        <w:r w:rsidR="00181541">
          <w:rPr>
            <w:noProof/>
            <w:webHidden/>
          </w:rPr>
          <w:fldChar w:fldCharType="separate"/>
        </w:r>
        <w:r w:rsidR="00181541">
          <w:rPr>
            <w:noProof/>
            <w:webHidden/>
          </w:rPr>
          <w:t>38</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16" w:history="1">
        <w:r w:rsidR="00181541" w:rsidRPr="00797C64">
          <w:rPr>
            <w:rStyle w:val="Hyperlink"/>
            <w:rFonts w:ascii="StobiSerif Regular" w:eastAsia="Times New Roman" w:hAnsi="StobiSerif Regular" w:cs="Times New Roman"/>
            <w:b/>
            <w:bCs/>
            <w:noProof/>
            <w:lang w:val="en-US" w:eastAsia="mk-MK"/>
          </w:rPr>
          <w:t xml:space="preserve">3.1 </w:t>
        </w:r>
        <w:r w:rsidR="00181541" w:rsidRPr="00797C64">
          <w:rPr>
            <w:rStyle w:val="Hyperlink"/>
            <w:rFonts w:ascii="StobiSerif Regular" w:eastAsia="Times New Roman" w:hAnsi="StobiSerif Regular" w:cs="Times New Roman"/>
            <w:b/>
            <w:bCs/>
            <w:noProof/>
            <w:lang w:eastAsia="mk-MK"/>
          </w:rPr>
          <w:t>Мониторинг,програмирање и евалуација</w:t>
        </w:r>
        <w:r w:rsidR="00181541">
          <w:rPr>
            <w:noProof/>
            <w:webHidden/>
          </w:rPr>
          <w:t xml:space="preserve"> </w:t>
        </w:r>
        <w:r w:rsidR="00181541">
          <w:rPr>
            <w:noProof/>
            <w:webHidden/>
          </w:rPr>
          <w:fldChar w:fldCharType="begin"/>
        </w:r>
        <w:r w:rsidR="00181541">
          <w:rPr>
            <w:noProof/>
            <w:webHidden/>
          </w:rPr>
          <w:instrText xml:space="preserve"> PAGEREF _Toc485394816 \h </w:instrText>
        </w:r>
        <w:r w:rsidR="00181541">
          <w:rPr>
            <w:noProof/>
            <w:webHidden/>
          </w:rPr>
        </w:r>
        <w:r w:rsidR="00181541">
          <w:rPr>
            <w:noProof/>
            <w:webHidden/>
          </w:rPr>
          <w:fldChar w:fldCharType="separate"/>
        </w:r>
        <w:r w:rsidR="00181541">
          <w:rPr>
            <w:noProof/>
            <w:webHidden/>
          </w:rPr>
          <w:t>38</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17" w:history="1">
        <w:r w:rsidR="00181541" w:rsidRPr="00797C64">
          <w:rPr>
            <w:rStyle w:val="Hyperlink"/>
            <w:rFonts w:ascii="StobiSerif Regular" w:eastAsia="Times New Roman" w:hAnsi="StobiSerif Regular" w:cs="Times New Roman"/>
            <w:b/>
            <w:noProof/>
            <w:lang w:val="en-US" w:eastAsia="zh-CN"/>
          </w:rPr>
          <w:t xml:space="preserve">3.1.1 </w:t>
        </w:r>
        <w:r w:rsidR="00181541" w:rsidRPr="00797C64">
          <w:rPr>
            <w:rStyle w:val="Hyperlink"/>
            <w:rFonts w:ascii="StobiSerif Regular" w:eastAsia="Times New Roman" w:hAnsi="StobiSerif Regular" w:cs="Times New Roman"/>
            <w:b/>
            <w:noProof/>
            <w:lang w:eastAsia="zh-CN"/>
          </w:rPr>
          <w:t>Активности во системот за следење</w:t>
        </w:r>
        <w:r w:rsidR="00181541">
          <w:rPr>
            <w:noProof/>
            <w:webHidden/>
          </w:rPr>
          <w:t xml:space="preserve"> </w:t>
        </w:r>
        <w:r w:rsidR="00181541">
          <w:rPr>
            <w:noProof/>
            <w:webHidden/>
          </w:rPr>
          <w:fldChar w:fldCharType="begin"/>
        </w:r>
        <w:r w:rsidR="00181541">
          <w:rPr>
            <w:noProof/>
            <w:webHidden/>
          </w:rPr>
          <w:instrText xml:space="preserve"> PAGEREF _Toc485394817 \h </w:instrText>
        </w:r>
        <w:r w:rsidR="00181541">
          <w:rPr>
            <w:noProof/>
            <w:webHidden/>
          </w:rPr>
        </w:r>
        <w:r w:rsidR="00181541">
          <w:rPr>
            <w:noProof/>
            <w:webHidden/>
          </w:rPr>
          <w:fldChar w:fldCharType="separate"/>
        </w:r>
        <w:r w:rsidR="00181541">
          <w:rPr>
            <w:noProof/>
            <w:webHidden/>
          </w:rPr>
          <w:t>38</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18" w:history="1">
        <w:r w:rsidR="00181541" w:rsidRPr="00797C64">
          <w:rPr>
            <w:rStyle w:val="Hyperlink"/>
            <w:rFonts w:ascii="StobiSerif Regular" w:eastAsia="Times New Roman" w:hAnsi="StobiSerif Regular" w:cs="Times New Roman"/>
            <w:b/>
            <w:noProof/>
            <w:lang w:val="en-US" w:eastAsia="zh-CN"/>
          </w:rPr>
          <w:t xml:space="preserve">3.1.2 </w:t>
        </w:r>
        <w:r w:rsidR="00181541" w:rsidRPr="00797C64">
          <w:rPr>
            <w:rStyle w:val="Hyperlink"/>
            <w:rFonts w:ascii="StobiSerif Regular" w:eastAsia="Times New Roman" w:hAnsi="StobiSerif Regular" w:cs="Times New Roman"/>
            <w:b/>
            <w:noProof/>
            <w:lang w:eastAsia="zh-CN"/>
          </w:rPr>
          <w:t>Програмски измени</w:t>
        </w:r>
        <w:r w:rsidR="00181541">
          <w:rPr>
            <w:noProof/>
            <w:webHidden/>
          </w:rPr>
          <w:t xml:space="preserve"> </w:t>
        </w:r>
        <w:r w:rsidR="00181541">
          <w:rPr>
            <w:noProof/>
            <w:webHidden/>
          </w:rPr>
          <w:fldChar w:fldCharType="begin"/>
        </w:r>
        <w:r w:rsidR="00181541">
          <w:rPr>
            <w:noProof/>
            <w:webHidden/>
          </w:rPr>
          <w:instrText xml:space="preserve"> PAGEREF _Toc485394818 \h </w:instrText>
        </w:r>
        <w:r w:rsidR="00181541">
          <w:rPr>
            <w:noProof/>
            <w:webHidden/>
          </w:rPr>
        </w:r>
        <w:r w:rsidR="00181541">
          <w:rPr>
            <w:noProof/>
            <w:webHidden/>
          </w:rPr>
          <w:fldChar w:fldCharType="separate"/>
        </w:r>
        <w:r w:rsidR="00181541">
          <w:rPr>
            <w:noProof/>
            <w:webHidden/>
          </w:rPr>
          <w:t>38</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19" w:history="1">
        <w:r w:rsidR="00181541" w:rsidRPr="00797C64">
          <w:rPr>
            <w:rStyle w:val="Hyperlink"/>
            <w:rFonts w:ascii="StobiSerif Regular" w:hAnsi="StobiSerif Regular"/>
            <w:b/>
            <w:noProof/>
            <w:lang w:val="en-US"/>
          </w:rPr>
          <w:t xml:space="preserve">3.1.3 </w:t>
        </w:r>
        <w:r w:rsidR="00181541" w:rsidRPr="00797C64">
          <w:rPr>
            <w:rStyle w:val="Hyperlink"/>
            <w:rFonts w:ascii="StobiSerif Regular" w:hAnsi="StobiSerif Regular"/>
            <w:b/>
            <w:noProof/>
          </w:rPr>
          <w:t>Активности за евалуација</w:t>
        </w:r>
        <w:r w:rsidR="00181541" w:rsidRPr="00797C64">
          <w:rPr>
            <w:rStyle w:val="Hyperlink"/>
            <w:rFonts w:ascii="StobiSerif Regular" w:hAnsi="StobiSerif Regular"/>
            <w:b/>
            <w:noProof/>
            <w:lang w:val="en-US"/>
          </w:rPr>
          <w:t xml:space="preserve"> </w:t>
        </w:r>
        <w:r w:rsidR="00181541" w:rsidRPr="00797C64">
          <w:rPr>
            <w:rStyle w:val="Hyperlink"/>
            <w:rFonts w:ascii="StobiSerif Regular" w:hAnsi="StobiSerif Regular"/>
            <w:b/>
            <w:noProof/>
          </w:rPr>
          <w:t>( проценка)</w:t>
        </w:r>
        <w:r w:rsidR="00181541">
          <w:rPr>
            <w:noProof/>
            <w:webHidden/>
          </w:rPr>
          <w:t xml:space="preserve"> </w:t>
        </w:r>
        <w:r w:rsidR="00181541">
          <w:rPr>
            <w:noProof/>
            <w:webHidden/>
          </w:rPr>
          <w:fldChar w:fldCharType="begin"/>
        </w:r>
        <w:r w:rsidR="00181541">
          <w:rPr>
            <w:noProof/>
            <w:webHidden/>
          </w:rPr>
          <w:instrText xml:space="preserve"> PAGEREF _Toc485394819 \h </w:instrText>
        </w:r>
        <w:r w:rsidR="00181541">
          <w:rPr>
            <w:noProof/>
            <w:webHidden/>
          </w:rPr>
        </w:r>
        <w:r w:rsidR="00181541">
          <w:rPr>
            <w:noProof/>
            <w:webHidden/>
          </w:rPr>
          <w:fldChar w:fldCharType="separate"/>
        </w:r>
        <w:r w:rsidR="00181541">
          <w:rPr>
            <w:noProof/>
            <w:webHidden/>
          </w:rPr>
          <w:t>39</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20" w:history="1">
        <w:r w:rsidR="00181541" w:rsidRPr="00797C64">
          <w:rPr>
            <w:rStyle w:val="Hyperlink"/>
            <w:rFonts w:ascii="StobiSerif Regular" w:hAnsi="StobiSerif Regular"/>
            <w:b/>
            <w:noProof/>
            <w:lang w:val="en-US"/>
          </w:rPr>
          <w:t xml:space="preserve">3.1.4 </w:t>
        </w:r>
        <w:r w:rsidR="00181541" w:rsidRPr="00797C64">
          <w:rPr>
            <w:rStyle w:val="Hyperlink"/>
            <w:rFonts w:ascii="StobiSerif Regular" w:hAnsi="StobiSerif Regular"/>
            <w:b/>
            <w:noProof/>
          </w:rPr>
          <w:t>Спроведување на мерката Техничка помош</w:t>
        </w:r>
        <w:r w:rsidR="00181541">
          <w:rPr>
            <w:noProof/>
            <w:webHidden/>
          </w:rPr>
          <w:t xml:space="preserve"> </w:t>
        </w:r>
        <w:r w:rsidR="00181541">
          <w:rPr>
            <w:noProof/>
            <w:webHidden/>
          </w:rPr>
          <w:fldChar w:fldCharType="begin"/>
        </w:r>
        <w:r w:rsidR="00181541">
          <w:rPr>
            <w:noProof/>
            <w:webHidden/>
          </w:rPr>
          <w:instrText xml:space="preserve"> PAGEREF _Toc485394820 \h </w:instrText>
        </w:r>
        <w:r w:rsidR="00181541">
          <w:rPr>
            <w:noProof/>
            <w:webHidden/>
          </w:rPr>
        </w:r>
        <w:r w:rsidR="00181541">
          <w:rPr>
            <w:noProof/>
            <w:webHidden/>
          </w:rPr>
          <w:fldChar w:fldCharType="separate"/>
        </w:r>
        <w:r w:rsidR="00181541">
          <w:rPr>
            <w:noProof/>
            <w:webHidden/>
          </w:rPr>
          <w:t>40</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21" w:history="1">
        <w:r w:rsidR="00181541" w:rsidRPr="00797C64">
          <w:rPr>
            <w:rStyle w:val="Hyperlink"/>
            <w:rFonts w:ascii="StobiSerif Regular" w:hAnsi="StobiSerif Regular"/>
            <w:b/>
            <w:noProof/>
            <w:lang w:val="en-US"/>
          </w:rPr>
          <w:t xml:space="preserve">3.1.5  </w:t>
        </w:r>
        <w:r w:rsidR="00181541" w:rsidRPr="00797C64">
          <w:rPr>
            <w:rStyle w:val="Hyperlink"/>
            <w:rFonts w:ascii="StobiSerif Regular" w:hAnsi="StobiSerif Regular"/>
            <w:b/>
            <w:noProof/>
          </w:rPr>
          <w:t>ИПАРД Програма 2014- 2020</w:t>
        </w:r>
        <w:r w:rsidR="00181541">
          <w:rPr>
            <w:noProof/>
            <w:webHidden/>
          </w:rPr>
          <w:t xml:space="preserve"> </w:t>
        </w:r>
        <w:r w:rsidR="00181541">
          <w:rPr>
            <w:noProof/>
            <w:webHidden/>
          </w:rPr>
          <w:fldChar w:fldCharType="begin"/>
        </w:r>
        <w:r w:rsidR="00181541">
          <w:rPr>
            <w:noProof/>
            <w:webHidden/>
          </w:rPr>
          <w:instrText xml:space="preserve"> PAGEREF _Toc485394821 \h </w:instrText>
        </w:r>
        <w:r w:rsidR="00181541">
          <w:rPr>
            <w:noProof/>
            <w:webHidden/>
          </w:rPr>
        </w:r>
        <w:r w:rsidR="00181541">
          <w:rPr>
            <w:noProof/>
            <w:webHidden/>
          </w:rPr>
          <w:fldChar w:fldCharType="separate"/>
        </w:r>
        <w:r w:rsidR="00181541">
          <w:rPr>
            <w:noProof/>
            <w:webHidden/>
          </w:rPr>
          <w:t>40</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22" w:history="1">
        <w:r w:rsidR="00181541" w:rsidRPr="00797C64">
          <w:rPr>
            <w:rStyle w:val="Hyperlink"/>
            <w:rFonts w:ascii="StobiSerif Regular" w:eastAsia="Times New Roman" w:hAnsi="StobiSerif Regular" w:cs="Times New Roman"/>
            <w:b/>
            <w:bCs/>
            <w:noProof/>
            <w:lang w:val="en-US" w:eastAsia="mk-MK"/>
          </w:rPr>
          <w:t>3.2</w:t>
        </w:r>
        <w:r w:rsidR="00181541" w:rsidRPr="00797C64">
          <w:rPr>
            <w:rStyle w:val="Hyperlink"/>
            <w:rFonts w:ascii="StobiSerif Regular" w:hAnsi="StobiSerif Regular"/>
            <w:b/>
            <w:bCs/>
            <w:noProof/>
            <w:lang w:val="en-US" w:eastAsia="mk-MK"/>
          </w:rPr>
          <w:t xml:space="preserve"> </w:t>
        </w:r>
        <w:r w:rsidR="00181541" w:rsidRPr="00797C64">
          <w:rPr>
            <w:rStyle w:val="Hyperlink"/>
            <w:rFonts w:ascii="StobiSerif Regular" w:hAnsi="StobiSerif Regular"/>
            <w:b/>
            <w:noProof/>
          </w:rPr>
          <w:t>Проблеми при имплементација и превземени активности</w:t>
        </w:r>
        <w:r w:rsidR="00181541">
          <w:rPr>
            <w:noProof/>
            <w:webHidden/>
          </w:rPr>
          <w:t xml:space="preserve"> </w:t>
        </w:r>
        <w:r w:rsidR="00181541">
          <w:rPr>
            <w:noProof/>
            <w:webHidden/>
          </w:rPr>
          <w:fldChar w:fldCharType="begin"/>
        </w:r>
        <w:r w:rsidR="00181541">
          <w:rPr>
            <w:noProof/>
            <w:webHidden/>
          </w:rPr>
          <w:instrText xml:space="preserve"> PAGEREF _Toc485394822 \h </w:instrText>
        </w:r>
        <w:r w:rsidR="00181541">
          <w:rPr>
            <w:noProof/>
            <w:webHidden/>
          </w:rPr>
        </w:r>
        <w:r w:rsidR="00181541">
          <w:rPr>
            <w:noProof/>
            <w:webHidden/>
          </w:rPr>
          <w:fldChar w:fldCharType="separate"/>
        </w:r>
        <w:r w:rsidR="00181541">
          <w:rPr>
            <w:noProof/>
            <w:webHidden/>
          </w:rPr>
          <w:t>42</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23" w:history="1">
        <w:r w:rsidR="00181541" w:rsidRPr="00797C64">
          <w:rPr>
            <w:rStyle w:val="Hyperlink"/>
            <w:rFonts w:ascii="StobiSerif Regular" w:hAnsi="StobiSerif Regular"/>
            <w:b/>
            <w:noProof/>
            <w:lang w:val="en-US"/>
          </w:rPr>
          <w:t xml:space="preserve">3.2.1. </w:t>
        </w:r>
        <w:r w:rsidR="00181541" w:rsidRPr="00797C64">
          <w:rPr>
            <w:rStyle w:val="Hyperlink"/>
            <w:rFonts w:ascii="StobiSerif Regular" w:hAnsi="StobiSerif Regular"/>
            <w:b/>
            <w:noProof/>
          </w:rPr>
          <w:t>Преземени активности од страна на ИПАРД Агенција</w:t>
        </w:r>
        <w:r w:rsidR="00181541">
          <w:rPr>
            <w:noProof/>
            <w:webHidden/>
          </w:rPr>
          <w:t xml:space="preserve"> </w:t>
        </w:r>
        <w:r w:rsidR="00181541">
          <w:rPr>
            <w:noProof/>
            <w:webHidden/>
          </w:rPr>
          <w:fldChar w:fldCharType="begin"/>
        </w:r>
        <w:r w:rsidR="00181541">
          <w:rPr>
            <w:noProof/>
            <w:webHidden/>
          </w:rPr>
          <w:instrText xml:space="preserve"> PAGEREF _Toc485394823 \h </w:instrText>
        </w:r>
        <w:r w:rsidR="00181541">
          <w:rPr>
            <w:noProof/>
            <w:webHidden/>
          </w:rPr>
        </w:r>
        <w:r w:rsidR="00181541">
          <w:rPr>
            <w:noProof/>
            <w:webHidden/>
          </w:rPr>
          <w:fldChar w:fldCharType="separate"/>
        </w:r>
        <w:r w:rsidR="00181541">
          <w:rPr>
            <w:noProof/>
            <w:webHidden/>
          </w:rPr>
          <w:t>42</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24" w:history="1">
        <w:r w:rsidR="00181541" w:rsidRPr="00797C64">
          <w:rPr>
            <w:rStyle w:val="Hyperlink"/>
            <w:rFonts w:ascii="StobiSerif Regular" w:hAnsi="StobiSerif Regular"/>
            <w:b/>
            <w:noProof/>
            <w:lang w:val="en-US"/>
          </w:rPr>
          <w:t xml:space="preserve">3.2.2. </w:t>
        </w:r>
        <w:r w:rsidR="00181541" w:rsidRPr="00797C64">
          <w:rPr>
            <w:rStyle w:val="Hyperlink"/>
            <w:rFonts w:ascii="StobiSerif Regular" w:hAnsi="StobiSerif Regular"/>
            <w:b/>
            <w:noProof/>
          </w:rPr>
          <w:t>Преземени активности од страна на Телото за управување</w:t>
        </w:r>
        <w:r w:rsidR="00181541">
          <w:rPr>
            <w:noProof/>
            <w:webHidden/>
          </w:rPr>
          <w:t xml:space="preserve"> </w:t>
        </w:r>
        <w:r w:rsidR="00181541">
          <w:rPr>
            <w:noProof/>
            <w:webHidden/>
          </w:rPr>
          <w:fldChar w:fldCharType="begin"/>
        </w:r>
        <w:r w:rsidR="00181541">
          <w:rPr>
            <w:noProof/>
            <w:webHidden/>
          </w:rPr>
          <w:instrText xml:space="preserve"> PAGEREF _Toc485394824 \h </w:instrText>
        </w:r>
        <w:r w:rsidR="00181541">
          <w:rPr>
            <w:noProof/>
            <w:webHidden/>
          </w:rPr>
        </w:r>
        <w:r w:rsidR="00181541">
          <w:rPr>
            <w:noProof/>
            <w:webHidden/>
          </w:rPr>
          <w:fldChar w:fldCharType="separate"/>
        </w:r>
        <w:r w:rsidR="00181541">
          <w:rPr>
            <w:noProof/>
            <w:webHidden/>
          </w:rPr>
          <w:t>43</w:t>
        </w:r>
        <w:r w:rsidR="00181541">
          <w:rPr>
            <w:noProof/>
            <w:webHidden/>
          </w:rPr>
          <w:fldChar w:fldCharType="end"/>
        </w:r>
      </w:hyperlink>
    </w:p>
    <w:p w:rsidR="00181541" w:rsidRDefault="00762162">
      <w:pPr>
        <w:pStyle w:val="TOC3"/>
        <w:tabs>
          <w:tab w:val="right" w:pos="9488"/>
        </w:tabs>
        <w:rPr>
          <w:rFonts w:eastAsiaTheme="minorEastAsia"/>
          <w:noProof/>
          <w:sz w:val="22"/>
          <w:szCs w:val="22"/>
          <w:lang w:eastAsia="mk-MK"/>
        </w:rPr>
      </w:pPr>
      <w:hyperlink w:anchor="_Toc485394825" w:history="1">
        <w:r w:rsidR="00181541" w:rsidRPr="00797C64">
          <w:rPr>
            <w:rStyle w:val="Hyperlink"/>
            <w:rFonts w:ascii="StobiSerif Regular" w:hAnsi="StobiSerif Regular"/>
            <w:b/>
            <w:noProof/>
            <w:lang w:val="en-US"/>
          </w:rPr>
          <w:t>3.2.</w:t>
        </w:r>
        <w:r w:rsidR="00181541" w:rsidRPr="00797C64">
          <w:rPr>
            <w:rStyle w:val="Hyperlink"/>
            <w:rFonts w:ascii="StobiSerif Regular" w:hAnsi="StobiSerif Regular"/>
            <w:b/>
            <w:noProof/>
          </w:rPr>
          <w:t>3</w:t>
        </w:r>
        <w:r w:rsidR="00181541" w:rsidRPr="00797C64">
          <w:rPr>
            <w:rStyle w:val="Hyperlink"/>
            <w:rFonts w:ascii="StobiSerif Regular" w:hAnsi="StobiSerif Regular"/>
            <w:b/>
            <w:noProof/>
            <w:lang w:val="en-US"/>
          </w:rPr>
          <w:t xml:space="preserve">. </w:t>
        </w:r>
        <w:r w:rsidR="00181541" w:rsidRPr="00797C64">
          <w:rPr>
            <w:rStyle w:val="Hyperlink"/>
            <w:rFonts w:ascii="StobiSerif Regular" w:hAnsi="StobiSerif Regular"/>
            <w:b/>
            <w:noProof/>
          </w:rPr>
          <w:t>Превземени активности од страна на НАО/НФ</w:t>
        </w:r>
        <w:r w:rsidR="00181541">
          <w:rPr>
            <w:noProof/>
            <w:webHidden/>
          </w:rPr>
          <w:t xml:space="preserve"> </w:t>
        </w:r>
        <w:r w:rsidR="00181541">
          <w:rPr>
            <w:noProof/>
            <w:webHidden/>
          </w:rPr>
          <w:fldChar w:fldCharType="begin"/>
        </w:r>
        <w:r w:rsidR="00181541">
          <w:rPr>
            <w:noProof/>
            <w:webHidden/>
          </w:rPr>
          <w:instrText xml:space="preserve"> PAGEREF _Toc485394825 \h </w:instrText>
        </w:r>
        <w:r w:rsidR="00181541">
          <w:rPr>
            <w:noProof/>
            <w:webHidden/>
          </w:rPr>
        </w:r>
        <w:r w:rsidR="00181541">
          <w:rPr>
            <w:noProof/>
            <w:webHidden/>
          </w:rPr>
          <w:fldChar w:fldCharType="separate"/>
        </w:r>
        <w:r w:rsidR="00181541">
          <w:rPr>
            <w:noProof/>
            <w:webHidden/>
          </w:rPr>
          <w:t>45</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26" w:history="1">
        <w:r w:rsidR="00181541" w:rsidRPr="00797C64">
          <w:rPr>
            <w:rStyle w:val="Hyperlink"/>
            <w:rFonts w:ascii="StobiSerif Regular" w:eastAsia="Calibri" w:hAnsi="StobiSerif Regular" w:cs="Arial"/>
            <w:b/>
            <w:bCs/>
            <w:noProof/>
            <w:lang w:val="en-GB"/>
          </w:rPr>
          <w:t>3.3. Резултати од извршените контроли на самото место и идентификувани неправилности</w:t>
        </w:r>
        <w:r w:rsidR="00181541">
          <w:rPr>
            <w:noProof/>
            <w:webHidden/>
          </w:rPr>
          <w:t xml:space="preserve"> </w:t>
        </w:r>
        <w:r w:rsidR="00181541">
          <w:rPr>
            <w:noProof/>
            <w:webHidden/>
          </w:rPr>
          <w:fldChar w:fldCharType="begin"/>
        </w:r>
        <w:r w:rsidR="00181541">
          <w:rPr>
            <w:noProof/>
            <w:webHidden/>
          </w:rPr>
          <w:instrText xml:space="preserve"> PAGEREF _Toc485394826 \h </w:instrText>
        </w:r>
        <w:r w:rsidR="00181541">
          <w:rPr>
            <w:noProof/>
            <w:webHidden/>
          </w:rPr>
        </w:r>
        <w:r w:rsidR="00181541">
          <w:rPr>
            <w:noProof/>
            <w:webHidden/>
          </w:rPr>
          <w:fldChar w:fldCharType="separate"/>
        </w:r>
        <w:r w:rsidR="00181541">
          <w:rPr>
            <w:noProof/>
            <w:webHidden/>
          </w:rPr>
          <w:t>71</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27" w:history="1">
        <w:r w:rsidR="00181541" w:rsidRPr="00797C64">
          <w:rPr>
            <w:rStyle w:val="Hyperlink"/>
            <w:rFonts w:ascii="StobiSerif Regular" w:eastAsia="Times New Roman" w:hAnsi="StobiSerif Regular" w:cs="Times New Roman"/>
            <w:b/>
            <w:bCs/>
            <w:noProof/>
            <w:lang w:eastAsia="mk-MK"/>
          </w:rPr>
          <w:t>3.4 Работа на Мониторинг Комитетот за ИПАРД</w:t>
        </w:r>
        <w:r w:rsidR="00181541">
          <w:rPr>
            <w:noProof/>
            <w:webHidden/>
          </w:rPr>
          <w:t xml:space="preserve"> </w:t>
        </w:r>
        <w:r w:rsidR="00181541">
          <w:rPr>
            <w:noProof/>
            <w:webHidden/>
          </w:rPr>
          <w:fldChar w:fldCharType="begin"/>
        </w:r>
        <w:r w:rsidR="00181541">
          <w:rPr>
            <w:noProof/>
            <w:webHidden/>
          </w:rPr>
          <w:instrText xml:space="preserve"> PAGEREF _Toc485394827 \h </w:instrText>
        </w:r>
        <w:r w:rsidR="00181541">
          <w:rPr>
            <w:noProof/>
            <w:webHidden/>
          </w:rPr>
        </w:r>
        <w:r w:rsidR="00181541">
          <w:rPr>
            <w:noProof/>
            <w:webHidden/>
          </w:rPr>
          <w:fldChar w:fldCharType="separate"/>
        </w:r>
        <w:r w:rsidR="00181541">
          <w:rPr>
            <w:noProof/>
            <w:webHidden/>
          </w:rPr>
          <w:t>73</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28" w:history="1">
        <w:r w:rsidR="00181541" w:rsidRPr="00797C64">
          <w:rPr>
            <w:rStyle w:val="Hyperlink"/>
            <w:rFonts w:ascii="StobiSerif Regular" w:eastAsia="Times New Roman" w:hAnsi="StobiSerif Regular" w:cs="Times New Roman"/>
            <w:bCs/>
            <w:noProof/>
            <w:lang w:eastAsia="mk-MK"/>
          </w:rPr>
          <w:t>3</w:t>
        </w:r>
        <w:r w:rsidR="00181541" w:rsidRPr="00797C64">
          <w:rPr>
            <w:rStyle w:val="Hyperlink"/>
            <w:rFonts w:ascii="StobiSerif Regular" w:eastAsia="Times New Roman" w:hAnsi="StobiSerif Regular" w:cs="Times New Roman"/>
            <w:b/>
            <w:bCs/>
            <w:noProof/>
            <w:lang w:eastAsia="mk-MK"/>
          </w:rPr>
          <w:t>.5 Активности за публицитет и информирање</w:t>
        </w:r>
        <w:r w:rsidR="00181541">
          <w:rPr>
            <w:noProof/>
            <w:webHidden/>
          </w:rPr>
          <w:t xml:space="preserve"> </w:t>
        </w:r>
        <w:r w:rsidR="00181541">
          <w:rPr>
            <w:noProof/>
            <w:webHidden/>
          </w:rPr>
          <w:fldChar w:fldCharType="begin"/>
        </w:r>
        <w:r w:rsidR="00181541">
          <w:rPr>
            <w:noProof/>
            <w:webHidden/>
          </w:rPr>
          <w:instrText xml:space="preserve"> PAGEREF _Toc485394828 \h </w:instrText>
        </w:r>
        <w:r w:rsidR="00181541">
          <w:rPr>
            <w:noProof/>
            <w:webHidden/>
          </w:rPr>
        </w:r>
        <w:r w:rsidR="00181541">
          <w:rPr>
            <w:noProof/>
            <w:webHidden/>
          </w:rPr>
          <w:fldChar w:fldCharType="separate"/>
        </w:r>
        <w:r w:rsidR="00181541">
          <w:rPr>
            <w:noProof/>
            <w:webHidden/>
          </w:rPr>
          <w:t>73</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29" w:history="1">
        <w:r w:rsidR="00181541" w:rsidRPr="00797C64">
          <w:rPr>
            <w:rStyle w:val="Hyperlink"/>
            <w:rFonts w:ascii="StobiSerif Regular" w:eastAsia="Times New Roman" w:hAnsi="StobiSerif Regular" w:cs="Times New Roman"/>
            <w:b/>
            <w:bCs/>
            <w:noProof/>
            <w:lang w:eastAsia="mk-MK"/>
          </w:rPr>
          <w:t>4. Заклучоци</w:t>
        </w:r>
        <w:r w:rsidR="00181541">
          <w:rPr>
            <w:noProof/>
            <w:webHidden/>
          </w:rPr>
          <w:t xml:space="preserve"> </w:t>
        </w:r>
        <w:r w:rsidR="00181541">
          <w:rPr>
            <w:noProof/>
            <w:webHidden/>
          </w:rPr>
          <w:fldChar w:fldCharType="begin"/>
        </w:r>
        <w:r w:rsidR="00181541">
          <w:rPr>
            <w:noProof/>
            <w:webHidden/>
          </w:rPr>
          <w:instrText xml:space="preserve"> PAGEREF _Toc485394829 \h </w:instrText>
        </w:r>
        <w:r w:rsidR="00181541">
          <w:rPr>
            <w:noProof/>
            <w:webHidden/>
          </w:rPr>
        </w:r>
        <w:r w:rsidR="00181541">
          <w:rPr>
            <w:noProof/>
            <w:webHidden/>
          </w:rPr>
          <w:fldChar w:fldCharType="separate"/>
        </w:r>
        <w:r w:rsidR="00181541">
          <w:rPr>
            <w:noProof/>
            <w:webHidden/>
          </w:rPr>
          <w:t>76</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30" w:history="1">
        <w:r w:rsidR="00181541" w:rsidRPr="00797C64">
          <w:rPr>
            <w:rStyle w:val="Hyperlink"/>
            <w:rFonts w:ascii="StobiSerif Regular" w:eastAsiaTheme="majorEastAsia" w:hAnsi="StobiSerif Regular" w:cstheme="majorBidi"/>
            <w:bCs/>
            <w:noProof/>
          </w:rPr>
          <w:t>Прилог 1</w:t>
        </w:r>
        <w:r w:rsidR="00181541" w:rsidRPr="00797C64">
          <w:rPr>
            <w:rStyle w:val="Hyperlink"/>
            <w:rFonts w:ascii="StobiSerif Regular" w:eastAsiaTheme="majorEastAsia" w:hAnsi="StobiSerif Regular" w:cstheme="majorBidi"/>
            <w:bCs/>
            <w:noProof/>
            <w:lang w:val="en-US"/>
          </w:rPr>
          <w:t xml:space="preserve">: </w:t>
        </w:r>
        <w:r w:rsidR="00181541" w:rsidRPr="00797C64">
          <w:rPr>
            <w:rStyle w:val="Hyperlink"/>
            <w:rFonts w:ascii="StobiSerif Regular" w:hAnsi="StobiSerif Regular"/>
            <w:noProof/>
            <w:lang w:eastAsia="mk-MK"/>
          </w:rPr>
          <w:t>Индикатори табели за Мониторинг и евалуација на ИПАРД 2007-2013 Програмата</w:t>
        </w:r>
        <w:r w:rsidR="00181541">
          <w:rPr>
            <w:noProof/>
            <w:webHidden/>
          </w:rPr>
          <w:t xml:space="preserve"> </w:t>
        </w:r>
        <w:r w:rsidR="00181541">
          <w:rPr>
            <w:noProof/>
            <w:webHidden/>
          </w:rPr>
          <w:fldChar w:fldCharType="begin"/>
        </w:r>
        <w:r w:rsidR="00181541">
          <w:rPr>
            <w:noProof/>
            <w:webHidden/>
          </w:rPr>
          <w:instrText xml:space="preserve"> PAGEREF _Toc485394830 \h </w:instrText>
        </w:r>
        <w:r w:rsidR="00181541">
          <w:rPr>
            <w:noProof/>
            <w:webHidden/>
          </w:rPr>
        </w:r>
        <w:r w:rsidR="00181541">
          <w:rPr>
            <w:noProof/>
            <w:webHidden/>
          </w:rPr>
          <w:fldChar w:fldCharType="separate"/>
        </w:r>
        <w:r w:rsidR="00181541">
          <w:rPr>
            <w:noProof/>
            <w:webHidden/>
          </w:rPr>
          <w:t>78</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31" w:history="1">
        <w:r w:rsidR="00181541" w:rsidRPr="00797C64">
          <w:rPr>
            <w:rStyle w:val="Hyperlink"/>
            <w:rFonts w:ascii="StobiSerif Regular" w:eastAsiaTheme="majorEastAsia" w:hAnsi="StobiSerif Regular" w:cstheme="majorBidi"/>
            <w:bCs/>
            <w:noProof/>
          </w:rPr>
          <w:t xml:space="preserve">Прилог </w:t>
        </w:r>
        <w:r w:rsidR="00181541" w:rsidRPr="00797C64">
          <w:rPr>
            <w:rStyle w:val="Hyperlink"/>
            <w:rFonts w:ascii="StobiSerif Regular" w:eastAsiaTheme="majorEastAsia" w:hAnsi="StobiSerif Regular" w:cstheme="majorBidi"/>
            <w:bCs/>
            <w:noProof/>
            <w:lang w:val="en-US"/>
          </w:rPr>
          <w:t xml:space="preserve">2: </w:t>
        </w:r>
        <w:r w:rsidR="00181541" w:rsidRPr="00797C64">
          <w:rPr>
            <w:rStyle w:val="Hyperlink"/>
            <w:rFonts w:ascii="StobiSerif Regular" w:eastAsiaTheme="majorEastAsia" w:hAnsi="StobiSerif Regular" w:cstheme="majorBidi"/>
            <w:bCs/>
            <w:noProof/>
          </w:rPr>
          <w:t>Контроли на лице место извршени во период на 2016</w:t>
        </w:r>
        <w:r w:rsidR="00181541">
          <w:rPr>
            <w:noProof/>
            <w:webHidden/>
          </w:rPr>
          <w:t xml:space="preserve"> </w:t>
        </w:r>
        <w:r w:rsidR="00181541">
          <w:rPr>
            <w:noProof/>
            <w:webHidden/>
          </w:rPr>
          <w:fldChar w:fldCharType="begin"/>
        </w:r>
        <w:r w:rsidR="00181541">
          <w:rPr>
            <w:noProof/>
            <w:webHidden/>
          </w:rPr>
          <w:instrText xml:space="preserve"> PAGEREF _Toc485394831 \h </w:instrText>
        </w:r>
        <w:r w:rsidR="00181541">
          <w:rPr>
            <w:noProof/>
            <w:webHidden/>
          </w:rPr>
        </w:r>
        <w:r w:rsidR="00181541">
          <w:rPr>
            <w:noProof/>
            <w:webHidden/>
          </w:rPr>
          <w:fldChar w:fldCharType="separate"/>
        </w:r>
        <w:r w:rsidR="00181541">
          <w:rPr>
            <w:noProof/>
            <w:webHidden/>
          </w:rPr>
          <w:t>79</w:t>
        </w:r>
        <w:r w:rsidR="00181541">
          <w:rPr>
            <w:noProof/>
            <w:webHidden/>
          </w:rPr>
          <w:fldChar w:fldCharType="end"/>
        </w:r>
      </w:hyperlink>
    </w:p>
    <w:p w:rsidR="00181541" w:rsidRDefault="00762162">
      <w:pPr>
        <w:pStyle w:val="TOC2"/>
        <w:rPr>
          <w:rFonts w:eastAsiaTheme="minorEastAsia"/>
          <w:i w:val="0"/>
          <w:iCs w:val="0"/>
          <w:noProof/>
          <w:sz w:val="22"/>
          <w:szCs w:val="22"/>
          <w:lang w:eastAsia="mk-MK"/>
        </w:rPr>
      </w:pPr>
      <w:hyperlink w:anchor="_Toc485394832" w:history="1">
        <w:r w:rsidR="00181541" w:rsidRPr="00797C64">
          <w:rPr>
            <w:rStyle w:val="Hyperlink"/>
            <w:rFonts w:ascii="StobiSerif Regular" w:hAnsi="StobiSerif Regular"/>
            <w:noProof/>
            <w:lang w:val="en-US"/>
          </w:rPr>
          <w:t>Извор: ИПАРД Агенција</w:t>
        </w:r>
        <w:r w:rsidR="00181541" w:rsidRPr="00797C64">
          <w:rPr>
            <w:rStyle w:val="Hyperlink"/>
            <w:rFonts w:ascii="StobiSerif Regular" w:hAnsi="StobiSerif Regular"/>
            <w:noProof/>
          </w:rPr>
          <w:t xml:space="preserve"> 2016</w:t>
        </w:r>
        <w:r w:rsidR="00181541">
          <w:rPr>
            <w:noProof/>
            <w:webHidden/>
          </w:rPr>
          <w:t xml:space="preserve"> </w:t>
        </w:r>
        <w:r w:rsidR="00181541">
          <w:rPr>
            <w:noProof/>
            <w:webHidden/>
          </w:rPr>
          <w:fldChar w:fldCharType="begin"/>
        </w:r>
        <w:r w:rsidR="00181541">
          <w:rPr>
            <w:noProof/>
            <w:webHidden/>
          </w:rPr>
          <w:instrText xml:space="preserve"> PAGEREF _Toc485394832 \h </w:instrText>
        </w:r>
        <w:r w:rsidR="00181541">
          <w:rPr>
            <w:noProof/>
            <w:webHidden/>
          </w:rPr>
        </w:r>
        <w:r w:rsidR="00181541">
          <w:rPr>
            <w:noProof/>
            <w:webHidden/>
          </w:rPr>
          <w:fldChar w:fldCharType="separate"/>
        </w:r>
        <w:r w:rsidR="00181541">
          <w:rPr>
            <w:noProof/>
            <w:webHidden/>
          </w:rPr>
          <w:t>80</w:t>
        </w:r>
        <w:r w:rsidR="00181541">
          <w:rPr>
            <w:noProof/>
            <w:webHidden/>
          </w:rPr>
          <w:fldChar w:fldCharType="end"/>
        </w:r>
      </w:hyperlink>
    </w:p>
    <w:p w:rsidR="00590304" w:rsidRDefault="00590304" w:rsidP="00590304">
      <w:pPr>
        <w:tabs>
          <w:tab w:val="left" w:pos="3469"/>
        </w:tabs>
        <w:rPr>
          <w:lang w:val="en-US"/>
        </w:rPr>
      </w:pPr>
      <w:r>
        <w:rPr>
          <w:lang w:val="en-US"/>
        </w:rPr>
        <w:fldChar w:fldCharType="end"/>
      </w:r>
    </w:p>
    <w:p w:rsidR="00181541" w:rsidRDefault="00CE7802">
      <w:pPr>
        <w:pStyle w:val="TableofFigures"/>
        <w:tabs>
          <w:tab w:val="right" w:leader="dot" w:pos="9488"/>
        </w:tabs>
        <w:rPr>
          <w:rFonts w:eastAsiaTheme="minorEastAsia"/>
          <w:noProof/>
          <w:lang w:eastAsia="mk-MK"/>
        </w:rPr>
      </w:pPr>
      <w:r>
        <w:rPr>
          <w:lang w:val="en-US"/>
        </w:rPr>
        <w:fldChar w:fldCharType="begin"/>
      </w:r>
      <w:r>
        <w:rPr>
          <w:lang w:val="en-US"/>
        </w:rPr>
        <w:instrText xml:space="preserve"> TOC \h \z \c "Table" </w:instrText>
      </w:r>
      <w:r>
        <w:rPr>
          <w:lang w:val="en-US"/>
        </w:rPr>
        <w:fldChar w:fldCharType="separate"/>
      </w:r>
      <w:hyperlink w:anchor="_Toc485394893" w:history="1">
        <w:r w:rsidR="00181541" w:rsidRPr="00FE5F17">
          <w:rPr>
            <w:rStyle w:val="Hyperlink"/>
            <w:rFonts w:ascii="StobiSerif Regular" w:hAnsi="StobiSerif Regular"/>
            <w:b/>
            <w:noProof/>
          </w:rPr>
          <w:t xml:space="preserve">Табела </w:t>
        </w:r>
        <w:r w:rsidR="00181541" w:rsidRPr="00FE5F17">
          <w:rPr>
            <w:rStyle w:val="Hyperlink"/>
            <w:rFonts w:ascii="StobiSerif Regular" w:hAnsi="StobiSerif Regular"/>
            <w:b/>
            <w:noProof/>
            <w:lang w:val="en-US"/>
          </w:rPr>
          <w:t xml:space="preserve"> </w:t>
        </w:r>
        <w:r w:rsidR="00181541" w:rsidRPr="00FE5F17">
          <w:rPr>
            <w:rStyle w:val="Hyperlink"/>
            <w:rFonts w:ascii="StobiSerif Regular" w:hAnsi="StobiSerif Regular"/>
            <w:b/>
            <w:noProof/>
          </w:rPr>
          <w:t>1: Макроекономски показатели по години</w:t>
        </w:r>
        <w:r w:rsidR="00181541">
          <w:rPr>
            <w:noProof/>
            <w:webHidden/>
          </w:rPr>
          <w:tab/>
        </w:r>
        <w:r w:rsidR="00181541">
          <w:rPr>
            <w:noProof/>
            <w:webHidden/>
          </w:rPr>
          <w:fldChar w:fldCharType="begin"/>
        </w:r>
        <w:r w:rsidR="00181541">
          <w:rPr>
            <w:noProof/>
            <w:webHidden/>
          </w:rPr>
          <w:instrText xml:space="preserve"> PAGEREF _Toc485394893 \h </w:instrText>
        </w:r>
        <w:r w:rsidR="00181541">
          <w:rPr>
            <w:noProof/>
            <w:webHidden/>
          </w:rPr>
        </w:r>
        <w:r w:rsidR="00181541">
          <w:rPr>
            <w:noProof/>
            <w:webHidden/>
          </w:rPr>
          <w:fldChar w:fldCharType="separate"/>
        </w:r>
        <w:r w:rsidR="00181541">
          <w:rPr>
            <w:noProof/>
            <w:webHidden/>
          </w:rPr>
          <w:t>10</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894" w:history="1">
        <w:r w:rsidR="00181541" w:rsidRPr="00FE5F17">
          <w:rPr>
            <w:rStyle w:val="Hyperlink"/>
            <w:rFonts w:ascii="StobiSerif Regular" w:hAnsi="StobiSerif Regular"/>
            <w:b/>
            <w:noProof/>
          </w:rPr>
          <w:t>Табела 2: Финансиска распределба на средствата по оски и мерки</w:t>
        </w:r>
        <w:r w:rsidR="00181541">
          <w:rPr>
            <w:noProof/>
            <w:webHidden/>
          </w:rPr>
          <w:tab/>
        </w:r>
        <w:r w:rsidR="00181541">
          <w:rPr>
            <w:noProof/>
            <w:webHidden/>
          </w:rPr>
          <w:fldChar w:fldCharType="begin"/>
        </w:r>
        <w:r w:rsidR="00181541">
          <w:rPr>
            <w:noProof/>
            <w:webHidden/>
          </w:rPr>
          <w:instrText xml:space="preserve"> PAGEREF _Toc485394894 \h </w:instrText>
        </w:r>
        <w:r w:rsidR="00181541">
          <w:rPr>
            <w:noProof/>
            <w:webHidden/>
          </w:rPr>
        </w:r>
        <w:r w:rsidR="00181541">
          <w:rPr>
            <w:noProof/>
            <w:webHidden/>
          </w:rPr>
          <w:fldChar w:fldCharType="separate"/>
        </w:r>
        <w:r w:rsidR="00181541">
          <w:rPr>
            <w:noProof/>
            <w:webHidden/>
          </w:rPr>
          <w:t>17</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895" w:history="1">
        <w:r w:rsidR="00181541" w:rsidRPr="00FE5F17">
          <w:rPr>
            <w:rStyle w:val="Hyperlink"/>
            <w:rFonts w:ascii="StobiSerif Regular" w:eastAsia="Times New Roman" w:hAnsi="StobiSerif Regular" w:cs="Times New Roman"/>
            <w:b/>
            <w:bCs/>
            <w:noProof/>
          </w:rPr>
          <w:t xml:space="preserve">Табела </w:t>
        </w:r>
        <w:r w:rsidR="00181541" w:rsidRPr="00FE5F17">
          <w:rPr>
            <w:rStyle w:val="Hyperlink"/>
            <w:rFonts w:ascii="StobiSerif Regular" w:eastAsia="Times New Roman" w:hAnsi="StobiSerif Regular" w:cs="Times New Roman"/>
            <w:b/>
            <w:bCs/>
            <w:noProof/>
            <w:lang w:val="en-US"/>
          </w:rPr>
          <w:t xml:space="preserve"> 3:  </w:t>
        </w:r>
        <w:r w:rsidR="00181541" w:rsidRPr="00FE5F17">
          <w:rPr>
            <w:rStyle w:val="Hyperlink"/>
            <w:rFonts w:ascii="StobiSerif Regular" w:eastAsia="Times New Roman" w:hAnsi="StobiSerif Regular" w:cs="Times New Roman"/>
            <w:b/>
            <w:bCs/>
            <w:noProof/>
          </w:rPr>
          <w:t>Преглед на спроведување на јавни повици по ИПАРД во евра</w:t>
        </w:r>
        <w:r w:rsidR="00181541">
          <w:rPr>
            <w:noProof/>
            <w:webHidden/>
          </w:rPr>
          <w:tab/>
        </w:r>
        <w:r w:rsidR="00181541">
          <w:rPr>
            <w:noProof/>
            <w:webHidden/>
          </w:rPr>
          <w:fldChar w:fldCharType="begin"/>
        </w:r>
        <w:r w:rsidR="00181541">
          <w:rPr>
            <w:noProof/>
            <w:webHidden/>
          </w:rPr>
          <w:instrText xml:space="preserve"> PAGEREF _Toc485394895 \h </w:instrText>
        </w:r>
        <w:r w:rsidR="00181541">
          <w:rPr>
            <w:noProof/>
            <w:webHidden/>
          </w:rPr>
        </w:r>
        <w:r w:rsidR="00181541">
          <w:rPr>
            <w:noProof/>
            <w:webHidden/>
          </w:rPr>
          <w:fldChar w:fldCharType="separate"/>
        </w:r>
        <w:r w:rsidR="00181541">
          <w:rPr>
            <w:noProof/>
            <w:webHidden/>
          </w:rPr>
          <w:t>18</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896" w:history="1">
        <w:r w:rsidR="00181541" w:rsidRPr="00FE5F17">
          <w:rPr>
            <w:rStyle w:val="Hyperlink"/>
            <w:rFonts w:ascii="StobiSerif Regular" w:hAnsi="StobiSerif Regular"/>
            <w:b/>
            <w:noProof/>
          </w:rPr>
          <w:t>Та</w:t>
        </w:r>
        <w:r w:rsidR="00181541" w:rsidRPr="00FE5F17">
          <w:rPr>
            <w:rStyle w:val="Hyperlink"/>
            <w:rFonts w:ascii="StobiSerif Regular" w:eastAsia="Times New Roman" w:hAnsi="StobiSerif Regular" w:cs="Times New Roman"/>
            <w:b/>
            <w:bCs/>
            <w:noProof/>
          </w:rPr>
          <w:t>бела</w:t>
        </w:r>
        <w:r w:rsidR="00181541" w:rsidRPr="00FE5F17">
          <w:rPr>
            <w:rStyle w:val="Hyperlink"/>
            <w:rFonts w:ascii="StobiSerif Regular" w:eastAsia="Times New Roman" w:hAnsi="StobiSerif Regular" w:cs="Times New Roman"/>
            <w:b/>
            <w:bCs/>
            <w:noProof/>
            <w:lang w:val="en-US"/>
          </w:rPr>
          <w:t xml:space="preserve"> 4: </w:t>
        </w:r>
        <w:r w:rsidR="00181541" w:rsidRPr="00FE5F17">
          <w:rPr>
            <w:rStyle w:val="Hyperlink"/>
            <w:rFonts w:ascii="StobiSerif Regular" w:eastAsia="Times New Roman" w:hAnsi="StobiSerif Regular" w:cs="Times New Roman"/>
            <w:b/>
            <w:bCs/>
            <w:noProof/>
          </w:rPr>
          <w:t>Преглед на апликации по мерки</w:t>
        </w:r>
        <w:r w:rsidR="00181541">
          <w:rPr>
            <w:noProof/>
            <w:webHidden/>
          </w:rPr>
          <w:tab/>
        </w:r>
        <w:r w:rsidR="00181541">
          <w:rPr>
            <w:noProof/>
            <w:webHidden/>
          </w:rPr>
          <w:fldChar w:fldCharType="begin"/>
        </w:r>
        <w:r w:rsidR="00181541">
          <w:rPr>
            <w:noProof/>
            <w:webHidden/>
          </w:rPr>
          <w:instrText xml:space="preserve"> PAGEREF _Toc485394896 \h </w:instrText>
        </w:r>
        <w:r w:rsidR="00181541">
          <w:rPr>
            <w:noProof/>
            <w:webHidden/>
          </w:rPr>
        </w:r>
        <w:r w:rsidR="00181541">
          <w:rPr>
            <w:noProof/>
            <w:webHidden/>
          </w:rPr>
          <w:fldChar w:fldCharType="separate"/>
        </w:r>
        <w:r w:rsidR="00181541">
          <w:rPr>
            <w:noProof/>
            <w:webHidden/>
          </w:rPr>
          <w:t>18</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897"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5: Показатели на квалитет на апликации</w:t>
        </w:r>
        <w:r w:rsidR="00181541">
          <w:rPr>
            <w:noProof/>
            <w:webHidden/>
          </w:rPr>
          <w:tab/>
        </w:r>
        <w:r w:rsidR="00181541">
          <w:rPr>
            <w:noProof/>
            <w:webHidden/>
          </w:rPr>
          <w:fldChar w:fldCharType="begin"/>
        </w:r>
        <w:r w:rsidR="00181541">
          <w:rPr>
            <w:noProof/>
            <w:webHidden/>
          </w:rPr>
          <w:instrText xml:space="preserve"> PAGEREF _Toc485394897 \h </w:instrText>
        </w:r>
        <w:r w:rsidR="00181541">
          <w:rPr>
            <w:noProof/>
            <w:webHidden/>
          </w:rPr>
        </w:r>
        <w:r w:rsidR="00181541">
          <w:rPr>
            <w:noProof/>
            <w:webHidden/>
          </w:rPr>
          <w:fldChar w:fldCharType="separate"/>
        </w:r>
        <w:r w:rsidR="00181541">
          <w:rPr>
            <w:noProof/>
            <w:webHidden/>
          </w:rPr>
          <w:t>19</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898" w:history="1">
        <w:r w:rsidR="00181541" w:rsidRPr="00FE5F17">
          <w:rPr>
            <w:rStyle w:val="Hyperlink"/>
            <w:rFonts w:ascii="StobiSerif Regular" w:eastAsia="Times New Roman" w:hAnsi="StobiSerif Regular" w:cs="Times New Roman"/>
            <w:b/>
            <w:noProof/>
            <w:lang w:val="en-GB" w:eastAsia="zh-CN"/>
          </w:rPr>
          <w:t>Ta</w:t>
        </w:r>
        <w:r w:rsidR="00181541" w:rsidRPr="00FE5F17">
          <w:rPr>
            <w:rStyle w:val="Hyperlink"/>
            <w:rFonts w:ascii="StobiSerif Regular" w:eastAsia="Times New Roman" w:hAnsi="StobiSerif Regular" w:cs="Times New Roman"/>
            <w:b/>
            <w:noProof/>
            <w:lang w:eastAsia="zh-CN"/>
          </w:rPr>
          <w:t xml:space="preserve">бела </w:t>
        </w:r>
        <w:r w:rsidR="00181541" w:rsidRPr="00FE5F17">
          <w:rPr>
            <w:rStyle w:val="Hyperlink"/>
            <w:rFonts w:ascii="StobiSerif Regular" w:eastAsia="Times New Roman" w:hAnsi="StobiSerif Regular" w:cs="Times New Roman"/>
            <w:b/>
            <w:noProof/>
            <w:lang w:val="en-GB" w:eastAsia="zh-CN"/>
          </w:rPr>
          <w:t xml:space="preserve"> 6: </w:t>
        </w:r>
        <w:r w:rsidR="00181541" w:rsidRPr="00FE5F17">
          <w:rPr>
            <w:rStyle w:val="Hyperlink"/>
            <w:rFonts w:ascii="StobiSerif Regular" w:hAnsi="StobiSerif Regular"/>
            <w:b/>
            <w:bCs/>
            <w:noProof/>
          </w:rPr>
          <w:t>Квалитативна анализа по приоритетен сектор во M101</w:t>
        </w:r>
        <w:r w:rsidR="00181541">
          <w:rPr>
            <w:noProof/>
            <w:webHidden/>
          </w:rPr>
          <w:tab/>
        </w:r>
        <w:r w:rsidR="00181541">
          <w:rPr>
            <w:noProof/>
            <w:webHidden/>
          </w:rPr>
          <w:fldChar w:fldCharType="begin"/>
        </w:r>
        <w:r w:rsidR="00181541">
          <w:rPr>
            <w:noProof/>
            <w:webHidden/>
          </w:rPr>
          <w:instrText xml:space="preserve"> PAGEREF _Toc485394898 \h </w:instrText>
        </w:r>
        <w:r w:rsidR="00181541">
          <w:rPr>
            <w:noProof/>
            <w:webHidden/>
          </w:rPr>
        </w:r>
        <w:r w:rsidR="00181541">
          <w:rPr>
            <w:noProof/>
            <w:webHidden/>
          </w:rPr>
          <w:fldChar w:fldCharType="separate"/>
        </w:r>
        <w:r w:rsidR="00181541">
          <w:rPr>
            <w:noProof/>
            <w:webHidden/>
          </w:rPr>
          <w:t>21</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899"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7: </w:t>
        </w:r>
        <w:r w:rsidR="00181541" w:rsidRPr="00FE5F17">
          <w:rPr>
            <w:rStyle w:val="Hyperlink"/>
            <w:rFonts w:ascii="StobiSerif Regular" w:hAnsi="StobiSerif Regular"/>
            <w:b/>
            <w:noProof/>
          </w:rPr>
          <w:t xml:space="preserve">Апликации по сектори во </w:t>
        </w:r>
        <w:r w:rsidR="00181541" w:rsidRPr="00FE5F17">
          <w:rPr>
            <w:rStyle w:val="Hyperlink"/>
            <w:rFonts w:ascii="StobiSerif Regular" w:hAnsi="StobiSerif Regular"/>
            <w:b/>
            <w:noProof/>
            <w:lang w:val="en-US"/>
          </w:rPr>
          <w:t xml:space="preserve"> M101</w:t>
        </w:r>
        <w:r w:rsidR="00181541">
          <w:rPr>
            <w:noProof/>
            <w:webHidden/>
          </w:rPr>
          <w:tab/>
        </w:r>
        <w:r w:rsidR="00181541">
          <w:rPr>
            <w:noProof/>
            <w:webHidden/>
          </w:rPr>
          <w:fldChar w:fldCharType="begin"/>
        </w:r>
        <w:r w:rsidR="00181541">
          <w:rPr>
            <w:noProof/>
            <w:webHidden/>
          </w:rPr>
          <w:instrText xml:space="preserve"> PAGEREF _Toc485394899 \h </w:instrText>
        </w:r>
        <w:r w:rsidR="00181541">
          <w:rPr>
            <w:noProof/>
            <w:webHidden/>
          </w:rPr>
        </w:r>
        <w:r w:rsidR="00181541">
          <w:rPr>
            <w:noProof/>
            <w:webHidden/>
          </w:rPr>
          <w:fldChar w:fldCharType="separate"/>
        </w:r>
        <w:r w:rsidR="00181541">
          <w:rPr>
            <w:noProof/>
            <w:webHidden/>
          </w:rPr>
          <w:t>21</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0" w:history="1">
        <w:r w:rsidR="00181541" w:rsidRPr="00FE5F17">
          <w:rPr>
            <w:rStyle w:val="Hyperlink"/>
            <w:rFonts w:ascii="StobiSerif Regular" w:eastAsia="Times New Roman" w:hAnsi="StobiSerif Regular" w:cs="Times New Roman"/>
            <w:b/>
            <w:noProof/>
            <w:lang w:val="en-GB" w:eastAsia="zh-CN"/>
          </w:rPr>
          <w:t>T</w:t>
        </w:r>
        <w:r w:rsidR="00181541" w:rsidRPr="00FE5F17">
          <w:rPr>
            <w:rStyle w:val="Hyperlink"/>
            <w:rFonts w:ascii="StobiSerif Regular" w:eastAsia="Times New Roman" w:hAnsi="StobiSerif Regular" w:cs="Times New Roman"/>
            <w:b/>
            <w:noProof/>
            <w:lang w:eastAsia="zh-CN"/>
          </w:rPr>
          <w:t>абела</w:t>
        </w:r>
        <w:r w:rsidR="00181541" w:rsidRPr="00FE5F17">
          <w:rPr>
            <w:rStyle w:val="Hyperlink"/>
            <w:rFonts w:ascii="StobiSerif Regular" w:eastAsia="Times New Roman" w:hAnsi="StobiSerif Regular" w:cs="Times New Roman"/>
            <w:b/>
            <w:noProof/>
            <w:lang w:val="en-GB" w:eastAsia="zh-CN"/>
          </w:rPr>
          <w:t xml:space="preserve"> 8: </w:t>
        </w:r>
        <w:r w:rsidR="00181541" w:rsidRPr="00FE5F17">
          <w:rPr>
            <w:rStyle w:val="Hyperlink"/>
            <w:rFonts w:ascii="StobiSerif Regular" w:hAnsi="StobiSerif Regular"/>
            <w:b/>
            <w:noProof/>
          </w:rPr>
          <w:t>Квалитативна анализа на апликации по приоритетен сектор во M101</w:t>
        </w:r>
        <w:r w:rsidR="00181541">
          <w:rPr>
            <w:noProof/>
            <w:webHidden/>
          </w:rPr>
          <w:tab/>
        </w:r>
        <w:r w:rsidR="00181541">
          <w:rPr>
            <w:noProof/>
            <w:webHidden/>
          </w:rPr>
          <w:fldChar w:fldCharType="begin"/>
        </w:r>
        <w:r w:rsidR="00181541">
          <w:rPr>
            <w:noProof/>
            <w:webHidden/>
          </w:rPr>
          <w:instrText xml:space="preserve"> PAGEREF _Toc485394900 \h </w:instrText>
        </w:r>
        <w:r w:rsidR="00181541">
          <w:rPr>
            <w:noProof/>
            <w:webHidden/>
          </w:rPr>
        </w:r>
        <w:r w:rsidR="00181541">
          <w:rPr>
            <w:noProof/>
            <w:webHidden/>
          </w:rPr>
          <w:fldChar w:fldCharType="separate"/>
        </w:r>
        <w:r w:rsidR="00181541">
          <w:rPr>
            <w:noProof/>
            <w:webHidden/>
          </w:rPr>
          <w:t>22</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1" w:history="1">
        <w:r w:rsidR="00181541" w:rsidRPr="00FE5F17">
          <w:rPr>
            <w:rStyle w:val="Hyperlink"/>
            <w:rFonts w:ascii="StobiSerif Regular" w:eastAsia="Times New Roman" w:hAnsi="StobiSerif Regular" w:cs="Times New Roman"/>
            <w:b/>
            <w:noProof/>
            <w:lang w:val="en-GB" w:eastAsia="zh-CN"/>
          </w:rPr>
          <w:t>T</w:t>
        </w:r>
        <w:r w:rsidR="00181541" w:rsidRPr="00FE5F17">
          <w:rPr>
            <w:rStyle w:val="Hyperlink"/>
            <w:rFonts w:ascii="StobiSerif Regular" w:eastAsia="Times New Roman" w:hAnsi="StobiSerif Regular" w:cs="Times New Roman"/>
            <w:b/>
            <w:noProof/>
            <w:lang w:eastAsia="zh-CN"/>
          </w:rPr>
          <w:t>абела</w:t>
        </w:r>
        <w:r w:rsidR="00181541" w:rsidRPr="00FE5F17">
          <w:rPr>
            <w:rStyle w:val="Hyperlink"/>
            <w:rFonts w:ascii="StobiSerif Regular" w:eastAsia="Times New Roman" w:hAnsi="StobiSerif Regular" w:cs="Times New Roman"/>
            <w:b/>
            <w:noProof/>
            <w:lang w:val="en-GB" w:eastAsia="zh-CN"/>
          </w:rPr>
          <w:t xml:space="preserve"> 9: </w:t>
        </w:r>
        <w:r w:rsidR="00181541" w:rsidRPr="00FE5F17">
          <w:rPr>
            <w:rStyle w:val="Hyperlink"/>
            <w:rFonts w:ascii="StobiSerif Regular" w:eastAsia="Times New Roman" w:hAnsi="StobiSerif Regular" w:cs="Times New Roman"/>
            <w:b/>
            <w:noProof/>
            <w:lang w:eastAsia="zh-CN"/>
          </w:rPr>
          <w:t>Тип на инвестиции по сектори во мерката 101</w:t>
        </w:r>
        <w:r w:rsidR="00181541">
          <w:rPr>
            <w:noProof/>
            <w:webHidden/>
          </w:rPr>
          <w:tab/>
        </w:r>
        <w:r w:rsidR="00181541">
          <w:rPr>
            <w:noProof/>
            <w:webHidden/>
          </w:rPr>
          <w:fldChar w:fldCharType="begin"/>
        </w:r>
        <w:r w:rsidR="00181541">
          <w:rPr>
            <w:noProof/>
            <w:webHidden/>
          </w:rPr>
          <w:instrText xml:space="preserve"> PAGEREF _Toc485394901 \h </w:instrText>
        </w:r>
        <w:r w:rsidR="00181541">
          <w:rPr>
            <w:noProof/>
            <w:webHidden/>
          </w:rPr>
        </w:r>
        <w:r w:rsidR="00181541">
          <w:rPr>
            <w:noProof/>
            <w:webHidden/>
          </w:rPr>
          <w:fldChar w:fldCharType="separate"/>
        </w:r>
        <w:r w:rsidR="00181541">
          <w:rPr>
            <w:noProof/>
            <w:webHidden/>
          </w:rPr>
          <w:t>23</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2"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10: </w:t>
        </w:r>
        <w:r w:rsidR="00181541" w:rsidRPr="00FE5F17">
          <w:rPr>
            <w:rStyle w:val="Hyperlink"/>
            <w:rFonts w:ascii="StobiSerif Regular" w:eastAsia="Times New Roman" w:hAnsi="StobiSerif Regular" w:cs="Times New Roman"/>
            <w:b/>
            <w:bCs/>
            <w:noProof/>
            <w:lang w:val="en-US"/>
          </w:rPr>
          <w:t>Показатели на квалитет на апликации за Мерка 101</w:t>
        </w:r>
        <w:r w:rsidR="00181541">
          <w:rPr>
            <w:noProof/>
            <w:webHidden/>
          </w:rPr>
          <w:tab/>
        </w:r>
        <w:r w:rsidR="00181541">
          <w:rPr>
            <w:noProof/>
            <w:webHidden/>
          </w:rPr>
          <w:fldChar w:fldCharType="begin"/>
        </w:r>
        <w:r w:rsidR="00181541">
          <w:rPr>
            <w:noProof/>
            <w:webHidden/>
          </w:rPr>
          <w:instrText xml:space="preserve"> PAGEREF _Toc485394902 \h </w:instrText>
        </w:r>
        <w:r w:rsidR="00181541">
          <w:rPr>
            <w:noProof/>
            <w:webHidden/>
          </w:rPr>
        </w:r>
        <w:r w:rsidR="00181541">
          <w:rPr>
            <w:noProof/>
            <w:webHidden/>
          </w:rPr>
          <w:fldChar w:fldCharType="separate"/>
        </w:r>
        <w:r w:rsidR="00181541">
          <w:rPr>
            <w:noProof/>
            <w:webHidden/>
          </w:rPr>
          <w:t>24</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3"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11: </w:t>
        </w:r>
        <w:r w:rsidR="00181541" w:rsidRPr="00FE5F17">
          <w:rPr>
            <w:rStyle w:val="Hyperlink"/>
            <w:rFonts w:ascii="StobiSerif Regular" w:eastAsia="Times New Roman" w:hAnsi="StobiSerif Regular" w:cs="Times New Roman"/>
            <w:b/>
            <w:bCs/>
            <w:noProof/>
          </w:rPr>
          <w:t>Излезни индикатори за М101</w:t>
        </w:r>
        <w:r w:rsidR="00181541">
          <w:rPr>
            <w:noProof/>
            <w:webHidden/>
          </w:rPr>
          <w:tab/>
        </w:r>
        <w:r w:rsidR="00181541">
          <w:rPr>
            <w:noProof/>
            <w:webHidden/>
          </w:rPr>
          <w:fldChar w:fldCharType="begin"/>
        </w:r>
        <w:r w:rsidR="00181541">
          <w:rPr>
            <w:noProof/>
            <w:webHidden/>
          </w:rPr>
          <w:instrText xml:space="preserve"> PAGEREF _Toc485394903 \h </w:instrText>
        </w:r>
        <w:r w:rsidR="00181541">
          <w:rPr>
            <w:noProof/>
            <w:webHidden/>
          </w:rPr>
        </w:r>
        <w:r w:rsidR="00181541">
          <w:rPr>
            <w:noProof/>
            <w:webHidden/>
          </w:rPr>
          <w:fldChar w:fldCharType="separate"/>
        </w:r>
        <w:r w:rsidR="00181541">
          <w:rPr>
            <w:noProof/>
            <w:webHidden/>
          </w:rPr>
          <w:t>25</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4" w:history="1">
        <w:r w:rsidR="00181541" w:rsidRPr="00FE5F17">
          <w:rPr>
            <w:rStyle w:val="Hyperlink"/>
            <w:rFonts w:ascii="StobiSerif Regular" w:eastAsia="Times New Roman" w:hAnsi="StobiSerif Regular" w:cs="Times New Roman"/>
            <w:b/>
            <w:noProof/>
            <w:lang w:eastAsia="zh-CN"/>
          </w:rPr>
          <w:t xml:space="preserve">Табела </w:t>
        </w:r>
        <w:r w:rsidR="00181541" w:rsidRPr="00FE5F17">
          <w:rPr>
            <w:rStyle w:val="Hyperlink"/>
            <w:rFonts w:ascii="StobiSerif Regular" w:eastAsia="Times New Roman" w:hAnsi="StobiSerif Regular" w:cs="Times New Roman"/>
            <w:b/>
            <w:noProof/>
            <w:lang w:val="en-GB" w:eastAsia="zh-CN"/>
          </w:rPr>
          <w:t xml:space="preserve">12: </w:t>
        </w:r>
        <w:r w:rsidR="00181541" w:rsidRPr="00FE5F17">
          <w:rPr>
            <w:rStyle w:val="Hyperlink"/>
            <w:rFonts w:ascii="StobiSerif Regular" w:hAnsi="StobiSerif Regular"/>
            <w:b/>
            <w:noProof/>
          </w:rPr>
          <w:t>Специфични индикатори според исплатени проекти во M101</w:t>
        </w:r>
        <w:r w:rsidR="00181541">
          <w:rPr>
            <w:noProof/>
            <w:webHidden/>
          </w:rPr>
          <w:tab/>
        </w:r>
        <w:r w:rsidR="00181541">
          <w:rPr>
            <w:noProof/>
            <w:webHidden/>
          </w:rPr>
          <w:fldChar w:fldCharType="begin"/>
        </w:r>
        <w:r w:rsidR="00181541">
          <w:rPr>
            <w:noProof/>
            <w:webHidden/>
          </w:rPr>
          <w:instrText xml:space="preserve"> PAGEREF _Toc485394904 \h </w:instrText>
        </w:r>
        <w:r w:rsidR="00181541">
          <w:rPr>
            <w:noProof/>
            <w:webHidden/>
          </w:rPr>
        </w:r>
        <w:r w:rsidR="00181541">
          <w:rPr>
            <w:noProof/>
            <w:webHidden/>
          </w:rPr>
          <w:fldChar w:fldCharType="separate"/>
        </w:r>
        <w:r w:rsidR="00181541">
          <w:rPr>
            <w:noProof/>
            <w:webHidden/>
          </w:rPr>
          <w:t>25</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5" w:history="1">
        <w:r w:rsidR="00181541" w:rsidRPr="00FE5F17">
          <w:rPr>
            <w:rStyle w:val="Hyperlink"/>
            <w:rFonts w:ascii="StobiSerif Regular" w:hAnsi="StobiSerif Regular"/>
            <w:b/>
            <w:noProof/>
          </w:rPr>
          <w:t>Табела 13:Преглед на спроведување на Мерка 103 по јавни повици</w:t>
        </w:r>
        <w:r w:rsidR="00181541">
          <w:rPr>
            <w:noProof/>
            <w:webHidden/>
          </w:rPr>
          <w:tab/>
        </w:r>
        <w:r w:rsidR="00181541">
          <w:rPr>
            <w:noProof/>
            <w:webHidden/>
          </w:rPr>
          <w:fldChar w:fldCharType="begin"/>
        </w:r>
        <w:r w:rsidR="00181541">
          <w:rPr>
            <w:noProof/>
            <w:webHidden/>
          </w:rPr>
          <w:instrText xml:space="preserve"> PAGEREF _Toc485394905 \h </w:instrText>
        </w:r>
        <w:r w:rsidR="00181541">
          <w:rPr>
            <w:noProof/>
            <w:webHidden/>
          </w:rPr>
        </w:r>
        <w:r w:rsidR="00181541">
          <w:rPr>
            <w:noProof/>
            <w:webHidden/>
          </w:rPr>
          <w:fldChar w:fldCharType="separate"/>
        </w:r>
        <w:r w:rsidR="00181541">
          <w:rPr>
            <w:noProof/>
            <w:webHidden/>
          </w:rPr>
          <w:t>27</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6" w:history="1">
        <w:r w:rsidR="00181541" w:rsidRPr="00FE5F17">
          <w:rPr>
            <w:rStyle w:val="Hyperlink"/>
            <w:rFonts w:ascii="StobiSerif Regular" w:eastAsia="Times New Roman" w:hAnsi="StobiSerif Regular" w:cs="Times New Roman"/>
            <w:b/>
            <w:noProof/>
            <w:lang w:eastAsia="zh-CN"/>
          </w:rPr>
          <w:t>Табле</w:t>
        </w:r>
        <w:r w:rsidR="00181541" w:rsidRPr="00FE5F17">
          <w:rPr>
            <w:rStyle w:val="Hyperlink"/>
            <w:rFonts w:ascii="StobiSerif Regular" w:eastAsia="Times New Roman" w:hAnsi="StobiSerif Regular" w:cs="Times New Roman"/>
            <w:b/>
            <w:noProof/>
            <w:lang w:val="en-GB" w:eastAsia="zh-CN"/>
          </w:rPr>
          <w:t xml:space="preserve"> 14: </w:t>
        </w:r>
        <w:r w:rsidR="00181541" w:rsidRPr="00FE5F17">
          <w:rPr>
            <w:rStyle w:val="Hyperlink"/>
            <w:rFonts w:ascii="StobiSerif Regular" w:hAnsi="StobiSerif Regular"/>
            <w:b/>
            <w:noProof/>
          </w:rPr>
          <w:t>Апликации по сектори</w:t>
        </w:r>
        <w:r w:rsidR="00181541" w:rsidRPr="00FE5F17">
          <w:rPr>
            <w:rStyle w:val="Hyperlink"/>
            <w:rFonts w:ascii="StobiSerif Regular" w:hAnsi="StobiSerif Regular"/>
            <w:b/>
            <w:noProof/>
            <w:lang w:val="en-US"/>
          </w:rPr>
          <w:t xml:space="preserve"> M103</w:t>
        </w:r>
        <w:r w:rsidR="00181541">
          <w:rPr>
            <w:noProof/>
            <w:webHidden/>
          </w:rPr>
          <w:tab/>
        </w:r>
        <w:r w:rsidR="00181541">
          <w:rPr>
            <w:noProof/>
            <w:webHidden/>
          </w:rPr>
          <w:fldChar w:fldCharType="begin"/>
        </w:r>
        <w:r w:rsidR="00181541">
          <w:rPr>
            <w:noProof/>
            <w:webHidden/>
          </w:rPr>
          <w:instrText xml:space="preserve"> PAGEREF _Toc485394906 \h </w:instrText>
        </w:r>
        <w:r w:rsidR="00181541">
          <w:rPr>
            <w:noProof/>
            <w:webHidden/>
          </w:rPr>
        </w:r>
        <w:r w:rsidR="00181541">
          <w:rPr>
            <w:noProof/>
            <w:webHidden/>
          </w:rPr>
          <w:fldChar w:fldCharType="separate"/>
        </w:r>
        <w:r w:rsidR="00181541">
          <w:rPr>
            <w:noProof/>
            <w:webHidden/>
          </w:rPr>
          <w:t>28</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7"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15: </w:t>
        </w:r>
        <w:r w:rsidR="00181541" w:rsidRPr="00FE5F17">
          <w:rPr>
            <w:rStyle w:val="Hyperlink"/>
            <w:rFonts w:ascii="StobiSerif Regular" w:hAnsi="StobiSerif Regular"/>
            <w:b/>
            <w:noProof/>
          </w:rPr>
          <w:t>Реализација по тип на инвестиција во</w:t>
        </w:r>
        <w:r w:rsidR="00181541" w:rsidRPr="00FE5F17">
          <w:rPr>
            <w:rStyle w:val="Hyperlink"/>
            <w:rFonts w:ascii="StobiSerif Regular" w:hAnsi="StobiSerif Regular"/>
            <w:b/>
            <w:noProof/>
            <w:lang w:val="en-US"/>
          </w:rPr>
          <w:t xml:space="preserve"> M103</w:t>
        </w:r>
        <w:r w:rsidR="00181541">
          <w:rPr>
            <w:noProof/>
            <w:webHidden/>
          </w:rPr>
          <w:tab/>
        </w:r>
        <w:r w:rsidR="00181541">
          <w:rPr>
            <w:noProof/>
            <w:webHidden/>
          </w:rPr>
          <w:fldChar w:fldCharType="begin"/>
        </w:r>
        <w:r w:rsidR="00181541">
          <w:rPr>
            <w:noProof/>
            <w:webHidden/>
          </w:rPr>
          <w:instrText xml:space="preserve"> PAGEREF _Toc485394907 \h </w:instrText>
        </w:r>
        <w:r w:rsidR="00181541">
          <w:rPr>
            <w:noProof/>
            <w:webHidden/>
          </w:rPr>
        </w:r>
        <w:r w:rsidR="00181541">
          <w:rPr>
            <w:noProof/>
            <w:webHidden/>
          </w:rPr>
          <w:fldChar w:fldCharType="separate"/>
        </w:r>
        <w:r w:rsidR="00181541">
          <w:rPr>
            <w:noProof/>
            <w:webHidden/>
          </w:rPr>
          <w:t>28</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8"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16: </w:t>
        </w:r>
        <w:r w:rsidR="00181541" w:rsidRPr="00FE5F17">
          <w:rPr>
            <w:rStyle w:val="Hyperlink"/>
            <w:rFonts w:ascii="StobiSerif Regular" w:eastAsia="Times New Roman" w:hAnsi="StobiSerif Regular" w:cs="Times New Roman"/>
            <w:b/>
            <w:bCs/>
            <w:noProof/>
            <w:lang w:val="en-US"/>
          </w:rPr>
          <w:t>Показатели на квалитет на апликации на Мерка 103</w:t>
        </w:r>
        <w:r w:rsidR="00181541">
          <w:rPr>
            <w:noProof/>
            <w:webHidden/>
          </w:rPr>
          <w:tab/>
        </w:r>
        <w:r w:rsidR="00181541">
          <w:rPr>
            <w:noProof/>
            <w:webHidden/>
          </w:rPr>
          <w:fldChar w:fldCharType="begin"/>
        </w:r>
        <w:r w:rsidR="00181541">
          <w:rPr>
            <w:noProof/>
            <w:webHidden/>
          </w:rPr>
          <w:instrText xml:space="preserve"> PAGEREF _Toc485394908 \h </w:instrText>
        </w:r>
        <w:r w:rsidR="00181541">
          <w:rPr>
            <w:noProof/>
            <w:webHidden/>
          </w:rPr>
        </w:r>
        <w:r w:rsidR="00181541">
          <w:rPr>
            <w:noProof/>
            <w:webHidden/>
          </w:rPr>
          <w:fldChar w:fldCharType="separate"/>
        </w:r>
        <w:r w:rsidR="00181541">
          <w:rPr>
            <w:noProof/>
            <w:webHidden/>
          </w:rPr>
          <w:t>29</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09"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17: </w:t>
        </w:r>
        <w:r w:rsidR="00181541" w:rsidRPr="00FE5F17">
          <w:rPr>
            <w:rStyle w:val="Hyperlink"/>
            <w:rFonts w:ascii="StobiSerif Regular" w:eastAsia="Times New Roman" w:hAnsi="StobiSerif Regular" w:cs="Times New Roman"/>
            <w:b/>
            <w:bCs/>
            <w:noProof/>
            <w:lang w:val="en-US"/>
          </w:rPr>
          <w:t>Излезни индикатори за М103</w:t>
        </w:r>
        <w:r w:rsidR="00181541">
          <w:rPr>
            <w:noProof/>
            <w:webHidden/>
          </w:rPr>
          <w:tab/>
        </w:r>
        <w:r w:rsidR="00181541">
          <w:rPr>
            <w:noProof/>
            <w:webHidden/>
          </w:rPr>
          <w:fldChar w:fldCharType="begin"/>
        </w:r>
        <w:r w:rsidR="00181541">
          <w:rPr>
            <w:noProof/>
            <w:webHidden/>
          </w:rPr>
          <w:instrText xml:space="preserve"> PAGEREF _Toc485394909 \h </w:instrText>
        </w:r>
        <w:r w:rsidR="00181541">
          <w:rPr>
            <w:noProof/>
            <w:webHidden/>
          </w:rPr>
        </w:r>
        <w:r w:rsidR="00181541">
          <w:rPr>
            <w:noProof/>
            <w:webHidden/>
          </w:rPr>
          <w:fldChar w:fldCharType="separate"/>
        </w:r>
        <w:r w:rsidR="00181541">
          <w:rPr>
            <w:noProof/>
            <w:webHidden/>
          </w:rPr>
          <w:t>29</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0"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18: </w:t>
        </w:r>
        <w:r w:rsidR="00181541" w:rsidRPr="00FE5F17">
          <w:rPr>
            <w:rStyle w:val="Hyperlink"/>
            <w:rFonts w:ascii="StobiSerif Regular" w:hAnsi="StobiSerif Regular"/>
            <w:b/>
            <w:noProof/>
          </w:rPr>
          <w:t>Специфичните индикатори според исплатени проекти во M103</w:t>
        </w:r>
        <w:r w:rsidR="00181541">
          <w:rPr>
            <w:noProof/>
            <w:webHidden/>
          </w:rPr>
          <w:tab/>
        </w:r>
        <w:r w:rsidR="00181541">
          <w:rPr>
            <w:noProof/>
            <w:webHidden/>
          </w:rPr>
          <w:fldChar w:fldCharType="begin"/>
        </w:r>
        <w:r w:rsidR="00181541">
          <w:rPr>
            <w:noProof/>
            <w:webHidden/>
          </w:rPr>
          <w:instrText xml:space="preserve"> PAGEREF _Toc485394910 \h </w:instrText>
        </w:r>
        <w:r w:rsidR="00181541">
          <w:rPr>
            <w:noProof/>
            <w:webHidden/>
          </w:rPr>
        </w:r>
        <w:r w:rsidR="00181541">
          <w:rPr>
            <w:noProof/>
            <w:webHidden/>
          </w:rPr>
          <w:fldChar w:fldCharType="separate"/>
        </w:r>
        <w:r w:rsidR="00181541">
          <w:rPr>
            <w:noProof/>
            <w:webHidden/>
          </w:rPr>
          <w:t>29</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1"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19: </w:t>
        </w:r>
        <w:r w:rsidR="00181541" w:rsidRPr="00FE5F17">
          <w:rPr>
            <w:rStyle w:val="Hyperlink"/>
            <w:rFonts w:ascii="StobiSerif Regular" w:hAnsi="StobiSerif Regular"/>
            <w:b/>
            <w:noProof/>
          </w:rPr>
          <w:t>Преглед на спроведување на Мерка 302 по јавни повици</w:t>
        </w:r>
        <w:r w:rsidR="00181541">
          <w:rPr>
            <w:noProof/>
            <w:webHidden/>
          </w:rPr>
          <w:tab/>
        </w:r>
        <w:r w:rsidR="00181541">
          <w:rPr>
            <w:noProof/>
            <w:webHidden/>
          </w:rPr>
          <w:fldChar w:fldCharType="begin"/>
        </w:r>
        <w:r w:rsidR="00181541">
          <w:rPr>
            <w:noProof/>
            <w:webHidden/>
          </w:rPr>
          <w:instrText xml:space="preserve"> PAGEREF _Toc485394911 \h </w:instrText>
        </w:r>
        <w:r w:rsidR="00181541">
          <w:rPr>
            <w:noProof/>
            <w:webHidden/>
          </w:rPr>
        </w:r>
        <w:r w:rsidR="00181541">
          <w:rPr>
            <w:noProof/>
            <w:webHidden/>
          </w:rPr>
          <w:fldChar w:fldCharType="separate"/>
        </w:r>
        <w:r w:rsidR="00181541">
          <w:rPr>
            <w:noProof/>
            <w:webHidden/>
          </w:rPr>
          <w:t>30</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2"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20: </w:t>
        </w:r>
        <w:r w:rsidR="00181541" w:rsidRPr="00FE5F17">
          <w:rPr>
            <w:rStyle w:val="Hyperlink"/>
            <w:rFonts w:ascii="StobiSerif Regular" w:hAnsi="StobiSerif Regular"/>
            <w:b/>
            <w:noProof/>
          </w:rPr>
          <w:t>Квалитативна анализа по приоритетен сектор во M302</w:t>
        </w:r>
        <w:r w:rsidR="00181541">
          <w:rPr>
            <w:noProof/>
            <w:webHidden/>
          </w:rPr>
          <w:tab/>
        </w:r>
        <w:r w:rsidR="00181541">
          <w:rPr>
            <w:noProof/>
            <w:webHidden/>
          </w:rPr>
          <w:fldChar w:fldCharType="begin"/>
        </w:r>
        <w:r w:rsidR="00181541">
          <w:rPr>
            <w:noProof/>
            <w:webHidden/>
          </w:rPr>
          <w:instrText xml:space="preserve"> PAGEREF _Toc485394912 \h </w:instrText>
        </w:r>
        <w:r w:rsidR="00181541">
          <w:rPr>
            <w:noProof/>
            <w:webHidden/>
          </w:rPr>
        </w:r>
        <w:r w:rsidR="00181541">
          <w:rPr>
            <w:noProof/>
            <w:webHidden/>
          </w:rPr>
          <w:fldChar w:fldCharType="separate"/>
        </w:r>
        <w:r w:rsidR="00181541">
          <w:rPr>
            <w:noProof/>
            <w:webHidden/>
          </w:rPr>
          <w:t>31</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3" w:history="1">
        <w:r w:rsidR="00181541" w:rsidRPr="00FE5F17">
          <w:rPr>
            <w:rStyle w:val="Hyperlink"/>
            <w:rFonts w:ascii="StobiSerif Regular" w:eastAsia="Times New Roman" w:hAnsi="StobiSerif Regular" w:cs="Times New Roman"/>
            <w:b/>
            <w:noProof/>
            <w:lang w:eastAsia="en-GB"/>
          </w:rPr>
          <w:t>Табела</w:t>
        </w:r>
        <w:r w:rsidR="00181541" w:rsidRPr="00FE5F17">
          <w:rPr>
            <w:rStyle w:val="Hyperlink"/>
            <w:rFonts w:ascii="StobiSerif Regular" w:eastAsia="Times New Roman" w:hAnsi="StobiSerif Regular" w:cs="Times New Roman"/>
            <w:b/>
            <w:noProof/>
            <w:lang w:val="en-GB" w:eastAsia="en-GB"/>
          </w:rPr>
          <w:t xml:space="preserve"> 21</w:t>
        </w:r>
        <w:r w:rsidR="00181541" w:rsidRPr="00FE5F17">
          <w:rPr>
            <w:rStyle w:val="Hyperlink"/>
            <w:rFonts w:ascii="StobiSerif Regular" w:eastAsia="Times New Roman" w:hAnsi="StobiSerif Regular" w:cs="Times New Roman"/>
            <w:b/>
            <w:bCs/>
            <w:noProof/>
          </w:rPr>
          <w:t>:</w:t>
        </w:r>
        <w:r w:rsidR="00181541" w:rsidRPr="00FE5F17">
          <w:rPr>
            <w:rStyle w:val="Hyperlink"/>
            <w:b/>
            <w:noProof/>
          </w:rPr>
          <w:t xml:space="preserve"> </w:t>
        </w:r>
        <w:r w:rsidR="00181541" w:rsidRPr="00FE5F17">
          <w:rPr>
            <w:rStyle w:val="Hyperlink"/>
            <w:rFonts w:ascii="StobiSerif Regular" w:eastAsia="Times New Roman" w:hAnsi="StobiSerif Regular" w:cs="Times New Roman"/>
            <w:b/>
            <w:bCs/>
            <w:noProof/>
            <w:lang w:val="en-US"/>
          </w:rPr>
          <w:t>Показатели на квалитет на апликации на Мерка 302</w:t>
        </w:r>
        <w:r w:rsidR="00181541">
          <w:rPr>
            <w:noProof/>
            <w:webHidden/>
          </w:rPr>
          <w:tab/>
        </w:r>
        <w:r w:rsidR="00181541">
          <w:rPr>
            <w:noProof/>
            <w:webHidden/>
          </w:rPr>
          <w:fldChar w:fldCharType="begin"/>
        </w:r>
        <w:r w:rsidR="00181541">
          <w:rPr>
            <w:noProof/>
            <w:webHidden/>
          </w:rPr>
          <w:instrText xml:space="preserve"> PAGEREF _Toc485394913 \h </w:instrText>
        </w:r>
        <w:r w:rsidR="00181541">
          <w:rPr>
            <w:noProof/>
            <w:webHidden/>
          </w:rPr>
        </w:r>
        <w:r w:rsidR="00181541">
          <w:rPr>
            <w:noProof/>
            <w:webHidden/>
          </w:rPr>
          <w:fldChar w:fldCharType="separate"/>
        </w:r>
        <w:r w:rsidR="00181541">
          <w:rPr>
            <w:noProof/>
            <w:webHidden/>
          </w:rPr>
          <w:t>32</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4"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22: </w:t>
        </w:r>
        <w:r w:rsidR="00181541" w:rsidRPr="00FE5F17">
          <w:rPr>
            <w:rStyle w:val="Hyperlink"/>
            <w:rFonts w:ascii="StobiSerif Regular" w:eastAsia="Times New Roman" w:hAnsi="StobiSerif Regular" w:cs="Times New Roman"/>
            <w:b/>
            <w:bCs/>
            <w:noProof/>
          </w:rPr>
          <w:t>Излезни индикатори во</w:t>
        </w:r>
        <w:r w:rsidR="00181541" w:rsidRPr="00FE5F17">
          <w:rPr>
            <w:rStyle w:val="Hyperlink"/>
            <w:rFonts w:ascii="StobiSerif Regular" w:eastAsia="Times New Roman" w:hAnsi="StobiSerif Regular" w:cs="Times New Roman"/>
            <w:b/>
            <w:bCs/>
            <w:noProof/>
            <w:lang w:val="en-US"/>
          </w:rPr>
          <w:t xml:space="preserve"> M302</w:t>
        </w:r>
        <w:r w:rsidR="00181541">
          <w:rPr>
            <w:noProof/>
            <w:webHidden/>
          </w:rPr>
          <w:tab/>
        </w:r>
        <w:r w:rsidR="00181541">
          <w:rPr>
            <w:noProof/>
            <w:webHidden/>
          </w:rPr>
          <w:fldChar w:fldCharType="begin"/>
        </w:r>
        <w:r w:rsidR="00181541">
          <w:rPr>
            <w:noProof/>
            <w:webHidden/>
          </w:rPr>
          <w:instrText xml:space="preserve"> PAGEREF _Toc485394914 \h </w:instrText>
        </w:r>
        <w:r w:rsidR="00181541">
          <w:rPr>
            <w:noProof/>
            <w:webHidden/>
          </w:rPr>
        </w:r>
        <w:r w:rsidR="00181541">
          <w:rPr>
            <w:noProof/>
            <w:webHidden/>
          </w:rPr>
          <w:fldChar w:fldCharType="separate"/>
        </w:r>
        <w:r w:rsidR="00181541">
          <w:rPr>
            <w:noProof/>
            <w:webHidden/>
          </w:rPr>
          <w:t>32</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5"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23: </w:t>
        </w:r>
        <w:r w:rsidR="00181541" w:rsidRPr="00FE5F17">
          <w:rPr>
            <w:rStyle w:val="Hyperlink"/>
            <w:rFonts w:ascii="StobiSerif Regular" w:hAnsi="StobiSerif Regular"/>
            <w:b/>
            <w:noProof/>
          </w:rPr>
          <w:t>Специфичните индикатори според исплатени проекти во М 302</w:t>
        </w:r>
        <w:r w:rsidR="00181541">
          <w:rPr>
            <w:noProof/>
            <w:webHidden/>
          </w:rPr>
          <w:tab/>
        </w:r>
        <w:r w:rsidR="00181541">
          <w:rPr>
            <w:noProof/>
            <w:webHidden/>
          </w:rPr>
          <w:fldChar w:fldCharType="begin"/>
        </w:r>
        <w:r w:rsidR="00181541">
          <w:rPr>
            <w:noProof/>
            <w:webHidden/>
          </w:rPr>
          <w:instrText xml:space="preserve"> PAGEREF _Toc485394915 \h </w:instrText>
        </w:r>
        <w:r w:rsidR="00181541">
          <w:rPr>
            <w:noProof/>
            <w:webHidden/>
          </w:rPr>
        </w:r>
        <w:r w:rsidR="00181541">
          <w:rPr>
            <w:noProof/>
            <w:webHidden/>
          </w:rPr>
          <w:fldChar w:fldCharType="separate"/>
        </w:r>
        <w:r w:rsidR="00181541">
          <w:rPr>
            <w:noProof/>
            <w:webHidden/>
          </w:rPr>
          <w:t>33</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6" w:history="1">
        <w:r w:rsidR="00181541" w:rsidRPr="00FE5F17">
          <w:rPr>
            <w:rStyle w:val="Hyperlink"/>
            <w:rFonts w:ascii="StobiSerif Regular" w:eastAsia="Times New Roman" w:hAnsi="StobiSerif Regular" w:cs="Times New Roman"/>
            <w:b/>
            <w:noProof/>
            <w:lang w:val="en-GB" w:eastAsia="zh-CN"/>
          </w:rPr>
          <w:t xml:space="preserve">Table 24: </w:t>
        </w:r>
        <w:r w:rsidR="00181541" w:rsidRPr="00FE5F17">
          <w:rPr>
            <w:rStyle w:val="Hyperlink"/>
            <w:rFonts w:ascii="StobiSerif Regular" w:eastAsia="Times New Roman" w:hAnsi="StobiSerif Regular" w:cs="Times New Roman"/>
            <w:b/>
            <w:bCs/>
            <w:noProof/>
            <w:lang w:val="en-US"/>
          </w:rPr>
          <w:t xml:space="preserve">Финансиско спроведување по оски и мерки </w:t>
        </w:r>
        <w:r w:rsidR="00181541" w:rsidRPr="00FE5F17">
          <w:rPr>
            <w:rStyle w:val="Hyperlink"/>
            <w:rFonts w:ascii="StobiSerif Regular" w:hAnsi="StobiSerif Regular"/>
            <w:b/>
            <w:bCs/>
            <w:noProof/>
            <w:lang w:val="en-GB"/>
          </w:rPr>
          <w:t>(</w:t>
        </w:r>
        <w:r w:rsidR="00181541" w:rsidRPr="00FE5F17">
          <w:rPr>
            <w:rStyle w:val="Hyperlink"/>
            <w:rFonts w:ascii="StobiSerif Regular" w:hAnsi="StobiSerif Regular"/>
            <w:b/>
            <w:bCs/>
            <w:noProof/>
          </w:rPr>
          <w:t>во €</w:t>
        </w:r>
        <w:r w:rsidR="00181541" w:rsidRPr="00FE5F17">
          <w:rPr>
            <w:rStyle w:val="Hyperlink"/>
            <w:rFonts w:ascii="StobiSerif Regular" w:hAnsi="StobiSerif Regular"/>
            <w:b/>
            <w:bCs/>
            <w:noProof/>
            <w:lang w:val="en-GB"/>
          </w:rPr>
          <w:t>)</w:t>
        </w:r>
        <w:r w:rsidR="00181541">
          <w:rPr>
            <w:noProof/>
            <w:webHidden/>
          </w:rPr>
          <w:tab/>
        </w:r>
        <w:r w:rsidR="00181541">
          <w:rPr>
            <w:noProof/>
            <w:webHidden/>
          </w:rPr>
          <w:fldChar w:fldCharType="begin"/>
        </w:r>
        <w:r w:rsidR="00181541">
          <w:rPr>
            <w:noProof/>
            <w:webHidden/>
          </w:rPr>
          <w:instrText xml:space="preserve"> PAGEREF _Toc485394916 \h </w:instrText>
        </w:r>
        <w:r w:rsidR="00181541">
          <w:rPr>
            <w:noProof/>
            <w:webHidden/>
          </w:rPr>
        </w:r>
        <w:r w:rsidR="00181541">
          <w:rPr>
            <w:noProof/>
            <w:webHidden/>
          </w:rPr>
          <w:fldChar w:fldCharType="separate"/>
        </w:r>
        <w:r w:rsidR="00181541">
          <w:rPr>
            <w:noProof/>
            <w:webHidden/>
          </w:rPr>
          <w:t>34</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7" w:history="1">
        <w:r w:rsidR="00181541" w:rsidRPr="00FE5F17">
          <w:rPr>
            <w:rStyle w:val="Hyperlink"/>
            <w:rFonts w:ascii="StobiSerif Regular" w:eastAsia="Times New Roman" w:hAnsi="StobiSerif Regular" w:cs="Times New Roman"/>
            <w:b/>
            <w:noProof/>
            <w:lang w:eastAsia="zh-CN"/>
          </w:rPr>
          <w:t>Табела</w:t>
        </w:r>
        <w:r w:rsidR="00181541" w:rsidRPr="00FE5F17">
          <w:rPr>
            <w:rStyle w:val="Hyperlink"/>
            <w:rFonts w:ascii="StobiSerif Regular" w:eastAsia="Times New Roman" w:hAnsi="StobiSerif Regular" w:cs="Times New Roman"/>
            <w:b/>
            <w:noProof/>
            <w:lang w:val="en-GB" w:eastAsia="zh-CN"/>
          </w:rPr>
          <w:t xml:space="preserve"> 25: </w:t>
        </w:r>
        <w:r w:rsidR="00181541" w:rsidRPr="00FE5F17">
          <w:rPr>
            <w:rStyle w:val="Hyperlink"/>
            <w:rFonts w:ascii="StobiSerif Regular" w:hAnsi="StobiSerif Regular"/>
            <w:b/>
            <w:noProof/>
            <w:lang w:val="en-US"/>
          </w:rPr>
          <w:t>Спроведување на финансиски цели во М101</w:t>
        </w:r>
        <w:r w:rsidR="00181541">
          <w:rPr>
            <w:noProof/>
            <w:webHidden/>
          </w:rPr>
          <w:tab/>
        </w:r>
        <w:r w:rsidR="00181541">
          <w:rPr>
            <w:noProof/>
            <w:webHidden/>
          </w:rPr>
          <w:fldChar w:fldCharType="begin"/>
        </w:r>
        <w:r w:rsidR="00181541">
          <w:rPr>
            <w:noProof/>
            <w:webHidden/>
          </w:rPr>
          <w:instrText xml:space="preserve"> PAGEREF _Toc485394917 \h </w:instrText>
        </w:r>
        <w:r w:rsidR="00181541">
          <w:rPr>
            <w:noProof/>
            <w:webHidden/>
          </w:rPr>
        </w:r>
        <w:r w:rsidR="00181541">
          <w:rPr>
            <w:noProof/>
            <w:webHidden/>
          </w:rPr>
          <w:fldChar w:fldCharType="separate"/>
        </w:r>
        <w:r w:rsidR="00181541">
          <w:rPr>
            <w:noProof/>
            <w:webHidden/>
          </w:rPr>
          <w:t>35</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8" w:history="1">
        <w:r w:rsidR="00181541" w:rsidRPr="00FE5F17">
          <w:rPr>
            <w:rStyle w:val="Hyperlink"/>
            <w:rFonts w:ascii="StobiSerif Regular" w:eastAsia="Times New Roman" w:hAnsi="StobiSerif Regular" w:cs="Times New Roman"/>
            <w:b/>
            <w:bCs/>
            <w:noProof/>
          </w:rPr>
          <w:t>Табела</w:t>
        </w:r>
        <w:r w:rsidR="00181541" w:rsidRPr="00FE5F17">
          <w:rPr>
            <w:rStyle w:val="Hyperlink"/>
            <w:rFonts w:ascii="StobiSerif Regular" w:eastAsia="Times New Roman" w:hAnsi="StobiSerif Regular" w:cs="Times New Roman"/>
            <w:b/>
            <w:bCs/>
            <w:noProof/>
            <w:lang w:val="en-US"/>
          </w:rPr>
          <w:t xml:space="preserve"> 26: </w:t>
        </w:r>
        <w:r w:rsidR="00181541" w:rsidRPr="00FE5F17">
          <w:rPr>
            <w:rStyle w:val="Hyperlink"/>
            <w:rFonts w:ascii="StobiSerif Regular" w:hAnsi="StobiSerif Regular"/>
            <w:b/>
            <w:noProof/>
          </w:rPr>
          <w:t>Спроведување на финансиски цели во М103</w:t>
        </w:r>
        <w:r w:rsidR="00181541">
          <w:rPr>
            <w:noProof/>
            <w:webHidden/>
          </w:rPr>
          <w:tab/>
        </w:r>
        <w:r w:rsidR="00181541">
          <w:rPr>
            <w:noProof/>
            <w:webHidden/>
          </w:rPr>
          <w:fldChar w:fldCharType="begin"/>
        </w:r>
        <w:r w:rsidR="00181541">
          <w:rPr>
            <w:noProof/>
            <w:webHidden/>
          </w:rPr>
          <w:instrText xml:space="preserve"> PAGEREF _Toc485394918 \h </w:instrText>
        </w:r>
        <w:r w:rsidR="00181541">
          <w:rPr>
            <w:noProof/>
            <w:webHidden/>
          </w:rPr>
        </w:r>
        <w:r w:rsidR="00181541">
          <w:rPr>
            <w:noProof/>
            <w:webHidden/>
          </w:rPr>
          <w:fldChar w:fldCharType="separate"/>
        </w:r>
        <w:r w:rsidR="00181541">
          <w:rPr>
            <w:noProof/>
            <w:webHidden/>
          </w:rPr>
          <w:t>35</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19" w:history="1">
        <w:r w:rsidR="00181541" w:rsidRPr="00FE5F17">
          <w:rPr>
            <w:rStyle w:val="Hyperlink"/>
            <w:rFonts w:ascii="StobiSerif Regular" w:hAnsi="StobiSerif Regular"/>
            <w:b/>
            <w:noProof/>
          </w:rPr>
          <w:t xml:space="preserve">Табела 27: </w:t>
        </w:r>
        <w:r w:rsidR="00181541" w:rsidRPr="00FE5F17">
          <w:rPr>
            <w:rStyle w:val="Hyperlink"/>
            <w:rFonts w:ascii="StobiSerif Regular" w:eastAsia="Times New Roman" w:hAnsi="StobiSerif Regular" w:cs="Times New Roman"/>
            <w:b/>
            <w:bCs/>
            <w:noProof/>
          </w:rPr>
          <w:t>Спроведување на финансиски цели во М302</w:t>
        </w:r>
        <w:r w:rsidR="00181541">
          <w:rPr>
            <w:noProof/>
            <w:webHidden/>
          </w:rPr>
          <w:tab/>
        </w:r>
        <w:r w:rsidR="00181541">
          <w:rPr>
            <w:noProof/>
            <w:webHidden/>
          </w:rPr>
          <w:fldChar w:fldCharType="begin"/>
        </w:r>
        <w:r w:rsidR="00181541">
          <w:rPr>
            <w:noProof/>
            <w:webHidden/>
          </w:rPr>
          <w:instrText xml:space="preserve"> PAGEREF _Toc485394919 \h </w:instrText>
        </w:r>
        <w:r w:rsidR="00181541">
          <w:rPr>
            <w:noProof/>
            <w:webHidden/>
          </w:rPr>
        </w:r>
        <w:r w:rsidR="00181541">
          <w:rPr>
            <w:noProof/>
            <w:webHidden/>
          </w:rPr>
          <w:fldChar w:fldCharType="separate"/>
        </w:r>
        <w:r w:rsidR="00181541">
          <w:rPr>
            <w:noProof/>
            <w:webHidden/>
          </w:rPr>
          <w:t>36</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20" w:history="1">
        <w:r w:rsidR="00181541" w:rsidRPr="00FE5F17">
          <w:rPr>
            <w:rStyle w:val="Hyperlink"/>
            <w:rFonts w:ascii="StobiSerif Regular" w:eastAsia="Times New Roman" w:hAnsi="StobiSerif Regular" w:cs="Times New Roman"/>
            <w:b/>
            <w:noProof/>
            <w:lang w:eastAsia="en-GB"/>
          </w:rPr>
          <w:t xml:space="preserve">Табела </w:t>
        </w:r>
        <w:r w:rsidR="00181541" w:rsidRPr="00FE5F17">
          <w:rPr>
            <w:rStyle w:val="Hyperlink"/>
            <w:rFonts w:ascii="StobiSerif Regular" w:eastAsia="Times New Roman" w:hAnsi="StobiSerif Regular" w:cs="Times New Roman"/>
            <w:b/>
            <w:noProof/>
            <w:lang w:val="en-GB" w:eastAsia="en-GB"/>
          </w:rPr>
          <w:t>29</w:t>
        </w:r>
        <w:r w:rsidR="00181541" w:rsidRPr="00FE5F17">
          <w:rPr>
            <w:rStyle w:val="Hyperlink"/>
            <w:rFonts w:ascii="StobiSerif Regular" w:eastAsia="Times New Roman" w:hAnsi="StobiSerif Regular" w:cs="Arial"/>
            <w:b/>
            <w:noProof/>
            <w:lang w:val="en-US" w:eastAsia="zh-CN"/>
          </w:rPr>
          <w:t xml:space="preserve">: </w:t>
        </w:r>
        <w:r w:rsidR="00181541" w:rsidRPr="00FE5F17">
          <w:rPr>
            <w:rStyle w:val="Hyperlink"/>
            <w:rFonts w:ascii="StobiSerif Regular" w:eastAsia="Times New Roman" w:hAnsi="StobiSerif Regular" w:cs="Arial"/>
            <w:b/>
            <w:noProof/>
            <w:lang w:eastAsia="zh-CN"/>
          </w:rPr>
          <w:t>Број на проекти по региони и мерки</w:t>
        </w:r>
        <w:r w:rsidR="00181541">
          <w:rPr>
            <w:noProof/>
            <w:webHidden/>
          </w:rPr>
          <w:tab/>
        </w:r>
        <w:r w:rsidR="00181541">
          <w:rPr>
            <w:noProof/>
            <w:webHidden/>
          </w:rPr>
          <w:fldChar w:fldCharType="begin"/>
        </w:r>
        <w:r w:rsidR="00181541">
          <w:rPr>
            <w:noProof/>
            <w:webHidden/>
          </w:rPr>
          <w:instrText xml:space="preserve"> PAGEREF _Toc485394920 \h </w:instrText>
        </w:r>
        <w:r w:rsidR="00181541">
          <w:rPr>
            <w:noProof/>
            <w:webHidden/>
          </w:rPr>
        </w:r>
        <w:r w:rsidR="00181541">
          <w:rPr>
            <w:noProof/>
            <w:webHidden/>
          </w:rPr>
          <w:fldChar w:fldCharType="separate"/>
        </w:r>
        <w:r w:rsidR="00181541">
          <w:rPr>
            <w:noProof/>
            <w:webHidden/>
          </w:rPr>
          <w:t>37</w:t>
        </w:r>
        <w:r w:rsidR="00181541">
          <w:rPr>
            <w:noProof/>
            <w:webHidden/>
          </w:rPr>
          <w:fldChar w:fldCharType="end"/>
        </w:r>
      </w:hyperlink>
    </w:p>
    <w:p w:rsidR="00181541" w:rsidRDefault="00762162">
      <w:pPr>
        <w:pStyle w:val="TableofFigures"/>
        <w:tabs>
          <w:tab w:val="right" w:leader="dot" w:pos="9488"/>
        </w:tabs>
        <w:rPr>
          <w:rFonts w:eastAsiaTheme="minorEastAsia"/>
          <w:noProof/>
          <w:lang w:eastAsia="mk-MK"/>
        </w:rPr>
      </w:pPr>
      <w:hyperlink w:anchor="_Toc485394921" w:history="1">
        <w:r w:rsidR="00181541" w:rsidRPr="00FE5F17">
          <w:rPr>
            <w:rStyle w:val="Hyperlink"/>
            <w:rFonts w:ascii="StobiSerif Regular" w:eastAsia="Times New Roman" w:hAnsi="StobiSerif Regular" w:cs="Times New Roman"/>
            <w:b/>
            <w:noProof/>
            <w:lang w:eastAsia="en-GB"/>
          </w:rPr>
          <w:t>Табле</w:t>
        </w:r>
        <w:r w:rsidR="00181541" w:rsidRPr="00FE5F17">
          <w:rPr>
            <w:rStyle w:val="Hyperlink"/>
            <w:rFonts w:ascii="StobiSerif Regular" w:eastAsia="Times New Roman" w:hAnsi="StobiSerif Regular" w:cs="Times New Roman"/>
            <w:b/>
            <w:noProof/>
            <w:lang w:val="en-GB" w:eastAsia="en-GB"/>
          </w:rPr>
          <w:t xml:space="preserve"> 30</w:t>
        </w:r>
        <w:r w:rsidR="00181541" w:rsidRPr="00FE5F17">
          <w:rPr>
            <w:rStyle w:val="Hyperlink"/>
            <w:rFonts w:ascii="StobiSerif Regular" w:eastAsia="Times New Roman" w:hAnsi="StobiSerif Regular" w:cs="Arial"/>
            <w:b/>
            <w:noProof/>
            <w:lang w:val="en-US" w:eastAsia="zh-CN"/>
          </w:rPr>
          <w:t xml:space="preserve">: </w:t>
        </w:r>
        <w:r w:rsidR="00181541" w:rsidRPr="00FE5F17">
          <w:rPr>
            <w:rStyle w:val="Hyperlink"/>
            <w:rFonts w:ascii="StobiSerif Regular" w:eastAsia="Times New Roman" w:hAnsi="StobiSerif Regular" w:cs="Arial"/>
            <w:b/>
            <w:noProof/>
            <w:lang w:eastAsia="zh-CN"/>
          </w:rPr>
          <w:t>Исплатени суми по региони и мерки</w:t>
        </w:r>
        <w:r w:rsidR="00181541">
          <w:rPr>
            <w:noProof/>
            <w:webHidden/>
          </w:rPr>
          <w:tab/>
        </w:r>
        <w:r w:rsidR="00181541">
          <w:rPr>
            <w:noProof/>
            <w:webHidden/>
          </w:rPr>
          <w:fldChar w:fldCharType="begin"/>
        </w:r>
        <w:r w:rsidR="00181541">
          <w:rPr>
            <w:noProof/>
            <w:webHidden/>
          </w:rPr>
          <w:instrText xml:space="preserve"> PAGEREF _Toc485394921 \h </w:instrText>
        </w:r>
        <w:r w:rsidR="00181541">
          <w:rPr>
            <w:noProof/>
            <w:webHidden/>
          </w:rPr>
        </w:r>
        <w:r w:rsidR="00181541">
          <w:rPr>
            <w:noProof/>
            <w:webHidden/>
          </w:rPr>
          <w:fldChar w:fldCharType="separate"/>
        </w:r>
        <w:r w:rsidR="00181541">
          <w:rPr>
            <w:noProof/>
            <w:webHidden/>
          </w:rPr>
          <w:t>37</w:t>
        </w:r>
        <w:r w:rsidR="00181541">
          <w:rPr>
            <w:noProof/>
            <w:webHidden/>
          </w:rPr>
          <w:fldChar w:fldCharType="end"/>
        </w:r>
      </w:hyperlink>
    </w:p>
    <w:p w:rsidR="00590304" w:rsidRDefault="00CE7802" w:rsidP="00590304">
      <w:pPr>
        <w:tabs>
          <w:tab w:val="left" w:pos="3469"/>
        </w:tabs>
        <w:rPr>
          <w:lang w:val="en-US"/>
        </w:rPr>
      </w:pPr>
      <w:r>
        <w:rPr>
          <w:lang w:val="en-US"/>
        </w:rPr>
        <w:fldChar w:fldCharType="end"/>
      </w:r>
    </w:p>
    <w:p w:rsidR="00590304" w:rsidRDefault="00590304" w:rsidP="00590304">
      <w:pPr>
        <w:tabs>
          <w:tab w:val="left" w:pos="3469"/>
        </w:tabs>
        <w:rPr>
          <w:lang w:val="en-US"/>
        </w:rPr>
      </w:pPr>
    </w:p>
    <w:p w:rsidR="00590304" w:rsidRDefault="00590304" w:rsidP="00590304">
      <w:pPr>
        <w:tabs>
          <w:tab w:val="left" w:pos="3469"/>
        </w:tabs>
        <w:rPr>
          <w:lang w:val="en-US"/>
        </w:rPr>
      </w:pPr>
    </w:p>
    <w:p w:rsidR="00670531" w:rsidRDefault="00936FBA">
      <w:pPr>
        <w:pStyle w:val="TableofFigures"/>
        <w:tabs>
          <w:tab w:val="right" w:leader="dot" w:pos="9488"/>
        </w:tabs>
        <w:rPr>
          <w:rFonts w:eastAsiaTheme="minorEastAsia"/>
          <w:noProof/>
          <w:lang w:eastAsia="mk-MK"/>
        </w:rPr>
      </w:pPr>
      <w:r>
        <w:rPr>
          <w:b/>
          <w:bCs/>
          <w:color w:val="4F81BD" w:themeColor="accent1"/>
          <w:sz w:val="18"/>
          <w:szCs w:val="18"/>
          <w:lang w:val="en-US"/>
        </w:rPr>
        <w:fldChar w:fldCharType="begin"/>
      </w:r>
      <w:r>
        <w:rPr>
          <w:b/>
          <w:bCs/>
          <w:color w:val="4F81BD" w:themeColor="accent1"/>
          <w:sz w:val="18"/>
          <w:szCs w:val="18"/>
          <w:lang w:val="en-US"/>
        </w:rPr>
        <w:instrText xml:space="preserve"> TOC \h \z \c "Figure" </w:instrText>
      </w:r>
      <w:r>
        <w:rPr>
          <w:b/>
          <w:bCs/>
          <w:color w:val="4F81BD" w:themeColor="accent1"/>
          <w:sz w:val="18"/>
          <w:szCs w:val="18"/>
          <w:lang w:val="en-US"/>
        </w:rPr>
        <w:fldChar w:fldCharType="separate"/>
      </w:r>
      <w:hyperlink w:anchor="_Toc485394985" w:history="1">
        <w:r w:rsidR="00670531" w:rsidRPr="005D4259">
          <w:rPr>
            <w:rStyle w:val="Hyperlink"/>
            <w:rFonts w:ascii="StobiSerif Regular" w:hAnsi="StobiSerif Regular"/>
            <w:b/>
            <w:noProof/>
          </w:rPr>
          <w:t>Слика 1</w:t>
        </w:r>
        <w:r w:rsidR="00670531" w:rsidRPr="005D4259">
          <w:rPr>
            <w:rStyle w:val="Hyperlink"/>
            <w:rFonts w:ascii="StobiSerif Regular" w:hAnsi="StobiSerif Regular"/>
            <w:b/>
            <w:noProof/>
            <w:lang w:val="en-US"/>
          </w:rPr>
          <w:t xml:space="preserve">: </w:t>
        </w:r>
        <w:r w:rsidR="00670531" w:rsidRPr="005D4259">
          <w:rPr>
            <w:rStyle w:val="Hyperlink"/>
            <w:rFonts w:ascii="StobiSerif Regular" w:hAnsi="StobiSerif Regular"/>
            <w:b/>
            <w:noProof/>
          </w:rPr>
          <w:t>Индустриско производство</w:t>
        </w:r>
        <w:r w:rsidR="00670531">
          <w:rPr>
            <w:noProof/>
            <w:webHidden/>
          </w:rPr>
          <w:tab/>
        </w:r>
        <w:r w:rsidR="00670531">
          <w:rPr>
            <w:noProof/>
            <w:webHidden/>
          </w:rPr>
          <w:fldChar w:fldCharType="begin"/>
        </w:r>
        <w:r w:rsidR="00670531">
          <w:rPr>
            <w:noProof/>
            <w:webHidden/>
          </w:rPr>
          <w:instrText xml:space="preserve"> PAGEREF _Toc485394985 \h </w:instrText>
        </w:r>
        <w:r w:rsidR="00670531">
          <w:rPr>
            <w:noProof/>
            <w:webHidden/>
          </w:rPr>
        </w:r>
        <w:r w:rsidR="00670531">
          <w:rPr>
            <w:noProof/>
            <w:webHidden/>
          </w:rPr>
          <w:fldChar w:fldCharType="separate"/>
        </w:r>
        <w:r w:rsidR="00670531">
          <w:rPr>
            <w:noProof/>
            <w:webHidden/>
          </w:rPr>
          <w:t>11</w:t>
        </w:r>
        <w:r w:rsidR="00670531">
          <w:rPr>
            <w:noProof/>
            <w:webHidden/>
          </w:rPr>
          <w:fldChar w:fldCharType="end"/>
        </w:r>
      </w:hyperlink>
    </w:p>
    <w:p w:rsidR="00670531" w:rsidRDefault="00762162">
      <w:pPr>
        <w:pStyle w:val="TableofFigures"/>
        <w:tabs>
          <w:tab w:val="right" w:leader="dot" w:pos="9488"/>
        </w:tabs>
        <w:rPr>
          <w:rFonts w:eastAsiaTheme="minorEastAsia"/>
          <w:noProof/>
          <w:lang w:eastAsia="mk-MK"/>
        </w:rPr>
      </w:pPr>
      <w:hyperlink w:anchor="_Toc485394986" w:history="1">
        <w:r w:rsidR="00670531" w:rsidRPr="005D4259">
          <w:rPr>
            <w:rStyle w:val="Hyperlink"/>
            <w:rFonts w:ascii="StobiSerif Regular" w:hAnsi="StobiSerif Regular"/>
            <w:b/>
            <w:noProof/>
          </w:rPr>
          <w:t>Слика 2</w:t>
        </w:r>
        <w:r w:rsidR="00670531" w:rsidRPr="005D4259">
          <w:rPr>
            <w:rStyle w:val="Hyperlink"/>
            <w:rFonts w:ascii="StobiSerif Regular" w:hAnsi="StobiSerif Regular"/>
            <w:b/>
            <w:noProof/>
            <w:lang w:val="en-US"/>
          </w:rPr>
          <w:t xml:space="preserve">: </w:t>
        </w:r>
        <w:r w:rsidR="00670531" w:rsidRPr="005D4259">
          <w:rPr>
            <w:rStyle w:val="Hyperlink"/>
            <w:rFonts w:ascii="StobiSerif Regular" w:hAnsi="StobiSerif Regular"/>
            <w:b/>
            <w:noProof/>
          </w:rPr>
          <w:t>Населени по возрасни групи</w:t>
        </w:r>
        <w:r w:rsidR="00670531" w:rsidRPr="005D4259">
          <w:rPr>
            <w:rStyle w:val="Hyperlink"/>
            <w:rFonts w:ascii="StobiSerif Regular" w:hAnsi="StobiSerif Regular"/>
            <w:b/>
            <w:noProof/>
            <w:lang w:val="en-US"/>
          </w:rPr>
          <w:t xml:space="preserve"> (</w:t>
        </w:r>
        <w:r w:rsidR="00670531" w:rsidRPr="005D4259">
          <w:rPr>
            <w:rStyle w:val="Hyperlink"/>
            <w:rFonts w:ascii="StobiSerif Regular" w:hAnsi="StobiSerif Regular"/>
            <w:b/>
            <w:noProof/>
          </w:rPr>
          <w:t>крај на година</w:t>
        </w:r>
        <w:r w:rsidR="00670531" w:rsidRPr="005D4259">
          <w:rPr>
            <w:rStyle w:val="Hyperlink"/>
            <w:rFonts w:ascii="StobiSerif Regular" w:hAnsi="StobiSerif Regular"/>
            <w:b/>
            <w:noProof/>
            <w:lang w:val="en-US"/>
          </w:rPr>
          <w:t>)</w:t>
        </w:r>
        <w:r w:rsidR="00670531">
          <w:rPr>
            <w:noProof/>
            <w:webHidden/>
          </w:rPr>
          <w:tab/>
        </w:r>
        <w:r w:rsidR="00670531">
          <w:rPr>
            <w:noProof/>
            <w:webHidden/>
          </w:rPr>
          <w:fldChar w:fldCharType="begin"/>
        </w:r>
        <w:r w:rsidR="00670531">
          <w:rPr>
            <w:noProof/>
            <w:webHidden/>
          </w:rPr>
          <w:instrText xml:space="preserve"> PAGEREF _Toc485394986 \h </w:instrText>
        </w:r>
        <w:r w:rsidR="00670531">
          <w:rPr>
            <w:noProof/>
            <w:webHidden/>
          </w:rPr>
        </w:r>
        <w:r w:rsidR="00670531">
          <w:rPr>
            <w:noProof/>
            <w:webHidden/>
          </w:rPr>
          <w:fldChar w:fldCharType="separate"/>
        </w:r>
        <w:r w:rsidR="00670531">
          <w:rPr>
            <w:noProof/>
            <w:webHidden/>
          </w:rPr>
          <w:t>11</w:t>
        </w:r>
        <w:r w:rsidR="00670531">
          <w:rPr>
            <w:noProof/>
            <w:webHidden/>
          </w:rPr>
          <w:fldChar w:fldCharType="end"/>
        </w:r>
      </w:hyperlink>
    </w:p>
    <w:p w:rsidR="00670531" w:rsidRDefault="00762162">
      <w:pPr>
        <w:pStyle w:val="TableofFigures"/>
        <w:tabs>
          <w:tab w:val="right" w:leader="dot" w:pos="9488"/>
        </w:tabs>
        <w:rPr>
          <w:rFonts w:eastAsiaTheme="minorEastAsia"/>
          <w:noProof/>
          <w:lang w:eastAsia="mk-MK"/>
        </w:rPr>
      </w:pPr>
      <w:hyperlink w:anchor="_Toc485394987" w:history="1">
        <w:r w:rsidR="00670531" w:rsidRPr="00670531">
          <w:rPr>
            <w:rStyle w:val="Hyperlink"/>
            <w:rFonts w:ascii="StobiSerif Regular" w:hAnsi="StobiSerif Regular"/>
            <w:b/>
            <w:noProof/>
          </w:rPr>
          <w:t>Слика 3</w:t>
        </w:r>
        <w:r w:rsidR="00670531" w:rsidRPr="00670531">
          <w:rPr>
            <w:rStyle w:val="Hyperlink"/>
            <w:rFonts w:ascii="StobiSerif Regular" w:hAnsi="StobiSerif Regular"/>
            <w:b/>
            <w:noProof/>
            <w:lang w:val="en-US"/>
          </w:rPr>
          <w:t xml:space="preserve">: </w:t>
        </w:r>
        <w:r w:rsidR="00670531" w:rsidRPr="00670531">
          <w:rPr>
            <w:rStyle w:val="Hyperlink"/>
            <w:rFonts w:ascii="StobiSerif Regular" w:hAnsi="StobiSerif Regular"/>
            <w:b/>
            <w:noProof/>
          </w:rPr>
          <w:t xml:space="preserve">Апликации по сектори во </w:t>
        </w:r>
        <w:r w:rsidR="00670531" w:rsidRPr="00670531">
          <w:rPr>
            <w:rStyle w:val="Hyperlink"/>
            <w:rFonts w:ascii="StobiSerif Regular" w:hAnsi="StobiSerif Regular"/>
            <w:b/>
            <w:noProof/>
            <w:lang w:val="en-US"/>
          </w:rPr>
          <w:t xml:space="preserve"> M101</w:t>
        </w:r>
        <w:r w:rsidR="00670531">
          <w:rPr>
            <w:noProof/>
            <w:webHidden/>
          </w:rPr>
          <w:tab/>
        </w:r>
        <w:r w:rsidR="00670531">
          <w:rPr>
            <w:noProof/>
            <w:webHidden/>
          </w:rPr>
          <w:fldChar w:fldCharType="begin"/>
        </w:r>
        <w:r w:rsidR="00670531">
          <w:rPr>
            <w:noProof/>
            <w:webHidden/>
          </w:rPr>
          <w:instrText xml:space="preserve"> PAGEREF _Toc485394987 \h </w:instrText>
        </w:r>
        <w:r w:rsidR="00670531">
          <w:rPr>
            <w:noProof/>
            <w:webHidden/>
          </w:rPr>
        </w:r>
        <w:r w:rsidR="00670531">
          <w:rPr>
            <w:noProof/>
            <w:webHidden/>
          </w:rPr>
          <w:fldChar w:fldCharType="separate"/>
        </w:r>
        <w:r w:rsidR="00670531">
          <w:rPr>
            <w:noProof/>
            <w:webHidden/>
          </w:rPr>
          <w:t>22</w:t>
        </w:r>
        <w:r w:rsidR="00670531">
          <w:rPr>
            <w:noProof/>
            <w:webHidden/>
          </w:rPr>
          <w:fldChar w:fldCharType="end"/>
        </w:r>
      </w:hyperlink>
    </w:p>
    <w:p w:rsidR="00670531" w:rsidRDefault="00762162">
      <w:pPr>
        <w:pStyle w:val="TableofFigures"/>
        <w:tabs>
          <w:tab w:val="right" w:leader="dot" w:pos="9488"/>
        </w:tabs>
        <w:rPr>
          <w:rFonts w:eastAsiaTheme="minorEastAsia"/>
          <w:noProof/>
          <w:lang w:eastAsia="mk-MK"/>
        </w:rPr>
      </w:pPr>
      <w:hyperlink w:anchor="_Toc485394988" w:history="1">
        <w:r w:rsidR="00670531" w:rsidRPr="005D4259">
          <w:rPr>
            <w:rStyle w:val="Hyperlink"/>
            <w:rFonts w:ascii="StobiSerif Regular" w:hAnsi="StobiSerif Regular"/>
            <w:b/>
            <w:noProof/>
          </w:rPr>
          <w:t>Слика 4</w:t>
        </w:r>
        <w:r w:rsidR="00670531" w:rsidRPr="005D4259">
          <w:rPr>
            <w:rStyle w:val="Hyperlink"/>
            <w:rFonts w:ascii="StobiSerif Regular" w:hAnsi="StobiSerif Regular"/>
            <w:b/>
            <w:noProof/>
            <w:lang w:val="en-US"/>
          </w:rPr>
          <w:t>:</w:t>
        </w:r>
        <w:r w:rsidR="00670531" w:rsidRPr="005D4259">
          <w:rPr>
            <w:rStyle w:val="Hyperlink"/>
            <w:b/>
            <w:noProof/>
          </w:rPr>
          <w:t xml:space="preserve"> </w:t>
        </w:r>
        <w:r w:rsidR="00670531" w:rsidRPr="005D4259">
          <w:rPr>
            <w:rStyle w:val="Hyperlink"/>
            <w:rFonts w:ascii="StobiSerif Regular" w:hAnsi="StobiSerif Regular"/>
            <w:b/>
            <w:noProof/>
          </w:rPr>
          <w:t>Апликации по тип на ивестиција во М101</w:t>
        </w:r>
        <w:r w:rsidR="00670531">
          <w:rPr>
            <w:noProof/>
            <w:webHidden/>
          </w:rPr>
          <w:tab/>
        </w:r>
        <w:r w:rsidR="00670531">
          <w:rPr>
            <w:noProof/>
            <w:webHidden/>
          </w:rPr>
          <w:fldChar w:fldCharType="begin"/>
        </w:r>
        <w:r w:rsidR="00670531">
          <w:rPr>
            <w:noProof/>
            <w:webHidden/>
          </w:rPr>
          <w:instrText xml:space="preserve"> PAGEREF _Toc485394988 \h </w:instrText>
        </w:r>
        <w:r w:rsidR="00670531">
          <w:rPr>
            <w:noProof/>
            <w:webHidden/>
          </w:rPr>
        </w:r>
        <w:r w:rsidR="00670531">
          <w:rPr>
            <w:noProof/>
            <w:webHidden/>
          </w:rPr>
          <w:fldChar w:fldCharType="separate"/>
        </w:r>
        <w:r w:rsidR="00670531">
          <w:rPr>
            <w:noProof/>
            <w:webHidden/>
          </w:rPr>
          <w:t>24</w:t>
        </w:r>
        <w:r w:rsidR="00670531">
          <w:rPr>
            <w:noProof/>
            <w:webHidden/>
          </w:rPr>
          <w:fldChar w:fldCharType="end"/>
        </w:r>
      </w:hyperlink>
    </w:p>
    <w:p w:rsidR="00670531" w:rsidRDefault="00762162">
      <w:pPr>
        <w:pStyle w:val="TableofFigures"/>
        <w:tabs>
          <w:tab w:val="right" w:leader="dot" w:pos="9488"/>
        </w:tabs>
        <w:rPr>
          <w:rFonts w:eastAsiaTheme="minorEastAsia"/>
          <w:noProof/>
          <w:lang w:eastAsia="mk-MK"/>
        </w:rPr>
      </w:pPr>
      <w:hyperlink w:anchor="_Toc485394989" w:history="1">
        <w:r w:rsidR="00670531" w:rsidRPr="005D4259">
          <w:rPr>
            <w:rStyle w:val="Hyperlink"/>
            <w:rFonts w:ascii="StobiSerif Regular" w:hAnsi="StobiSerif Regular"/>
            <w:b/>
            <w:noProof/>
          </w:rPr>
          <w:t>Слика 5</w:t>
        </w:r>
        <w:r w:rsidR="00670531" w:rsidRPr="005D4259">
          <w:rPr>
            <w:rStyle w:val="Hyperlink"/>
            <w:rFonts w:ascii="StobiSerif Regular" w:hAnsi="StobiSerif Regular"/>
            <w:b/>
            <w:noProof/>
            <w:lang w:val="en-US"/>
          </w:rPr>
          <w:t>:</w:t>
        </w:r>
        <w:r w:rsidR="00670531" w:rsidRPr="005D4259">
          <w:rPr>
            <w:rStyle w:val="Hyperlink"/>
            <w:b/>
            <w:noProof/>
          </w:rPr>
          <w:t xml:space="preserve"> </w:t>
        </w:r>
        <w:r w:rsidR="00670531" w:rsidRPr="005D4259">
          <w:rPr>
            <w:rStyle w:val="Hyperlink"/>
            <w:rFonts w:ascii="StobiSerif Regular" w:hAnsi="StobiSerif Regular"/>
            <w:b/>
            <w:noProof/>
          </w:rPr>
          <w:t>Апликации по тип на инвестиција во</w:t>
        </w:r>
        <w:r w:rsidR="00670531" w:rsidRPr="005D4259">
          <w:rPr>
            <w:rStyle w:val="Hyperlink"/>
            <w:rFonts w:ascii="StobiSerif Regular" w:hAnsi="StobiSerif Regular"/>
            <w:b/>
            <w:noProof/>
            <w:lang w:val="en-US"/>
          </w:rPr>
          <w:t xml:space="preserve"> M103</w:t>
        </w:r>
        <w:r w:rsidR="00670531">
          <w:rPr>
            <w:noProof/>
            <w:webHidden/>
          </w:rPr>
          <w:tab/>
        </w:r>
        <w:r w:rsidR="00670531">
          <w:rPr>
            <w:noProof/>
            <w:webHidden/>
          </w:rPr>
          <w:fldChar w:fldCharType="begin"/>
        </w:r>
        <w:r w:rsidR="00670531">
          <w:rPr>
            <w:noProof/>
            <w:webHidden/>
          </w:rPr>
          <w:instrText xml:space="preserve"> PAGEREF _Toc485394989 \h </w:instrText>
        </w:r>
        <w:r w:rsidR="00670531">
          <w:rPr>
            <w:noProof/>
            <w:webHidden/>
          </w:rPr>
        </w:r>
        <w:r w:rsidR="00670531">
          <w:rPr>
            <w:noProof/>
            <w:webHidden/>
          </w:rPr>
          <w:fldChar w:fldCharType="separate"/>
        </w:r>
        <w:r w:rsidR="00670531">
          <w:rPr>
            <w:noProof/>
            <w:webHidden/>
          </w:rPr>
          <w:t>28</w:t>
        </w:r>
        <w:r w:rsidR="00670531">
          <w:rPr>
            <w:noProof/>
            <w:webHidden/>
          </w:rPr>
          <w:fldChar w:fldCharType="end"/>
        </w:r>
      </w:hyperlink>
    </w:p>
    <w:p w:rsidR="00670531" w:rsidRDefault="00762162">
      <w:pPr>
        <w:pStyle w:val="TableofFigures"/>
        <w:tabs>
          <w:tab w:val="right" w:leader="dot" w:pos="9488"/>
        </w:tabs>
        <w:rPr>
          <w:rFonts w:eastAsiaTheme="minorEastAsia"/>
          <w:noProof/>
          <w:lang w:eastAsia="mk-MK"/>
        </w:rPr>
      </w:pPr>
      <w:hyperlink w:anchor="_Toc485394990" w:history="1">
        <w:r w:rsidR="00670531" w:rsidRPr="005D4259">
          <w:rPr>
            <w:rStyle w:val="Hyperlink"/>
            <w:rFonts w:ascii="StobiSerif Regular" w:hAnsi="StobiSerif Regular"/>
            <w:b/>
            <w:noProof/>
          </w:rPr>
          <w:t>Слика 6</w:t>
        </w:r>
        <w:r w:rsidR="00670531" w:rsidRPr="005D4259">
          <w:rPr>
            <w:rStyle w:val="Hyperlink"/>
            <w:rFonts w:ascii="StobiSerif Regular" w:hAnsi="StobiSerif Regular"/>
            <w:b/>
            <w:noProof/>
            <w:lang w:val="en-US"/>
          </w:rPr>
          <w:t xml:space="preserve">: </w:t>
        </w:r>
        <w:r w:rsidR="00670531" w:rsidRPr="005D4259">
          <w:rPr>
            <w:rStyle w:val="Hyperlink"/>
            <w:rFonts w:ascii="StobiSerif Regular" w:hAnsi="StobiSerif Regular"/>
            <w:b/>
            <w:noProof/>
          </w:rPr>
          <w:t>Графички приказ на проекти по региони</w:t>
        </w:r>
        <w:r w:rsidR="00670531">
          <w:rPr>
            <w:noProof/>
            <w:webHidden/>
          </w:rPr>
          <w:tab/>
        </w:r>
        <w:r w:rsidR="00670531">
          <w:rPr>
            <w:noProof/>
            <w:webHidden/>
          </w:rPr>
          <w:fldChar w:fldCharType="begin"/>
        </w:r>
        <w:r w:rsidR="00670531">
          <w:rPr>
            <w:noProof/>
            <w:webHidden/>
          </w:rPr>
          <w:instrText xml:space="preserve"> PAGEREF _Toc485394990 \h </w:instrText>
        </w:r>
        <w:r w:rsidR="00670531">
          <w:rPr>
            <w:noProof/>
            <w:webHidden/>
          </w:rPr>
        </w:r>
        <w:r w:rsidR="00670531">
          <w:rPr>
            <w:noProof/>
            <w:webHidden/>
          </w:rPr>
          <w:fldChar w:fldCharType="separate"/>
        </w:r>
        <w:r w:rsidR="00670531">
          <w:rPr>
            <w:noProof/>
            <w:webHidden/>
          </w:rPr>
          <w:t>37</w:t>
        </w:r>
        <w:r w:rsidR="00670531">
          <w:rPr>
            <w:noProof/>
            <w:webHidden/>
          </w:rPr>
          <w:fldChar w:fldCharType="end"/>
        </w:r>
      </w:hyperlink>
    </w:p>
    <w:p w:rsidR="00670531" w:rsidRDefault="00762162">
      <w:pPr>
        <w:pStyle w:val="TableofFigures"/>
        <w:tabs>
          <w:tab w:val="right" w:leader="dot" w:pos="9488"/>
        </w:tabs>
        <w:rPr>
          <w:rFonts w:eastAsiaTheme="minorEastAsia"/>
          <w:noProof/>
          <w:lang w:eastAsia="mk-MK"/>
        </w:rPr>
      </w:pPr>
      <w:hyperlink w:anchor="_Toc485394991" w:history="1">
        <w:r w:rsidR="00670531" w:rsidRPr="005D4259">
          <w:rPr>
            <w:rStyle w:val="Hyperlink"/>
            <w:rFonts w:ascii="StobiSerif Regular" w:hAnsi="StobiSerif Regular"/>
            <w:b/>
            <w:noProof/>
          </w:rPr>
          <w:t>Слика 8</w:t>
        </w:r>
        <w:r w:rsidR="00670531" w:rsidRPr="005D4259">
          <w:rPr>
            <w:rStyle w:val="Hyperlink"/>
            <w:rFonts w:ascii="StobiSerif Regular" w:hAnsi="StobiSerif Regular"/>
            <w:b/>
            <w:noProof/>
            <w:lang w:val="en-US"/>
          </w:rPr>
          <w:t xml:space="preserve">: </w:t>
        </w:r>
        <w:r w:rsidR="00670531" w:rsidRPr="005D4259">
          <w:rPr>
            <w:rStyle w:val="Hyperlink"/>
            <w:rFonts w:ascii="StobiSerif Regular" w:hAnsi="StobiSerif Regular"/>
            <w:b/>
            <w:noProof/>
          </w:rPr>
          <w:t>Вредност на исплатени проекти по региони</w:t>
        </w:r>
        <w:r w:rsidR="00670531">
          <w:rPr>
            <w:noProof/>
            <w:webHidden/>
          </w:rPr>
          <w:tab/>
        </w:r>
        <w:r w:rsidR="00670531">
          <w:rPr>
            <w:noProof/>
            <w:webHidden/>
          </w:rPr>
          <w:fldChar w:fldCharType="begin"/>
        </w:r>
        <w:r w:rsidR="00670531">
          <w:rPr>
            <w:noProof/>
            <w:webHidden/>
          </w:rPr>
          <w:instrText xml:space="preserve"> PAGEREF _Toc485394991 \h </w:instrText>
        </w:r>
        <w:r w:rsidR="00670531">
          <w:rPr>
            <w:noProof/>
            <w:webHidden/>
          </w:rPr>
        </w:r>
        <w:r w:rsidR="00670531">
          <w:rPr>
            <w:noProof/>
            <w:webHidden/>
          </w:rPr>
          <w:fldChar w:fldCharType="separate"/>
        </w:r>
        <w:r w:rsidR="00670531">
          <w:rPr>
            <w:noProof/>
            <w:webHidden/>
          </w:rPr>
          <w:t>38</w:t>
        </w:r>
        <w:r w:rsidR="00670531">
          <w:rPr>
            <w:noProof/>
            <w:webHidden/>
          </w:rPr>
          <w:fldChar w:fldCharType="end"/>
        </w:r>
      </w:hyperlink>
    </w:p>
    <w:p w:rsidR="00936FBA" w:rsidRPr="00936FBA" w:rsidRDefault="00936FBA" w:rsidP="00590304">
      <w:pPr>
        <w:tabs>
          <w:tab w:val="left" w:pos="3469"/>
        </w:tabs>
        <w:rPr>
          <w:lang w:val="en-US"/>
        </w:rPr>
      </w:pPr>
      <w:r>
        <w:rPr>
          <w:b/>
          <w:bCs/>
          <w:color w:val="4F81BD" w:themeColor="accent1"/>
          <w:sz w:val="18"/>
          <w:szCs w:val="18"/>
          <w:lang w:val="en-US"/>
        </w:rPr>
        <w:fldChar w:fldCharType="end"/>
      </w:r>
    </w:p>
    <w:p w:rsidR="00590304" w:rsidRDefault="00590304" w:rsidP="00590304">
      <w:pPr>
        <w:tabs>
          <w:tab w:val="left" w:pos="3469"/>
        </w:tabs>
        <w:rPr>
          <w:lang w:val="en-US"/>
        </w:rPr>
      </w:pPr>
    </w:p>
    <w:p w:rsidR="00590304" w:rsidRDefault="00590304" w:rsidP="00590304">
      <w:pPr>
        <w:tabs>
          <w:tab w:val="left" w:pos="3469"/>
        </w:tabs>
        <w:rPr>
          <w:lang w:val="en-US"/>
        </w:rPr>
      </w:pPr>
    </w:p>
    <w:p w:rsidR="00590304" w:rsidRDefault="00590304" w:rsidP="00590304">
      <w:pPr>
        <w:tabs>
          <w:tab w:val="left" w:pos="3469"/>
        </w:tabs>
        <w:rPr>
          <w:lang w:val="en-US"/>
        </w:rPr>
      </w:pPr>
    </w:p>
    <w:p w:rsidR="00590304" w:rsidRDefault="00590304" w:rsidP="00590304">
      <w:pPr>
        <w:tabs>
          <w:tab w:val="left" w:pos="3469"/>
        </w:tabs>
        <w:rPr>
          <w:lang w:val="en-US"/>
        </w:rPr>
      </w:pPr>
    </w:p>
    <w:p w:rsidR="002E424F" w:rsidRDefault="002E424F" w:rsidP="00590304">
      <w:pPr>
        <w:tabs>
          <w:tab w:val="left" w:pos="3469"/>
        </w:tabs>
        <w:rPr>
          <w:lang w:val="en-US"/>
        </w:rPr>
      </w:pPr>
    </w:p>
    <w:p w:rsidR="002E424F" w:rsidRDefault="002E424F" w:rsidP="00590304">
      <w:pPr>
        <w:tabs>
          <w:tab w:val="left" w:pos="3469"/>
        </w:tabs>
        <w:rPr>
          <w:lang w:val="en-US"/>
        </w:rPr>
      </w:pPr>
    </w:p>
    <w:p w:rsidR="00811E6A" w:rsidRDefault="00811E6A" w:rsidP="00590304">
      <w:pPr>
        <w:tabs>
          <w:tab w:val="left" w:pos="3469"/>
        </w:tabs>
        <w:rPr>
          <w:lang w:val="en-US"/>
        </w:rPr>
      </w:pPr>
    </w:p>
    <w:p w:rsidR="00811E6A" w:rsidRPr="00746E36" w:rsidRDefault="00811E6A" w:rsidP="00811E6A">
      <w:pPr>
        <w:rPr>
          <w:rFonts w:ascii="StobiSerif Regular" w:hAnsi="StobiSerif Regular"/>
          <w:lang w:val="en-US"/>
        </w:rPr>
      </w:pPr>
      <w:r w:rsidRPr="00746E36">
        <w:rPr>
          <w:rFonts w:ascii="StobiSerif Regular" w:hAnsi="StobiSerif Regular"/>
          <w:lang w:val="en-US"/>
        </w:rPr>
        <w:br w:type="page"/>
      </w:r>
    </w:p>
    <w:p w:rsidR="00B94C42" w:rsidRPr="00973296" w:rsidRDefault="00B94C42" w:rsidP="00B94C42">
      <w:pPr>
        <w:outlineLvl w:val="0"/>
        <w:rPr>
          <w:rFonts w:ascii="StobiSerif Regular" w:hAnsi="StobiSerif Regular"/>
          <w:b/>
          <w:lang w:val="en-US"/>
        </w:rPr>
      </w:pPr>
      <w:bookmarkStart w:id="1" w:name="_Toc460229479"/>
      <w:bookmarkStart w:id="2" w:name="_Toc485394798"/>
      <w:r w:rsidRPr="00973296">
        <w:rPr>
          <w:rFonts w:ascii="StobiSerif Regular" w:hAnsi="StobiSerif Regular"/>
          <w:b/>
        </w:rPr>
        <w:lastRenderedPageBreak/>
        <w:t>В</w:t>
      </w:r>
      <w:bookmarkEnd w:id="1"/>
      <w:r w:rsidR="00B3694D">
        <w:rPr>
          <w:rFonts w:ascii="StobiSerif Regular" w:hAnsi="StobiSerif Regular"/>
          <w:b/>
        </w:rPr>
        <w:t>овед</w:t>
      </w:r>
      <w:bookmarkEnd w:id="2"/>
      <w:r w:rsidRPr="00973296">
        <w:rPr>
          <w:rFonts w:ascii="StobiSerif Regular" w:hAnsi="StobiSerif Regular"/>
          <w:b/>
          <w:lang w:val="en-US"/>
        </w:rPr>
        <w:t xml:space="preserve"> </w:t>
      </w:r>
    </w:p>
    <w:p w:rsidR="00025807" w:rsidRPr="00BA36C1" w:rsidRDefault="00025807" w:rsidP="00025807">
      <w:pPr>
        <w:spacing w:before="120" w:after="120"/>
        <w:ind w:firstLine="284"/>
        <w:jc w:val="both"/>
        <w:rPr>
          <w:rFonts w:ascii="StobiSerif Regular" w:hAnsi="StobiSerif Regular"/>
          <w:b/>
          <w:lang w:val="en-US"/>
        </w:rPr>
      </w:pPr>
      <w:r w:rsidRPr="00BA36C1">
        <w:rPr>
          <w:rFonts w:ascii="StobiSerif Regular" w:hAnsi="StobiSerif Regular"/>
          <w:b/>
          <w:lang w:val="en-US"/>
        </w:rPr>
        <w:t xml:space="preserve">Резиме </w:t>
      </w:r>
    </w:p>
    <w:p w:rsidR="00025807" w:rsidRPr="00025807" w:rsidRDefault="00025807" w:rsidP="00025807">
      <w:pPr>
        <w:spacing w:before="120" w:after="120"/>
        <w:ind w:firstLine="284"/>
        <w:jc w:val="both"/>
        <w:rPr>
          <w:rFonts w:ascii="StobiSerif Regular" w:hAnsi="StobiSerif Regular"/>
          <w:lang w:val="en-US"/>
        </w:rPr>
      </w:pPr>
      <w:r w:rsidRPr="00025807">
        <w:rPr>
          <w:rFonts w:ascii="StobiSerif Regular" w:hAnsi="StobiSerif Regular"/>
          <w:lang w:val="en-US"/>
        </w:rPr>
        <w:t xml:space="preserve">ИПАРД Програмата 2007-2013, како основа за спроведување на Регулативата на Советот(ЕК) за воспоставување на Инструментот за претпристапна помош (ИПА) бр 1085/2006 од 17 јули 2006 година, е одобрена со решение C (2008) 677 на Комисијата 25.02.2008. </w:t>
      </w:r>
    </w:p>
    <w:p w:rsidR="00025807" w:rsidRPr="00025807" w:rsidRDefault="00025807" w:rsidP="00BA36C1">
      <w:pPr>
        <w:spacing w:before="120" w:after="120"/>
        <w:jc w:val="both"/>
        <w:rPr>
          <w:rFonts w:ascii="StobiSerif Regular" w:hAnsi="StobiSerif Regular"/>
          <w:lang w:val="en-US"/>
        </w:rPr>
      </w:pPr>
      <w:r w:rsidRPr="00025807">
        <w:rPr>
          <w:rFonts w:ascii="StobiSerif Regular" w:hAnsi="StobiSerif Regular"/>
          <w:lang w:val="en-US"/>
        </w:rPr>
        <w:t>На почетокот на спроведување на ИПАРД Програмата и претходи предавањето на управувањето со помошта од страна на Европската комисија, која беше доделена на релевантните институции преку одлука на Комисијата бр C2009 / 987 / ЕУ на 18.12.2009 за Мерка 101- Инвестиции во земјоделски стопанства за преструктуирање и надградба за достигнување стандардите на Европската Унија, Мерка 103- Инвестиции за преработка и маркетинг на земјоделските и рибните производи со нивно преструктуирање и надградба до стандардите на ЕУ и Мерка 302- Диверзификација и развој на руралните економски активности.</w:t>
      </w:r>
    </w:p>
    <w:p w:rsidR="00025807" w:rsidRPr="00025807" w:rsidRDefault="00025807" w:rsidP="00BA36C1">
      <w:pPr>
        <w:spacing w:before="120" w:after="120"/>
        <w:jc w:val="both"/>
        <w:rPr>
          <w:rFonts w:ascii="StobiSerif Regular" w:hAnsi="StobiSerif Regular"/>
          <w:lang w:val="en-US"/>
        </w:rPr>
      </w:pPr>
      <w:r w:rsidRPr="00025807">
        <w:rPr>
          <w:rFonts w:ascii="StobiSerif Regular" w:hAnsi="StobiSerif Regular"/>
          <w:lang w:val="en-US"/>
        </w:rPr>
        <w:t xml:space="preserve">Во текот на спроведување на Програмата, осум модификации беа усвоени од </w:t>
      </w:r>
      <w:r w:rsidR="00BA36C1">
        <w:rPr>
          <w:rFonts w:ascii="StobiSerif Regular" w:hAnsi="StobiSerif Regular"/>
        </w:rPr>
        <w:t xml:space="preserve">страна на </w:t>
      </w:r>
      <w:r w:rsidRPr="00025807">
        <w:rPr>
          <w:rFonts w:ascii="StobiSerif Regular" w:hAnsi="StobiSerif Regular"/>
          <w:lang w:val="en-US"/>
        </w:rPr>
        <w:t>Европската Комисија. Со одлука на Комисијата бр. C (2016)7396 на 11.11.2016 беше усвоена осмата модификација.</w:t>
      </w:r>
    </w:p>
    <w:p w:rsidR="00025807" w:rsidRDefault="00025807" w:rsidP="00737709">
      <w:pPr>
        <w:spacing w:before="120" w:after="120"/>
        <w:jc w:val="both"/>
        <w:rPr>
          <w:rFonts w:ascii="StobiSerif Regular" w:hAnsi="StobiSerif Regular"/>
          <w:lang w:val="en-US"/>
        </w:rPr>
      </w:pPr>
      <w:r w:rsidRPr="00E51D25">
        <w:rPr>
          <w:rFonts w:ascii="StobiSerif Regular" w:hAnsi="StobiSerif Regular"/>
          <w:highlight w:val="yellow"/>
          <w:lang w:val="en-US"/>
        </w:rPr>
        <w:t>Од почетокот на</w:t>
      </w:r>
      <w:r w:rsidR="00737709" w:rsidRPr="00E51D25">
        <w:rPr>
          <w:rFonts w:ascii="StobiSerif Regular" w:hAnsi="StobiSerif Regular"/>
          <w:highlight w:val="yellow"/>
        </w:rPr>
        <w:t xml:space="preserve"> спроведување на </w:t>
      </w:r>
      <w:r w:rsidRPr="00E51D25">
        <w:rPr>
          <w:rFonts w:ascii="StobiSerif Regular" w:hAnsi="StobiSerif Regular"/>
          <w:highlight w:val="yellow"/>
          <w:lang w:val="en-US"/>
        </w:rPr>
        <w:t xml:space="preserve"> Програмата објавени се 12 јавни повици на кои се поднесени вкупно 3087 апликации, заклучно со 31.12.2016. Склучени се 1369 договори со вкупна вредност од 19.166.004€ европски средства, од кои раскинати се 176 договори во вредност 3.842.837 € европски средства. Реализирани и исплатени се 738 договори во вредност од 6.892.894€ европски средства и 455 договори се во процес на реализација, чија сума изнесува 6.934.344€ европски средства.</w:t>
      </w:r>
    </w:p>
    <w:p w:rsidR="001C417D" w:rsidRPr="00E51D25" w:rsidRDefault="001C417D" w:rsidP="001C417D">
      <w:pPr>
        <w:spacing w:before="120" w:after="120"/>
        <w:ind w:firstLine="284"/>
        <w:jc w:val="both"/>
        <w:rPr>
          <w:rFonts w:ascii="StobiSerif Regular" w:hAnsi="StobiSerif Regular"/>
          <w:highlight w:val="yellow"/>
          <w:lang w:val="en-US"/>
        </w:rPr>
      </w:pPr>
      <w:r w:rsidRPr="00E51D25">
        <w:rPr>
          <w:rFonts w:ascii="StobiSerif Regular" w:hAnsi="StobiSerif Regular"/>
          <w:highlight w:val="yellow"/>
          <w:lang w:val="en-US"/>
        </w:rPr>
        <w:t>Во времето на подготовката на извештајот финансиските податоци за имплементација на ИПАРД ги покажуваат следните бројки:</w:t>
      </w:r>
    </w:p>
    <w:p w:rsidR="001C417D" w:rsidRPr="00E51D25" w:rsidRDefault="001C417D" w:rsidP="001C417D">
      <w:pPr>
        <w:spacing w:before="120" w:after="120"/>
        <w:ind w:firstLine="284"/>
        <w:jc w:val="both"/>
        <w:rPr>
          <w:rFonts w:ascii="StobiSerif Regular" w:hAnsi="StobiSerif Regular"/>
          <w:highlight w:val="yellow"/>
          <w:lang w:val="en-US"/>
        </w:rPr>
      </w:pPr>
      <w:r w:rsidRPr="00E51D25">
        <w:rPr>
          <w:rFonts w:ascii="StobiSerif Regular" w:hAnsi="StobiSerif Regular"/>
          <w:highlight w:val="yellow"/>
          <w:lang w:val="en-US"/>
        </w:rPr>
        <w:t>- Вкупните распределби за ИП</w:t>
      </w:r>
      <w:r w:rsidR="00737709" w:rsidRPr="00E51D25">
        <w:rPr>
          <w:rFonts w:ascii="StobiSerif Regular" w:hAnsi="StobiSerif Regular"/>
          <w:highlight w:val="yellow"/>
          <w:lang w:val="en-US"/>
        </w:rPr>
        <w:t xml:space="preserve">А 2007-2013 се 16.419.323,00 </w:t>
      </w:r>
      <w:r w:rsidR="00737709" w:rsidRPr="00E51D25">
        <w:rPr>
          <w:rFonts w:ascii="StobiSerif Regular" w:hAnsi="StobiSerif Regular"/>
          <w:highlight w:val="yellow"/>
        </w:rPr>
        <w:t>евра</w:t>
      </w:r>
      <w:r w:rsidRPr="00E51D25">
        <w:rPr>
          <w:rFonts w:ascii="StobiSerif Regular" w:hAnsi="StobiSerif Regular"/>
          <w:highlight w:val="yellow"/>
          <w:lang w:val="en-US"/>
        </w:rPr>
        <w:t>;</w:t>
      </w:r>
    </w:p>
    <w:p w:rsidR="001C417D" w:rsidRPr="00E51D25" w:rsidRDefault="001C417D" w:rsidP="001C417D">
      <w:pPr>
        <w:spacing w:before="120" w:after="120"/>
        <w:ind w:firstLine="284"/>
        <w:jc w:val="both"/>
        <w:rPr>
          <w:rFonts w:ascii="StobiSerif Regular" w:hAnsi="StobiSerif Regular"/>
          <w:highlight w:val="yellow"/>
          <w:lang w:val="en-US"/>
        </w:rPr>
      </w:pPr>
      <w:r w:rsidRPr="00E51D25">
        <w:rPr>
          <w:rFonts w:ascii="StobiSerif Regular" w:hAnsi="StobiSerif Regular"/>
          <w:highlight w:val="yellow"/>
          <w:lang w:val="en-US"/>
        </w:rPr>
        <w:t xml:space="preserve">- Вкупниот </w:t>
      </w:r>
      <w:r w:rsidR="00737709" w:rsidRPr="00E51D25">
        <w:rPr>
          <w:rFonts w:ascii="StobiSerif Regular" w:hAnsi="StobiSerif Regular"/>
          <w:highlight w:val="yellow"/>
          <w:lang w:val="en-US"/>
        </w:rPr>
        <w:t xml:space="preserve">договорен износ е 19.166.004 </w:t>
      </w:r>
      <w:r w:rsidR="00737709" w:rsidRPr="00E51D25">
        <w:rPr>
          <w:rFonts w:ascii="StobiSerif Regular" w:hAnsi="StobiSerif Regular"/>
          <w:highlight w:val="yellow"/>
        </w:rPr>
        <w:t>евра</w:t>
      </w:r>
      <w:r w:rsidRPr="00E51D25">
        <w:rPr>
          <w:rFonts w:ascii="StobiSerif Regular" w:hAnsi="StobiSerif Regular"/>
          <w:highlight w:val="yellow"/>
          <w:lang w:val="en-US"/>
        </w:rPr>
        <w:t>;</w:t>
      </w:r>
    </w:p>
    <w:p w:rsidR="001C417D" w:rsidRPr="00E51D25" w:rsidRDefault="001C417D" w:rsidP="001C417D">
      <w:pPr>
        <w:spacing w:before="120" w:after="120"/>
        <w:ind w:firstLine="284"/>
        <w:jc w:val="both"/>
        <w:rPr>
          <w:rFonts w:ascii="StobiSerif Regular" w:hAnsi="StobiSerif Regular"/>
          <w:highlight w:val="yellow"/>
          <w:lang w:val="en-US"/>
        </w:rPr>
      </w:pPr>
      <w:r w:rsidRPr="00E51D25">
        <w:rPr>
          <w:rFonts w:ascii="StobiSerif Regular" w:hAnsi="StobiSerif Regular"/>
          <w:highlight w:val="yellow"/>
          <w:lang w:val="en-US"/>
        </w:rPr>
        <w:t xml:space="preserve">- Вкупен </w:t>
      </w:r>
      <w:r w:rsidR="00737709" w:rsidRPr="00E51D25">
        <w:rPr>
          <w:rFonts w:ascii="StobiSerif Regular" w:hAnsi="StobiSerif Regular"/>
          <w:highlight w:val="yellow"/>
          <w:lang w:val="en-US"/>
        </w:rPr>
        <w:t xml:space="preserve">овластен износ од 18.227.530 </w:t>
      </w:r>
      <w:r w:rsidR="00737709" w:rsidRPr="00E51D25">
        <w:rPr>
          <w:rFonts w:ascii="StobiSerif Regular" w:hAnsi="StobiSerif Regular"/>
          <w:highlight w:val="yellow"/>
        </w:rPr>
        <w:t>евра</w:t>
      </w:r>
      <w:r w:rsidRPr="00E51D25">
        <w:rPr>
          <w:rFonts w:ascii="StobiSerif Regular" w:hAnsi="StobiSerif Regular"/>
          <w:highlight w:val="yellow"/>
          <w:lang w:val="en-US"/>
        </w:rPr>
        <w:t>;</w:t>
      </w:r>
    </w:p>
    <w:p w:rsidR="001C417D" w:rsidRPr="00E51D25" w:rsidRDefault="001C417D" w:rsidP="001C417D">
      <w:pPr>
        <w:spacing w:before="120" w:after="120"/>
        <w:ind w:firstLine="284"/>
        <w:jc w:val="both"/>
        <w:rPr>
          <w:rFonts w:ascii="StobiSerif Regular" w:hAnsi="StobiSerif Regular"/>
          <w:highlight w:val="yellow"/>
          <w:lang w:val="en-US"/>
        </w:rPr>
      </w:pPr>
      <w:r w:rsidRPr="00E51D25">
        <w:rPr>
          <w:rFonts w:ascii="StobiSerif Regular" w:hAnsi="StobiSerif Regular"/>
          <w:highlight w:val="yellow"/>
          <w:lang w:val="en-US"/>
        </w:rPr>
        <w:t>- Вкупниот</w:t>
      </w:r>
      <w:r w:rsidR="00737709" w:rsidRPr="00E51D25">
        <w:rPr>
          <w:rFonts w:ascii="StobiSerif Regular" w:hAnsi="StobiSerif Regular"/>
          <w:highlight w:val="yellow"/>
          <w:lang w:val="en-US"/>
        </w:rPr>
        <w:t xml:space="preserve"> исплатен износ е 11.085.636 </w:t>
      </w:r>
      <w:r w:rsidR="00737709" w:rsidRPr="00E51D25">
        <w:rPr>
          <w:rFonts w:ascii="StobiSerif Regular" w:hAnsi="StobiSerif Regular"/>
          <w:highlight w:val="yellow"/>
        </w:rPr>
        <w:t>евра</w:t>
      </w:r>
      <w:r w:rsidRPr="00E51D25">
        <w:rPr>
          <w:rFonts w:ascii="StobiSerif Regular" w:hAnsi="StobiSerif Regular"/>
          <w:highlight w:val="yellow"/>
          <w:lang w:val="en-US"/>
        </w:rPr>
        <w:t>;</w:t>
      </w:r>
    </w:p>
    <w:p w:rsidR="001C417D" w:rsidRPr="001C417D" w:rsidRDefault="001C417D" w:rsidP="001C417D">
      <w:pPr>
        <w:spacing w:before="120" w:after="120"/>
        <w:ind w:firstLine="284"/>
        <w:jc w:val="both"/>
        <w:rPr>
          <w:rFonts w:ascii="StobiSerif Regular" w:hAnsi="StobiSerif Regular"/>
          <w:lang w:val="en-US"/>
        </w:rPr>
      </w:pPr>
      <w:r w:rsidRPr="00E51D25">
        <w:rPr>
          <w:rFonts w:ascii="StobiSerif Regular" w:hAnsi="StobiSerif Regular"/>
          <w:highlight w:val="yellow"/>
          <w:lang w:val="en-US"/>
        </w:rPr>
        <w:t>- Вкупен износ на тековни проекти изнесува 2.489.166 евра</w:t>
      </w:r>
    </w:p>
    <w:p w:rsidR="001C417D" w:rsidRPr="00025807" w:rsidRDefault="001C417D" w:rsidP="00737709">
      <w:pPr>
        <w:spacing w:before="120" w:after="120"/>
        <w:jc w:val="both"/>
        <w:rPr>
          <w:rFonts w:ascii="StobiSerif Regular" w:hAnsi="StobiSerif Regular"/>
          <w:lang w:val="en-US"/>
        </w:rPr>
      </w:pPr>
      <w:r w:rsidRPr="001C417D">
        <w:rPr>
          <w:rFonts w:ascii="StobiSerif Regular" w:hAnsi="StobiSerif Regular"/>
          <w:lang w:val="en-US"/>
        </w:rPr>
        <w:t>Земајќи ги предвид горе</w:t>
      </w:r>
      <w:r w:rsidR="00737709">
        <w:rPr>
          <w:rFonts w:ascii="StobiSerif Regular" w:hAnsi="StobiSerif Regular"/>
          <w:lang w:val="en-US"/>
        </w:rPr>
        <w:t xml:space="preserve">наведените </w:t>
      </w:r>
      <w:r w:rsidR="00737709">
        <w:rPr>
          <w:rFonts w:ascii="StobiSerif Regular" w:hAnsi="StobiSerif Regular"/>
        </w:rPr>
        <w:t>податоци</w:t>
      </w:r>
      <w:r w:rsidR="00B8701E">
        <w:rPr>
          <w:rFonts w:ascii="StobiSerif Regular" w:hAnsi="StobiSerif Regular"/>
        </w:rPr>
        <w:t xml:space="preserve"> ( од мај 2017 година)</w:t>
      </w:r>
      <w:r w:rsidRPr="001C417D">
        <w:rPr>
          <w:rFonts w:ascii="StobiSerif Regular" w:hAnsi="StobiSerif Regular"/>
          <w:lang w:val="en-US"/>
        </w:rPr>
        <w:t xml:space="preserve"> потенцијалниот ризик од </w:t>
      </w:r>
      <w:r w:rsidR="00737709">
        <w:rPr>
          <w:rFonts w:ascii="StobiSerif Regular" w:hAnsi="StobiSerif Regular"/>
        </w:rPr>
        <w:t>губење</w:t>
      </w:r>
      <w:r w:rsidRPr="001C417D">
        <w:rPr>
          <w:rFonts w:ascii="StobiSerif Regular" w:hAnsi="StobiSerif Regular"/>
          <w:lang w:val="en-US"/>
        </w:rPr>
        <w:t xml:space="preserve"> на средства до крајот на 2017 година изнесува 1, 906 милиони евра.</w:t>
      </w:r>
    </w:p>
    <w:p w:rsidR="00025807" w:rsidRPr="00025807" w:rsidRDefault="00025807" w:rsidP="00737709">
      <w:pPr>
        <w:spacing w:before="120" w:after="120"/>
        <w:jc w:val="both"/>
        <w:rPr>
          <w:rFonts w:ascii="StobiSerif Regular" w:hAnsi="StobiSerif Regular"/>
          <w:lang w:val="en-US"/>
        </w:rPr>
      </w:pPr>
      <w:r w:rsidRPr="00025807">
        <w:rPr>
          <w:rFonts w:ascii="StobiSerif Regular" w:hAnsi="StobiSerif Regular"/>
          <w:lang w:val="en-US"/>
        </w:rPr>
        <w:t>Од вкупно поднесените апликации по сите мерки</w:t>
      </w:r>
      <w:r w:rsidR="00737709">
        <w:rPr>
          <w:rFonts w:ascii="StobiSerif Regular" w:hAnsi="StobiSerif Regular"/>
        </w:rPr>
        <w:t>,</w:t>
      </w:r>
      <w:r w:rsidRPr="00025807">
        <w:rPr>
          <w:rFonts w:ascii="StobiSerif Regular" w:hAnsi="StobiSerif Regular"/>
          <w:lang w:val="en-US"/>
        </w:rPr>
        <w:t xml:space="preserve"> 2532 се за мерката 101, од кои половината или 1266 не ја поминале административната контрола и биле одбиени. За останатите 1266 апликации склучени се договори во вредност од 9.669.697€, </w:t>
      </w:r>
      <w:r w:rsidR="00FC26D2">
        <w:rPr>
          <w:rFonts w:ascii="StobiSerif Regular" w:hAnsi="StobiSerif Regular"/>
          <w:lang w:val="en-US"/>
        </w:rPr>
        <w:t xml:space="preserve">од кои 424 </w:t>
      </w:r>
      <w:r w:rsidR="00FC26D2">
        <w:rPr>
          <w:rFonts w:ascii="StobiSerif Regular" w:hAnsi="StobiSerif Regular"/>
          <w:lang w:val="en-US"/>
        </w:rPr>
        <w:lastRenderedPageBreak/>
        <w:t>договори се реализир</w:t>
      </w:r>
      <w:r w:rsidR="00FC26D2">
        <w:rPr>
          <w:rFonts w:ascii="StobiSerif Regular" w:hAnsi="StobiSerif Regular"/>
        </w:rPr>
        <w:t>а</w:t>
      </w:r>
      <w:r w:rsidRPr="00025807">
        <w:rPr>
          <w:rFonts w:ascii="StobiSerif Regular" w:hAnsi="StobiSerif Regular"/>
          <w:lang w:val="en-US"/>
        </w:rPr>
        <w:t>ни и исплатена е сума од 4.437.518 €. Во текот на спроведување на договорите, во мерката 101, по различен основ раскинати се 141 договор, додека пак 432 договори се во процес на реализација, во вредност од 3.606.789 €.</w:t>
      </w:r>
    </w:p>
    <w:p w:rsidR="00025807" w:rsidRPr="00025807" w:rsidRDefault="00025807" w:rsidP="00737709">
      <w:pPr>
        <w:spacing w:before="120" w:after="120"/>
        <w:jc w:val="both"/>
        <w:rPr>
          <w:rFonts w:ascii="StobiSerif Regular" w:hAnsi="StobiSerif Regular"/>
          <w:lang w:val="en-US"/>
        </w:rPr>
      </w:pPr>
      <w:r w:rsidRPr="00025807">
        <w:rPr>
          <w:rFonts w:ascii="StobiSerif Regular" w:hAnsi="StobiSerif Regular"/>
          <w:lang w:val="en-US"/>
        </w:rPr>
        <w:t xml:space="preserve">Во мерката 103 склучени се 65 договори со вкупна сума од 7.500.600€ европски средства од кои 37 проекти се реализирани и иплатени во вредност од 3.244.705 €. </w:t>
      </w:r>
    </w:p>
    <w:p w:rsidR="00025807" w:rsidRDefault="00025807" w:rsidP="00737709">
      <w:pPr>
        <w:spacing w:before="120" w:after="120"/>
        <w:jc w:val="both"/>
        <w:rPr>
          <w:rFonts w:ascii="StobiSerif Regular" w:hAnsi="StobiSerif Regular"/>
          <w:lang w:val="en-US"/>
        </w:rPr>
      </w:pPr>
      <w:r w:rsidRPr="00025807">
        <w:rPr>
          <w:rFonts w:ascii="StobiSerif Regular" w:hAnsi="StobiSerif Regular"/>
          <w:lang w:val="en-US"/>
        </w:rPr>
        <w:t>Вкупно 38 апликации резултираа со договори во мерката 302 кои имаат вредност од 1.995.707€ европски средства, од кои 8 проекти завршија успешно и беа иплатени во вредност од 275.241 €.</w:t>
      </w:r>
    </w:p>
    <w:p w:rsidR="00207545" w:rsidRPr="00025807" w:rsidRDefault="00207545" w:rsidP="00737709">
      <w:pPr>
        <w:spacing w:before="120" w:after="120"/>
        <w:jc w:val="both"/>
        <w:rPr>
          <w:rFonts w:ascii="StobiSerif Regular" w:hAnsi="StobiSerif Regular"/>
          <w:lang w:val="en-US"/>
        </w:rPr>
      </w:pPr>
      <w:r w:rsidRPr="00207545">
        <w:rPr>
          <w:rFonts w:ascii="StobiSerif Regular" w:hAnsi="StobiSerif Regular"/>
          <w:lang w:val="en-US"/>
        </w:rPr>
        <w:t>Вкупно 176 договори беа откажани од Агенцијата ИПАРД или од корисниците со вкупен износ од 3.842.837 евра.</w:t>
      </w:r>
    </w:p>
    <w:p w:rsidR="00207545" w:rsidRDefault="00207545" w:rsidP="00737709">
      <w:pPr>
        <w:spacing w:before="120" w:after="120"/>
        <w:jc w:val="both"/>
        <w:rPr>
          <w:rFonts w:ascii="StobiSerif Regular" w:hAnsi="StobiSerif Regular"/>
          <w:lang w:val="en-US"/>
        </w:rPr>
      </w:pPr>
      <w:r w:rsidRPr="00207545">
        <w:rPr>
          <w:rFonts w:ascii="StobiSerif Regular" w:hAnsi="StobiSerif Regular"/>
          <w:lang w:val="en-US"/>
        </w:rPr>
        <w:t xml:space="preserve">Во 2016 година ИПАРД Агенцијата потпиша најголем број на договори од почетокот на </w:t>
      </w:r>
      <w:r w:rsidR="00737709">
        <w:rPr>
          <w:rFonts w:ascii="StobiSerif Regular" w:hAnsi="StobiSerif Regular"/>
        </w:rPr>
        <w:t>спроведување</w:t>
      </w:r>
      <w:r w:rsidRPr="00207545">
        <w:rPr>
          <w:rFonts w:ascii="StobiSerif Regular" w:hAnsi="StobiSerif Regular"/>
          <w:lang w:val="en-US"/>
        </w:rPr>
        <w:t xml:space="preserve">, односно 560 договори со највисок износ на </w:t>
      </w:r>
      <w:r w:rsidR="005D36AB">
        <w:rPr>
          <w:rFonts w:ascii="StobiSerif Regular" w:hAnsi="StobiSerif Regular"/>
        </w:rPr>
        <w:t xml:space="preserve">јавни средства </w:t>
      </w:r>
      <w:r w:rsidR="00737709">
        <w:rPr>
          <w:rFonts w:ascii="StobiSerif Regular" w:hAnsi="StobiSerif Regular"/>
          <w:lang w:val="en-US"/>
        </w:rPr>
        <w:t>од 8.559.820 евра. Највисок</w:t>
      </w:r>
      <w:r w:rsidRPr="00207545">
        <w:rPr>
          <w:rFonts w:ascii="StobiSerif Regular" w:hAnsi="StobiSerif Regular"/>
          <w:lang w:val="en-US"/>
        </w:rPr>
        <w:t xml:space="preserve"> износ е исплатен и </w:t>
      </w:r>
      <w:r>
        <w:rPr>
          <w:rFonts w:ascii="StobiSerif Regular" w:hAnsi="StobiSerif Regular"/>
        </w:rPr>
        <w:t>кон</w:t>
      </w:r>
      <w:r w:rsidRPr="00207545">
        <w:rPr>
          <w:rFonts w:ascii="StobiSerif Regular" w:hAnsi="StobiSerif Regular"/>
          <w:lang w:val="en-US"/>
        </w:rPr>
        <w:t xml:space="preserve"> крајните корисници. Процесот на </w:t>
      </w:r>
      <w:r w:rsidR="00737709">
        <w:rPr>
          <w:rFonts w:ascii="StobiSerif Regular" w:hAnsi="StobiSerif Regular"/>
        </w:rPr>
        <w:t>потпишување на договори</w:t>
      </w:r>
      <w:r w:rsidR="00737709">
        <w:rPr>
          <w:rFonts w:ascii="StobiSerif Regular" w:hAnsi="StobiSerif Regular"/>
          <w:lang w:val="en-US"/>
        </w:rPr>
        <w:t xml:space="preserve"> беше </w:t>
      </w:r>
      <w:r w:rsidR="00737709">
        <w:rPr>
          <w:rFonts w:ascii="StobiSerif Regular" w:hAnsi="StobiSerif Regular"/>
        </w:rPr>
        <w:t>завршен</w:t>
      </w:r>
      <w:r w:rsidRPr="00207545">
        <w:rPr>
          <w:rFonts w:ascii="StobiSerif Regular" w:hAnsi="StobiSerif Regular"/>
          <w:lang w:val="en-US"/>
        </w:rPr>
        <w:t xml:space="preserve"> во 2016 година за сите примени апликации за кофинансирање </w:t>
      </w:r>
      <w:r w:rsidR="00737709">
        <w:rPr>
          <w:rFonts w:ascii="StobiSerif Regular" w:hAnsi="StobiSerif Regular"/>
        </w:rPr>
        <w:t>во</w:t>
      </w:r>
      <w:r w:rsidRPr="00207545">
        <w:rPr>
          <w:rFonts w:ascii="StobiSerif Regular" w:hAnsi="StobiSerif Regular"/>
          <w:lang w:val="en-US"/>
        </w:rPr>
        <w:t xml:space="preserve"> ИПАРД 2007-2013 година.</w:t>
      </w:r>
    </w:p>
    <w:p w:rsidR="00EF6EA3" w:rsidRDefault="00025807" w:rsidP="00737709">
      <w:pPr>
        <w:spacing w:before="120" w:after="120"/>
        <w:jc w:val="both"/>
        <w:rPr>
          <w:rFonts w:ascii="StobiSerif Regular" w:hAnsi="StobiSerif Regular"/>
          <w:lang w:val="en-US"/>
        </w:rPr>
      </w:pPr>
      <w:r w:rsidRPr="00025807">
        <w:rPr>
          <w:rFonts w:ascii="StobiSerif Regular" w:hAnsi="StobiSerif Regular"/>
          <w:lang w:val="en-US"/>
        </w:rPr>
        <w:t>За сите три мерки најголем дел од вкупно кофинансираните проекти доаѓаат од Пелагонискиот регион (374), по што следуваат Вардарскиот регион (187), Исток (63) и Југоисток (62). Но, во мерката 103, најмногу поддржани проекти доаѓаат од Југоисточниот и Источниот регион, по девет во секој регион.</w:t>
      </w:r>
    </w:p>
    <w:p w:rsidR="00EF6EA3" w:rsidRDefault="00EF6EA3" w:rsidP="006B2B4D">
      <w:pPr>
        <w:spacing w:before="120" w:after="120"/>
        <w:jc w:val="both"/>
        <w:rPr>
          <w:rFonts w:ascii="StobiSerif Regular" w:hAnsi="StobiSerif Regular"/>
          <w:lang w:val="en-US"/>
        </w:rPr>
      </w:pPr>
      <w:r w:rsidRPr="00EF6EA3">
        <w:rPr>
          <w:rFonts w:ascii="StobiSerif Regular" w:hAnsi="StobiSerif Regular"/>
          <w:lang w:val="en-US"/>
        </w:rPr>
        <w:t>Што се однесува до имплементацијата на ИПАРД Програмата, најкритичните прашања сè уште остануваат капацитети за човечки ресурси и временска рамка за обработка на апликациите. Бидејќи бројот на пријавени апликации за јавен повик е значително зголемен, сегашниот персонал се соочува со предизвикот да ги исполни роковите утврдени со закон за обработка на пријавите и побарувањата за плаќање.</w:t>
      </w:r>
    </w:p>
    <w:p w:rsidR="00025807" w:rsidRDefault="006B2B4D" w:rsidP="006B2B4D">
      <w:pPr>
        <w:spacing w:before="120" w:after="120"/>
        <w:jc w:val="both"/>
        <w:rPr>
          <w:rFonts w:ascii="StobiSerif Regular" w:hAnsi="StobiSerif Regular"/>
          <w:lang w:val="en-US"/>
        </w:rPr>
      </w:pPr>
      <w:r>
        <w:rPr>
          <w:rFonts w:ascii="StobiSerif Regular" w:hAnsi="StobiSerif Regular"/>
          <w:lang w:val="en-US"/>
        </w:rPr>
        <w:t>При обработката на барања</w:t>
      </w:r>
      <w:r w:rsidR="00F2234E" w:rsidRPr="00F2234E">
        <w:rPr>
          <w:rFonts w:ascii="StobiSerif Regular" w:hAnsi="StobiSerif Regular"/>
          <w:lang w:val="en-US"/>
        </w:rPr>
        <w:t xml:space="preserve"> за плаќање во 2016 година Агенцијата наиде на проблеми / тешкотии од корисниците во обезбедувањето на потребната документација.</w:t>
      </w:r>
    </w:p>
    <w:p w:rsidR="00025807" w:rsidRPr="00025807" w:rsidRDefault="00F2234E" w:rsidP="006B2B4D">
      <w:pPr>
        <w:spacing w:before="120" w:after="120"/>
        <w:jc w:val="both"/>
        <w:rPr>
          <w:rFonts w:ascii="StobiSerif Regular" w:hAnsi="StobiSerif Regular"/>
          <w:lang w:val="en-US"/>
        </w:rPr>
      </w:pPr>
      <w:r w:rsidRPr="00F2234E">
        <w:rPr>
          <w:rFonts w:ascii="StobiSerif Regular" w:hAnsi="StobiSerif Regular"/>
          <w:lang w:val="en-US"/>
        </w:rPr>
        <w:t xml:space="preserve">Посебни проблематични области </w:t>
      </w:r>
      <w:r w:rsidR="006B2B4D">
        <w:rPr>
          <w:rFonts w:ascii="StobiSerif Regular" w:hAnsi="StobiSerif Regular"/>
        </w:rPr>
        <w:t>се</w:t>
      </w:r>
      <w:r w:rsidRPr="00F2234E">
        <w:rPr>
          <w:rFonts w:ascii="StobiSerif Regular" w:hAnsi="StobiSerif Regular"/>
          <w:lang w:val="en-US"/>
        </w:rPr>
        <w:t xml:space="preserve"> почитување на роковите и одредбите наведени во договорот за кофинансирање, обезбедување на доказ за потекло на материјалите и опремата, навремено и правилно ажурирање на сметководствената евиденција.</w:t>
      </w:r>
    </w:p>
    <w:p w:rsidR="00025807" w:rsidRPr="00025807" w:rsidRDefault="00025807" w:rsidP="006B2B4D">
      <w:pPr>
        <w:spacing w:before="120" w:after="120"/>
        <w:jc w:val="both"/>
        <w:rPr>
          <w:rFonts w:ascii="StobiSerif Regular" w:hAnsi="StobiSerif Regular"/>
          <w:lang w:val="en-US"/>
        </w:rPr>
      </w:pPr>
      <w:r w:rsidRPr="00025807">
        <w:rPr>
          <w:rFonts w:ascii="StobiSerif Regular" w:hAnsi="StobiSerif Regular"/>
          <w:lang w:val="en-US"/>
        </w:rPr>
        <w:t>ТУ (Телото за управување) во јануари 2016</w:t>
      </w:r>
      <w:r w:rsidR="006B2B4D">
        <w:rPr>
          <w:rFonts w:ascii="StobiSerif Regular" w:hAnsi="StobiSerif Regular"/>
          <w:lang w:val="en-US"/>
        </w:rPr>
        <w:t>, достави Акци</w:t>
      </w:r>
      <w:r w:rsidR="006B2B4D">
        <w:rPr>
          <w:rFonts w:ascii="StobiSerif Regular" w:hAnsi="StobiSerif Regular"/>
        </w:rPr>
        <w:t>ски</w:t>
      </w:r>
      <w:r w:rsidRPr="00025807">
        <w:rPr>
          <w:rFonts w:ascii="StobiSerif Regular" w:hAnsi="StobiSerif Regular"/>
          <w:lang w:val="en-US"/>
        </w:rPr>
        <w:t xml:space="preserve"> план за активности предвидени во мерката Техничка помош (АПТП) до Агенцијата, кој беше усвоен на ИПАРД Мониторинг Комитетот на 17.02.2016.  </w:t>
      </w:r>
    </w:p>
    <w:p w:rsidR="00DD5F35" w:rsidRPr="006B2B4D" w:rsidRDefault="00025807" w:rsidP="006B2B4D">
      <w:pPr>
        <w:spacing w:before="120" w:after="120"/>
        <w:ind w:firstLine="284"/>
        <w:jc w:val="both"/>
        <w:rPr>
          <w:rFonts w:ascii="StobiSerif Regular" w:hAnsi="StobiSerif Regular"/>
          <w:lang w:val="en-US"/>
        </w:rPr>
      </w:pPr>
      <w:r w:rsidRPr="00025807">
        <w:rPr>
          <w:rFonts w:ascii="StobiSerif Regular" w:hAnsi="StobiSerif Regular"/>
          <w:lang w:val="en-US"/>
        </w:rPr>
        <w:t>Првата активност, која се однесуваше на  Организација на состаноци за одржување на Комитетот за следење, беше спроведена со постапката за јавни набавки до 2 500 евра согласно ПРАГ процедурите за јавни набавки. Постапката резултираше со договор за финансиска поддршка склучен с</w:t>
      </w:r>
      <w:r w:rsidR="006B2B4D">
        <w:rPr>
          <w:rFonts w:ascii="StobiSerif Regular" w:hAnsi="StobiSerif Regular"/>
          <w:lang w:val="en-US"/>
        </w:rPr>
        <w:t xml:space="preserve">о АФПЗРР во вредност од 1554€. </w:t>
      </w:r>
      <w:r w:rsidR="006B2B4D">
        <w:rPr>
          <w:rFonts w:ascii="StobiSerif Regular" w:hAnsi="StobiSerif Regular"/>
        </w:rPr>
        <w:t xml:space="preserve"> </w:t>
      </w:r>
      <w:r w:rsidRPr="00025807">
        <w:rPr>
          <w:rFonts w:ascii="StobiSerif Regular" w:hAnsi="StobiSerif Regular"/>
          <w:lang w:val="en-US"/>
        </w:rPr>
        <w:t xml:space="preserve">Оваа активност не </w:t>
      </w:r>
      <w:r w:rsidRPr="00025807">
        <w:rPr>
          <w:rFonts w:ascii="StobiSerif Regular" w:hAnsi="StobiSerif Regular"/>
          <w:lang w:val="en-US"/>
        </w:rPr>
        <w:lastRenderedPageBreak/>
        <w:t xml:space="preserve">е реализирана заради спорниот член 2 </w:t>
      </w:r>
      <w:r w:rsidR="006B2B4D">
        <w:rPr>
          <w:rFonts w:ascii="StobiSerif Regular" w:hAnsi="StobiSerif Regular"/>
        </w:rPr>
        <w:t>во</w:t>
      </w:r>
      <w:r w:rsidRPr="00025807">
        <w:rPr>
          <w:rFonts w:ascii="StobiSerif Regular" w:hAnsi="StobiSerif Regular"/>
          <w:lang w:val="en-US"/>
        </w:rPr>
        <w:t xml:space="preserve"> Договорот склучен со </w:t>
      </w:r>
      <w:r w:rsidR="006566AC">
        <w:rPr>
          <w:rFonts w:ascii="StobiSerif Regular" w:hAnsi="StobiSerif Regular"/>
        </w:rPr>
        <w:t>ИПАРД Агенцијата</w:t>
      </w:r>
      <w:r w:rsidRPr="00025807">
        <w:rPr>
          <w:rFonts w:ascii="StobiSerif Regular" w:hAnsi="StobiSerif Regular"/>
          <w:lang w:val="en-US"/>
        </w:rPr>
        <w:t xml:space="preserve">, односно рокот за плаќањата е идентичен со рокот </w:t>
      </w:r>
      <w:r w:rsidR="006B2B4D">
        <w:rPr>
          <w:rFonts w:ascii="StobiSerif Regular" w:hAnsi="StobiSerif Regular"/>
          <w:lang w:val="en-US"/>
        </w:rPr>
        <w:t xml:space="preserve"> за спроведување на активност </w:t>
      </w:r>
      <w:r w:rsidR="006B2B4D">
        <w:rPr>
          <w:rFonts w:ascii="StobiSerif Regular" w:hAnsi="StobiSerif Regular"/>
        </w:rPr>
        <w:t xml:space="preserve">. </w:t>
      </w:r>
      <w:r w:rsidR="006566AC">
        <w:rPr>
          <w:rFonts w:ascii="StobiSerif Regular" w:hAnsi="StobiSerif Regular"/>
        </w:rPr>
        <w:t>ИПАРД Агенцијата</w:t>
      </w:r>
      <w:r w:rsidRPr="00025807">
        <w:rPr>
          <w:rFonts w:ascii="StobiSerif Regular" w:hAnsi="StobiSerif Regular"/>
          <w:lang w:val="en-US"/>
        </w:rPr>
        <w:t xml:space="preserve"> го одби барањето за поврат на финансиските средства за одржување на настанот доставено од страна ТУ.</w:t>
      </w:r>
    </w:p>
    <w:p w:rsidR="00EA087B" w:rsidRDefault="00AE5153" w:rsidP="006B2B4D">
      <w:pPr>
        <w:spacing w:before="120" w:after="120"/>
        <w:jc w:val="both"/>
        <w:rPr>
          <w:rFonts w:ascii="StobiSerif Regular" w:eastAsia="Times New Roman" w:hAnsi="StobiSerif Regular" w:cs="Times New Roman"/>
          <w:bCs/>
          <w:lang w:val="en-US" w:eastAsia="mk-MK"/>
        </w:rPr>
      </w:pPr>
      <w:r>
        <w:rPr>
          <w:rFonts w:ascii="StobiSerif Regular" w:eastAsia="Times New Roman" w:hAnsi="StobiSerif Regular" w:cs="Times New Roman"/>
          <w:bCs/>
          <w:lang w:eastAsia="mk-MK"/>
        </w:rPr>
        <w:t xml:space="preserve">18ти Комитет за следење на ИПАРД беше одржан на 7.12.2016 год. </w:t>
      </w:r>
    </w:p>
    <w:p w:rsidR="002B52CD" w:rsidRPr="002B52CD" w:rsidRDefault="002B52CD" w:rsidP="006B2B4D">
      <w:pPr>
        <w:jc w:val="both"/>
        <w:rPr>
          <w:rFonts w:ascii="StobiSerif Regular" w:eastAsia="Calibri" w:hAnsi="StobiSerif Regular" w:cs="Times New Roman"/>
        </w:rPr>
      </w:pPr>
      <w:r w:rsidRPr="002B52CD">
        <w:rPr>
          <w:rFonts w:ascii="StobiSerif Regular" w:eastAsia="Calibri" w:hAnsi="StobiSerif Regular" w:cs="Times New Roman"/>
        </w:rPr>
        <w:t>Согласно одредбите од Регулативата за спроведување на Комисијата (ЕУ) бр. 447/2014 и Рамковниот договор за ИПА II, НАО на 25.05.2016 година со писмо бр. 10-3270 / 1 достави официјално барање за доверување на задачите за извршување на буџетот за Индиректно управување поврзано со следниве мерки содржани во Повеќегодишната програма за рурален развој 2014-2020:</w:t>
      </w:r>
    </w:p>
    <w:p w:rsidR="002B52CD" w:rsidRPr="002B52CD" w:rsidRDefault="006B2B4D" w:rsidP="002B52CD">
      <w:pPr>
        <w:pStyle w:val="ListParagraph"/>
        <w:numPr>
          <w:ilvl w:val="0"/>
          <w:numId w:val="51"/>
        </w:numPr>
        <w:jc w:val="both"/>
        <w:rPr>
          <w:rFonts w:ascii="StobiSerif Regular" w:eastAsia="Calibri" w:hAnsi="StobiSerif Regular" w:cs="Times New Roman"/>
        </w:rPr>
      </w:pPr>
      <w:r>
        <w:rPr>
          <w:rFonts w:ascii="StobiSerif Regular" w:eastAsia="Calibri" w:hAnsi="StobiSerif Regular" w:cs="Times New Roman"/>
        </w:rPr>
        <w:t>Инвестиции во материјални</w:t>
      </w:r>
      <w:r w:rsidR="002B52CD" w:rsidRPr="002B52CD">
        <w:rPr>
          <w:rFonts w:ascii="StobiSerif Regular" w:eastAsia="Calibri" w:hAnsi="StobiSerif Regular" w:cs="Times New Roman"/>
        </w:rPr>
        <w:t xml:space="preserve"> средства на земјоделски стопанства,</w:t>
      </w:r>
    </w:p>
    <w:p w:rsidR="002B52CD" w:rsidRPr="002B52CD" w:rsidRDefault="002B52CD" w:rsidP="002B52CD">
      <w:pPr>
        <w:pStyle w:val="ListParagraph"/>
        <w:numPr>
          <w:ilvl w:val="0"/>
          <w:numId w:val="51"/>
        </w:numPr>
        <w:jc w:val="both"/>
        <w:rPr>
          <w:rFonts w:ascii="StobiSerif Regular" w:eastAsia="Calibri" w:hAnsi="StobiSerif Regular" w:cs="Times New Roman"/>
        </w:rPr>
      </w:pPr>
      <w:r w:rsidRPr="002B52CD">
        <w:rPr>
          <w:rFonts w:ascii="StobiSerif Regular" w:eastAsia="Calibri" w:hAnsi="StobiSerif Regular" w:cs="Times New Roman"/>
        </w:rPr>
        <w:t>Инвестиц</w:t>
      </w:r>
      <w:r w:rsidR="006B2B4D">
        <w:rPr>
          <w:rFonts w:ascii="StobiSerif Regular" w:eastAsia="Calibri" w:hAnsi="StobiSerif Regular" w:cs="Times New Roman"/>
        </w:rPr>
        <w:t>ии во материјални</w:t>
      </w:r>
      <w:r w:rsidRPr="002B52CD">
        <w:rPr>
          <w:rFonts w:ascii="StobiSerif Regular" w:eastAsia="Calibri" w:hAnsi="StobiSerif Regular" w:cs="Times New Roman"/>
        </w:rPr>
        <w:t xml:space="preserve"> средства во врска со преработка и маркетинг на земјоделски и рибни производи,</w:t>
      </w:r>
    </w:p>
    <w:p w:rsidR="002B52CD" w:rsidRPr="002B52CD" w:rsidRDefault="002B52CD" w:rsidP="002B52CD">
      <w:pPr>
        <w:pStyle w:val="ListParagraph"/>
        <w:numPr>
          <w:ilvl w:val="0"/>
          <w:numId w:val="51"/>
        </w:numPr>
        <w:jc w:val="both"/>
        <w:rPr>
          <w:rFonts w:ascii="StobiSerif Regular" w:eastAsia="Calibri" w:hAnsi="StobiSerif Regular" w:cs="Times New Roman"/>
        </w:rPr>
      </w:pPr>
      <w:r>
        <w:rPr>
          <w:rFonts w:ascii="StobiSerif Regular" w:eastAsia="Calibri" w:hAnsi="StobiSerif Regular" w:cs="Times New Roman"/>
        </w:rPr>
        <w:t>Д</w:t>
      </w:r>
      <w:r w:rsidRPr="002B52CD">
        <w:rPr>
          <w:rFonts w:ascii="StobiSerif Regular" w:eastAsia="Calibri" w:hAnsi="StobiSerif Regular" w:cs="Times New Roman"/>
        </w:rPr>
        <w:t>иверзификација на фарми и развој на бизнисот и</w:t>
      </w:r>
    </w:p>
    <w:p w:rsidR="002B52CD" w:rsidRPr="002B52CD" w:rsidRDefault="002B52CD" w:rsidP="002B52CD">
      <w:pPr>
        <w:pStyle w:val="ListParagraph"/>
        <w:numPr>
          <w:ilvl w:val="0"/>
          <w:numId w:val="51"/>
        </w:numPr>
        <w:jc w:val="both"/>
        <w:rPr>
          <w:rFonts w:ascii="StobiSerif Regular" w:eastAsia="Calibri" w:hAnsi="StobiSerif Regular" w:cs="Times New Roman"/>
        </w:rPr>
      </w:pPr>
      <w:r w:rsidRPr="002B52CD">
        <w:rPr>
          <w:rFonts w:ascii="StobiSerif Regular" w:eastAsia="Calibri" w:hAnsi="StobiSerif Regular" w:cs="Times New Roman"/>
        </w:rPr>
        <w:t>Мерка за техничка помош.</w:t>
      </w:r>
    </w:p>
    <w:p w:rsidR="002B52CD" w:rsidRPr="002B52CD" w:rsidRDefault="002B52CD" w:rsidP="007339EA">
      <w:pPr>
        <w:ind w:firstLine="284"/>
        <w:jc w:val="both"/>
        <w:rPr>
          <w:rFonts w:ascii="StobiSerif Regular" w:eastAsia="Calibri" w:hAnsi="StobiSerif Regular" w:cs="Times New Roman"/>
        </w:rPr>
      </w:pPr>
      <w:r w:rsidRPr="002B52CD">
        <w:rPr>
          <w:rFonts w:ascii="StobiSerif Regular" w:eastAsia="Calibri" w:hAnsi="StobiSerif Regular" w:cs="Times New Roman"/>
        </w:rPr>
        <w:t xml:space="preserve">Со писмо бр. Арес (2017) 499409 - од 30.01.2017 година </w:t>
      </w:r>
      <w:r w:rsidR="00177678" w:rsidRPr="002B52CD">
        <w:rPr>
          <w:rFonts w:ascii="StobiSerif Regular" w:eastAsia="Calibri" w:hAnsi="StobiSerif Regular" w:cs="Times New Roman"/>
        </w:rPr>
        <w:t>поднесе</w:t>
      </w:r>
      <w:r w:rsidR="00177678">
        <w:rPr>
          <w:rFonts w:ascii="StobiSerif Regular" w:eastAsia="Calibri" w:hAnsi="StobiSerif Regular" w:cs="Times New Roman"/>
        </w:rPr>
        <w:t>но од</w:t>
      </w:r>
      <w:r w:rsidR="00177678" w:rsidRPr="002B52CD">
        <w:rPr>
          <w:rFonts w:ascii="StobiSerif Regular" w:eastAsia="Calibri" w:hAnsi="StobiSerif Regular" w:cs="Times New Roman"/>
        </w:rPr>
        <w:t xml:space="preserve"> </w:t>
      </w:r>
      <w:r w:rsidR="00177678">
        <w:rPr>
          <w:rFonts w:ascii="StobiSerif Regular" w:eastAsia="Calibri" w:hAnsi="StobiSerif Regular" w:cs="Times New Roman"/>
        </w:rPr>
        <w:t xml:space="preserve">ДГ АГРИ, </w:t>
      </w:r>
      <w:r w:rsidRPr="002B52CD">
        <w:rPr>
          <w:rFonts w:ascii="StobiSerif Regular" w:eastAsia="Calibri" w:hAnsi="StobiSerif Regular" w:cs="Times New Roman"/>
        </w:rPr>
        <w:t>ЕК констатира</w:t>
      </w:r>
      <w:r w:rsidR="00177678">
        <w:rPr>
          <w:rFonts w:ascii="StobiSerif Regular" w:eastAsia="Calibri" w:hAnsi="StobiSerif Regular" w:cs="Times New Roman"/>
        </w:rPr>
        <w:t>ше</w:t>
      </w:r>
      <w:r w:rsidRPr="002B52CD">
        <w:rPr>
          <w:rFonts w:ascii="StobiSerif Regular" w:eastAsia="Calibri" w:hAnsi="StobiSerif Regular" w:cs="Times New Roman"/>
        </w:rPr>
        <w:t xml:space="preserve"> дека </w:t>
      </w:r>
      <w:r w:rsidR="006B2B4D">
        <w:rPr>
          <w:rFonts w:ascii="StobiSerif Regular" w:eastAsia="Calibri" w:hAnsi="StobiSerif Regular" w:cs="Times New Roman"/>
        </w:rPr>
        <w:t>инсистуциите</w:t>
      </w:r>
      <w:r w:rsidRPr="002B52CD">
        <w:rPr>
          <w:rFonts w:ascii="StobiSerif Regular" w:eastAsia="Calibri" w:hAnsi="StobiSerif Regular" w:cs="Times New Roman"/>
        </w:rPr>
        <w:t xml:space="preserve"> во Република Македонија задоволително се осврнале на главните прашања доставени во писмото Арес (2016) 249476 </w:t>
      </w:r>
      <w:r w:rsidR="006B2B4D">
        <w:rPr>
          <w:rFonts w:ascii="StobiSerif Regular" w:eastAsia="Calibri" w:hAnsi="StobiSerif Regular" w:cs="Times New Roman"/>
        </w:rPr>
        <w:t xml:space="preserve">во мај 2016 година </w:t>
      </w:r>
      <w:r w:rsidRPr="002B52CD">
        <w:rPr>
          <w:rFonts w:ascii="StobiSerif Regular" w:eastAsia="Calibri" w:hAnsi="StobiSerif Regular" w:cs="Times New Roman"/>
        </w:rPr>
        <w:t xml:space="preserve">и дека структурите </w:t>
      </w:r>
      <w:r w:rsidR="00177678">
        <w:rPr>
          <w:rFonts w:ascii="StobiSerif Regular" w:eastAsia="Calibri" w:hAnsi="StobiSerif Regular" w:cs="Times New Roman"/>
        </w:rPr>
        <w:t>и</w:t>
      </w:r>
      <w:r w:rsidRPr="002B52CD">
        <w:rPr>
          <w:rFonts w:ascii="StobiSerif Regular" w:eastAsia="Calibri" w:hAnsi="StobiSerif Regular" w:cs="Times New Roman"/>
        </w:rPr>
        <w:t xml:space="preserve"> процедурите поставени за ИПАРД II ги исполнуваат минималните услови наведени во член 13 (4) од Рамковниот договор. Следствено, доверувањето за управување со горенаведените мерки според ИПАРД II може да се додели со склучување на </w:t>
      </w:r>
      <w:r w:rsidR="007339EA">
        <w:rPr>
          <w:rFonts w:ascii="StobiSerif Regular" w:eastAsia="Calibri" w:hAnsi="StobiSerif Regular" w:cs="Times New Roman"/>
        </w:rPr>
        <w:t>Финансиски договор</w:t>
      </w:r>
      <w:r w:rsidRPr="002B52CD">
        <w:rPr>
          <w:rFonts w:ascii="StobiSerif Regular" w:eastAsia="Calibri" w:hAnsi="StobiSerif Regular" w:cs="Times New Roman"/>
        </w:rPr>
        <w:t xml:space="preserve">. Финансискиот договор </w:t>
      </w:r>
      <w:r w:rsidR="007339EA">
        <w:rPr>
          <w:rFonts w:ascii="StobiSerif Regular" w:eastAsia="Calibri" w:hAnsi="StobiSerif Regular" w:cs="Times New Roman"/>
        </w:rPr>
        <w:t>беше  потпишан</w:t>
      </w:r>
      <w:r w:rsidRPr="002B52CD">
        <w:rPr>
          <w:rFonts w:ascii="StobiSerif Regular" w:eastAsia="Calibri" w:hAnsi="StobiSerif Regular" w:cs="Times New Roman"/>
        </w:rPr>
        <w:t xml:space="preserve"> двете страни, Европската комисија и Владата на Република Македонија во март 2017 година.</w:t>
      </w:r>
    </w:p>
    <w:p w:rsidR="00AA57EC" w:rsidRDefault="002B52CD" w:rsidP="007339EA">
      <w:pPr>
        <w:jc w:val="both"/>
        <w:rPr>
          <w:rFonts w:ascii="StobiSerif Regular" w:eastAsia="Calibri" w:hAnsi="StobiSerif Regular" w:cs="Times New Roman"/>
        </w:rPr>
      </w:pPr>
      <w:r w:rsidRPr="002B52CD">
        <w:rPr>
          <w:rFonts w:ascii="StobiSerif Regular" w:eastAsia="Calibri" w:hAnsi="StobiSerif Regular" w:cs="Times New Roman"/>
        </w:rPr>
        <w:t xml:space="preserve">Во моментот на подготовка на овој извештај беше објавен првиот повик за користење на средствата од ИПАРД 2014-2020 година. Повикот за </w:t>
      </w:r>
      <w:r w:rsidR="007339EA">
        <w:rPr>
          <w:rFonts w:ascii="StobiSerif Regular" w:eastAsia="Calibri" w:hAnsi="StobiSerif Regular" w:cs="Times New Roman"/>
        </w:rPr>
        <w:t>доставување барања е</w:t>
      </w:r>
      <w:r w:rsidRPr="002B52CD">
        <w:rPr>
          <w:rFonts w:ascii="StobiSerif Regular" w:eastAsia="Calibri" w:hAnsi="StobiSerif Regular" w:cs="Times New Roman"/>
        </w:rPr>
        <w:t xml:space="preserve"> отворен на 24.04.</w:t>
      </w:r>
      <w:r w:rsidR="007339EA">
        <w:rPr>
          <w:rFonts w:ascii="StobiSerif Regular" w:eastAsia="Calibri" w:hAnsi="StobiSerif Regular" w:cs="Times New Roman"/>
        </w:rPr>
        <w:t>2017 година за сите три мерки: „</w:t>
      </w:r>
      <w:r w:rsidRPr="002B52CD">
        <w:rPr>
          <w:rFonts w:ascii="StobiSerif Regular" w:eastAsia="Calibri" w:hAnsi="StobiSerif Regular" w:cs="Times New Roman"/>
        </w:rPr>
        <w:t xml:space="preserve">Инвестиции во </w:t>
      </w:r>
      <w:r w:rsidR="007339EA">
        <w:rPr>
          <w:rFonts w:ascii="StobiSerif Regular" w:eastAsia="Calibri" w:hAnsi="StobiSerif Regular" w:cs="Times New Roman"/>
        </w:rPr>
        <w:t>материјални</w:t>
      </w:r>
      <w:r w:rsidRPr="002B52CD">
        <w:rPr>
          <w:rFonts w:ascii="StobiSerif Regular" w:eastAsia="Calibri" w:hAnsi="StobiSerif Regular" w:cs="Times New Roman"/>
        </w:rPr>
        <w:t xml:space="preserve"> средства</w:t>
      </w:r>
      <w:r w:rsidR="007339EA">
        <w:rPr>
          <w:rFonts w:ascii="StobiSerif Regular" w:eastAsia="Calibri" w:hAnsi="StobiSerif Regular" w:cs="Times New Roman"/>
        </w:rPr>
        <w:t xml:space="preserve"> на земјоделски стопанства", „Инвестиции во материјални</w:t>
      </w:r>
      <w:r w:rsidRPr="002B52CD">
        <w:rPr>
          <w:rFonts w:ascii="StobiSerif Regular" w:eastAsia="Calibri" w:hAnsi="StobiSerif Regular" w:cs="Times New Roman"/>
        </w:rPr>
        <w:t xml:space="preserve"> средства во врска со преработка и маркетинг на зе</w:t>
      </w:r>
      <w:r w:rsidR="007339EA">
        <w:rPr>
          <w:rFonts w:ascii="StobiSerif Regular" w:eastAsia="Calibri" w:hAnsi="StobiSerif Regular" w:cs="Times New Roman"/>
        </w:rPr>
        <w:t>мјоделски и рибни производи" и „</w:t>
      </w:r>
      <w:r w:rsidRPr="002B52CD">
        <w:rPr>
          <w:rFonts w:ascii="StobiSerif Regular" w:eastAsia="Calibri" w:hAnsi="StobiSerif Regular" w:cs="Times New Roman"/>
        </w:rPr>
        <w:t>Диверзификација на фарми и развој на бизнисот". Повикот ќе биде затворен на 23.06.2017</w:t>
      </w:r>
      <w:r w:rsidR="006A4C8E">
        <w:rPr>
          <w:rFonts w:ascii="StobiSerif Regular" w:eastAsia="Calibri" w:hAnsi="StobiSerif Regular" w:cs="Times New Roman"/>
        </w:rPr>
        <w:t>.</w:t>
      </w:r>
    </w:p>
    <w:p w:rsidR="00BB5873" w:rsidRDefault="00BB5873" w:rsidP="001614DE">
      <w:pPr>
        <w:ind w:firstLine="284"/>
        <w:jc w:val="both"/>
        <w:rPr>
          <w:rFonts w:ascii="StobiSerif Regular" w:hAnsi="StobiSerif Regular"/>
          <w:color w:val="FF0000"/>
          <w:lang w:val="en-US"/>
        </w:rPr>
      </w:pPr>
    </w:p>
    <w:p w:rsidR="007339EA" w:rsidRDefault="007339EA">
      <w:pPr>
        <w:rPr>
          <w:rFonts w:ascii="StobiSerif Regular" w:hAnsi="StobiSerif Regular"/>
          <w:color w:val="FF0000"/>
          <w:lang w:val="en-US"/>
        </w:rPr>
      </w:pPr>
      <w:r>
        <w:rPr>
          <w:rFonts w:ascii="StobiSerif Regular" w:hAnsi="StobiSerif Regular"/>
          <w:color w:val="FF0000"/>
          <w:lang w:val="en-US"/>
        </w:rPr>
        <w:br w:type="page"/>
      </w:r>
    </w:p>
    <w:p w:rsidR="00690375" w:rsidRPr="00A1329B" w:rsidRDefault="00B3694D" w:rsidP="00475FB8">
      <w:pPr>
        <w:outlineLvl w:val="1"/>
        <w:rPr>
          <w:rFonts w:ascii="StobiSerif Regular" w:eastAsia="Calibri" w:hAnsi="StobiSerif Regular" w:cs="Times New Roman"/>
          <w:color w:val="365F91" w:themeColor="accent1" w:themeShade="BF"/>
        </w:rPr>
      </w:pPr>
      <w:bookmarkStart w:id="3" w:name="_Toc485394799"/>
      <w:r w:rsidRPr="00B3694D">
        <w:rPr>
          <w:rFonts w:ascii="StobiSerif Regular" w:eastAsia="Calibri" w:hAnsi="StobiSerif Regular" w:cs="Times New Roman"/>
          <w:color w:val="365F91" w:themeColor="accent1" w:themeShade="BF"/>
        </w:rPr>
        <w:lastRenderedPageBreak/>
        <w:t>ЛИСТА НА АКРОНИМИ</w:t>
      </w:r>
      <w:bookmarkEnd w:id="3"/>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p>
    <w:p w:rsidR="006F174B" w:rsidRPr="006F174B" w:rsidRDefault="0080641A" w:rsidP="006F174B">
      <w:pPr>
        <w:autoSpaceDE w:val="0"/>
        <w:autoSpaceDN w:val="0"/>
        <w:adjustRightInd w:val="0"/>
        <w:spacing w:after="0" w:line="240" w:lineRule="auto"/>
        <w:rPr>
          <w:rFonts w:ascii="StobiSerif Regular" w:eastAsia="Calibri" w:hAnsi="StobiSerif Regular" w:cs="Times New Roman"/>
        </w:rPr>
      </w:pPr>
      <w:r>
        <w:rPr>
          <w:rFonts w:ascii="StobiSerif Regular" w:eastAsia="Calibri" w:hAnsi="StobiSerif Regular" w:cs="Times New Roman"/>
        </w:rPr>
        <w:t>АХВ</w:t>
      </w:r>
      <w:r>
        <w:rPr>
          <w:rFonts w:ascii="StobiSerif Regular" w:eastAsia="Calibri" w:hAnsi="StobiSerif Regular" w:cs="Times New Roman"/>
        </w:rPr>
        <w:tab/>
      </w:r>
      <w:r>
        <w:rPr>
          <w:rFonts w:ascii="StobiSerif Regular" w:eastAsia="Calibri" w:hAnsi="StobiSerif Regular" w:cs="Times New Roman"/>
        </w:rPr>
        <w:tab/>
      </w:r>
      <w:r>
        <w:rPr>
          <w:rFonts w:ascii="StobiSerif Regular" w:eastAsia="Calibri" w:hAnsi="StobiSerif Regular" w:cs="Times New Roman"/>
        </w:rPr>
        <w:tab/>
        <w:t>Агенција за храна и ветеринарство</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Pr>
          <w:rFonts w:ascii="StobiSerif Regular" w:eastAsia="Calibri" w:hAnsi="StobiSerif Regular" w:cs="Times New Roman"/>
        </w:rPr>
        <w:t>ч</w:t>
      </w:r>
      <w:r w:rsidRPr="006F174B">
        <w:rPr>
          <w:rFonts w:ascii="StobiSerif Regular" w:eastAsia="Calibri" w:hAnsi="StobiSerif Regular" w:cs="Times New Roman"/>
        </w:rPr>
        <w:t xml:space="preserve">л. </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Член</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БП</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Бизнис План</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ДГ Агри</w:t>
      </w:r>
      <w:r w:rsidRPr="006F174B">
        <w:rPr>
          <w:rFonts w:ascii="StobiSerif Regular" w:eastAsia="Calibri" w:hAnsi="StobiSerif Regular" w:cs="Times New Roman"/>
        </w:rPr>
        <w:tab/>
      </w:r>
      <w:r w:rsidRPr="006F174B">
        <w:rPr>
          <w:rFonts w:ascii="StobiSerif Regular" w:eastAsia="Calibri" w:hAnsi="StobiSerif Regular" w:cs="Times New Roman"/>
        </w:rPr>
        <w:tab/>
        <w:t xml:space="preserve">Генерален Директорат за земјоделство и рурален развој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ЕК</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Европска Комисија</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ЕУ</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Европска Унија</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ФР</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Фарм Регистар</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БДП</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Бруто домашниот производ</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БДВ</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Бруто-додадена вредност</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ха</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хектар</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ИПАРД</w:t>
      </w:r>
      <w:r w:rsidRPr="006F174B">
        <w:rPr>
          <w:rFonts w:ascii="StobiSerif Regular" w:eastAsia="Calibri" w:hAnsi="StobiSerif Regular" w:cs="Times New Roman"/>
        </w:rPr>
        <w:tab/>
        <w:t xml:space="preserve">Инструмент за предпристапна помош за рурален развој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ИПАРД Агенција</w:t>
      </w:r>
      <w:r w:rsidRPr="006F174B">
        <w:rPr>
          <w:rFonts w:ascii="StobiSerif Regular" w:eastAsia="Calibri" w:hAnsi="StobiSerif Regular" w:cs="Times New Roman"/>
        </w:rPr>
        <w:tab/>
        <w:t xml:space="preserve">Агенција за финансиска подршка во земјоделството и руралниот развој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 xml:space="preserve">M 101 </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Инвестиции на земјоделските стопанства</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M 103</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 xml:space="preserve">Инвестиции во преработка и маркетинг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 xml:space="preserve">M 302 </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Рурална дивезификација</w:t>
      </w:r>
    </w:p>
    <w:p w:rsid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M 501</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Техничка помош</w:t>
      </w:r>
    </w:p>
    <w:p w:rsidR="00B3694D" w:rsidRPr="006F174B" w:rsidRDefault="00B3694D" w:rsidP="006F174B">
      <w:pPr>
        <w:autoSpaceDE w:val="0"/>
        <w:autoSpaceDN w:val="0"/>
        <w:adjustRightInd w:val="0"/>
        <w:spacing w:after="0" w:line="240" w:lineRule="auto"/>
        <w:rPr>
          <w:rFonts w:ascii="StobiSerif Regular" w:eastAsia="Calibri" w:hAnsi="StobiSerif Regular" w:cs="Times New Roman"/>
        </w:rPr>
      </w:pPr>
      <w:r>
        <w:rPr>
          <w:rFonts w:ascii="StobiSerif Regular" w:eastAsia="Calibri" w:hAnsi="StobiSerif Regular" w:cs="Times New Roman"/>
        </w:rPr>
        <w:t>МСП</w:t>
      </w:r>
      <w:r>
        <w:rPr>
          <w:rFonts w:ascii="StobiSerif Regular" w:eastAsia="Calibri" w:hAnsi="StobiSerif Regular" w:cs="Times New Roman"/>
        </w:rPr>
        <w:tab/>
      </w:r>
      <w:r>
        <w:rPr>
          <w:rFonts w:ascii="StobiSerif Regular" w:eastAsia="Calibri" w:hAnsi="StobiSerif Regular" w:cs="Times New Roman"/>
        </w:rPr>
        <w:tab/>
      </w:r>
      <w:r>
        <w:rPr>
          <w:rFonts w:ascii="StobiSerif Regular" w:eastAsia="Calibri" w:hAnsi="StobiSerif Regular" w:cs="Times New Roman"/>
        </w:rPr>
        <w:tab/>
        <w:t>Мали и средни претпријатија</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ТУ</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Тело за управување</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ПГФД</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 xml:space="preserve">Повеќе годошен финансиски договор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ПГФР</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 xml:space="preserve">Повеќе годишна финансиска рамка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МЗШВ</w:t>
      </w:r>
      <w:r w:rsidRPr="006F174B">
        <w:rPr>
          <w:rFonts w:ascii="StobiSerif Regular" w:eastAsia="Calibri" w:hAnsi="StobiSerif Regular" w:cs="Times New Roman"/>
        </w:rPr>
        <w:tab/>
      </w:r>
      <w:r w:rsidRPr="006F174B">
        <w:rPr>
          <w:rFonts w:ascii="StobiSerif Regular" w:eastAsia="Calibri" w:hAnsi="StobiSerif Regular" w:cs="Times New Roman"/>
        </w:rPr>
        <w:tab/>
        <w:t xml:space="preserve">Министерство за земјоделство,шумарство и водостопанство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КС</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Комитет за следење</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ПГИПД</w:t>
      </w:r>
      <w:r w:rsidRPr="006F174B">
        <w:rPr>
          <w:rFonts w:ascii="StobiSerif Regular" w:eastAsia="Calibri" w:hAnsi="StobiSerif Regular" w:cs="Times New Roman"/>
        </w:rPr>
        <w:tab/>
      </w:r>
      <w:r w:rsidRPr="006F174B">
        <w:rPr>
          <w:rFonts w:ascii="StobiSerif Regular" w:eastAsia="Calibri" w:hAnsi="StobiSerif Regular" w:cs="Times New Roman"/>
        </w:rPr>
        <w:tab/>
        <w:t xml:space="preserve">Повеќе годишен индикативен плански документ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МФ</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Министерство за финансии</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МЖСПП</w:t>
      </w:r>
      <w:r w:rsidRPr="006F174B">
        <w:rPr>
          <w:rFonts w:ascii="StobiSerif Regular" w:eastAsia="Calibri" w:hAnsi="StobiSerif Regular" w:cs="Times New Roman"/>
        </w:rPr>
        <w:tab/>
        <w:t xml:space="preserve"> </w:t>
      </w:r>
      <w:r w:rsidRPr="006F174B">
        <w:rPr>
          <w:rFonts w:ascii="StobiSerif Regular" w:eastAsia="Calibri" w:hAnsi="StobiSerif Regular" w:cs="Times New Roman"/>
        </w:rPr>
        <w:tab/>
        <w:t xml:space="preserve">Министерство за животна средина и просторно планирање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НКА</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Национален координатор за авторизација</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НБРМ</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Национална Банка на Република Македонија</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НВО</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Невладини организации</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НФ</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Национален фонд</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 xml:space="preserve">Бр. </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Број</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УЈП</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 xml:space="preserve">Управа за јавни приходи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СА</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Секторска спогодба</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 xml:space="preserve">ДЗИ </w:t>
      </w:r>
      <w:r w:rsidRPr="006F174B">
        <w:rPr>
          <w:rFonts w:ascii="StobiSerif Regular" w:eastAsia="Calibri" w:hAnsi="StobiSerif Regular" w:cs="Times New Roman"/>
        </w:rPr>
        <w:tab/>
      </w:r>
      <w:r w:rsidR="004B1E15">
        <w:rPr>
          <w:rFonts w:ascii="StobiSerif Regular" w:eastAsia="Calibri" w:hAnsi="StobiSerif Regular" w:cs="Times New Roman"/>
        </w:rPr>
        <w:tab/>
      </w:r>
      <w:r w:rsidR="004B1E15">
        <w:rPr>
          <w:rFonts w:ascii="StobiSerif Regular" w:eastAsia="Calibri" w:hAnsi="StobiSerif Regular" w:cs="Times New Roman"/>
        </w:rPr>
        <w:tab/>
      </w:r>
      <w:r w:rsidRPr="006F174B">
        <w:rPr>
          <w:rFonts w:ascii="StobiSerif Regular" w:eastAsia="Calibri" w:hAnsi="StobiSerif Regular" w:cs="Times New Roman"/>
        </w:rPr>
        <w:t xml:space="preserve">Државен земјоделски инспекторат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ДЗС</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 xml:space="preserve">Државен завод за статистика </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ВЈТ</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Вкупно јавни трошоци</w:t>
      </w:r>
    </w:p>
    <w:p w:rsidR="006F174B" w:rsidRP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ТПП</w:t>
      </w:r>
      <w:r w:rsidRPr="006F174B">
        <w:rPr>
          <w:rFonts w:ascii="StobiSerif Regular" w:eastAsia="Calibri" w:hAnsi="StobiSerif Regular" w:cs="Times New Roman"/>
        </w:rPr>
        <w:tab/>
      </w:r>
      <w:r w:rsidRPr="006F174B">
        <w:rPr>
          <w:rFonts w:ascii="StobiSerif Regular" w:eastAsia="Calibri" w:hAnsi="StobiSerif Regular" w:cs="Times New Roman"/>
        </w:rPr>
        <w:tab/>
      </w:r>
      <w:r w:rsidRPr="006F174B">
        <w:rPr>
          <w:rFonts w:ascii="StobiSerif Regular" w:eastAsia="Calibri" w:hAnsi="StobiSerif Regular" w:cs="Times New Roman"/>
        </w:rPr>
        <w:tab/>
        <w:t xml:space="preserve">Технички предлог проект </w:t>
      </w:r>
    </w:p>
    <w:p w:rsidR="006F174B" w:rsidRDefault="006F174B" w:rsidP="006F174B">
      <w:pPr>
        <w:autoSpaceDE w:val="0"/>
        <w:autoSpaceDN w:val="0"/>
        <w:adjustRightInd w:val="0"/>
        <w:spacing w:after="0" w:line="240" w:lineRule="auto"/>
        <w:rPr>
          <w:rFonts w:ascii="StobiSerif Regular" w:eastAsia="Calibri" w:hAnsi="StobiSerif Regular" w:cs="Times New Roman"/>
        </w:rPr>
      </w:pPr>
      <w:r w:rsidRPr="006F174B">
        <w:rPr>
          <w:rFonts w:ascii="StobiSerif Regular" w:eastAsia="Calibri" w:hAnsi="StobiSerif Regular" w:cs="Times New Roman"/>
        </w:rPr>
        <w:t>УКСП ИПАРД</w:t>
      </w:r>
      <w:r w:rsidRPr="006F174B">
        <w:rPr>
          <w:rFonts w:ascii="StobiSerif Regular" w:eastAsia="Calibri" w:hAnsi="StobiSerif Regular" w:cs="Times New Roman"/>
        </w:rPr>
        <w:tab/>
        <w:t>Управувачки Комитет за следење на ИПАРД</w:t>
      </w:r>
    </w:p>
    <w:p w:rsidR="00690375" w:rsidRPr="00746E36" w:rsidRDefault="00690375" w:rsidP="00690375">
      <w:pPr>
        <w:autoSpaceDE w:val="0"/>
        <w:autoSpaceDN w:val="0"/>
        <w:adjustRightInd w:val="0"/>
        <w:spacing w:after="0" w:line="240" w:lineRule="auto"/>
        <w:rPr>
          <w:rFonts w:ascii="StobiSerif Regular" w:eastAsia="Calibri" w:hAnsi="StobiSerif Regular" w:cs="Times New Roman"/>
        </w:rPr>
      </w:pPr>
    </w:p>
    <w:p w:rsidR="00690375" w:rsidRDefault="00690375" w:rsidP="00690375">
      <w:pPr>
        <w:autoSpaceDE w:val="0"/>
        <w:autoSpaceDN w:val="0"/>
        <w:adjustRightInd w:val="0"/>
        <w:spacing w:after="0" w:line="240" w:lineRule="auto"/>
        <w:rPr>
          <w:rFonts w:ascii="StobiSerif Regular" w:eastAsia="Calibri" w:hAnsi="StobiSerif Regular" w:cs="Times New Roman"/>
        </w:rPr>
      </w:pPr>
    </w:p>
    <w:p w:rsidR="00EE6686" w:rsidRDefault="00EE6686" w:rsidP="00690375">
      <w:pPr>
        <w:autoSpaceDE w:val="0"/>
        <w:autoSpaceDN w:val="0"/>
        <w:adjustRightInd w:val="0"/>
        <w:spacing w:after="0" w:line="240" w:lineRule="auto"/>
        <w:rPr>
          <w:rFonts w:ascii="StobiSerif Regular" w:eastAsia="Calibri" w:hAnsi="StobiSerif Regular" w:cs="Times New Roman"/>
        </w:rPr>
      </w:pPr>
    </w:p>
    <w:p w:rsidR="007339EA" w:rsidRDefault="007339EA">
      <w:pPr>
        <w:rPr>
          <w:rFonts w:ascii="StobiSerif Regular" w:eastAsia="Calibri" w:hAnsi="StobiSerif Regular" w:cs="Times New Roman"/>
        </w:rPr>
      </w:pPr>
      <w:r>
        <w:rPr>
          <w:rFonts w:ascii="StobiSerif Regular" w:eastAsia="Calibri" w:hAnsi="StobiSerif Regular" w:cs="Times New Roman"/>
        </w:rPr>
        <w:br w:type="page"/>
      </w:r>
    </w:p>
    <w:p w:rsidR="00EE6686" w:rsidRPr="00EE6686" w:rsidRDefault="00EE6686" w:rsidP="00690375">
      <w:pPr>
        <w:autoSpaceDE w:val="0"/>
        <w:autoSpaceDN w:val="0"/>
        <w:adjustRightInd w:val="0"/>
        <w:spacing w:after="0" w:line="240" w:lineRule="auto"/>
        <w:rPr>
          <w:rFonts w:ascii="StobiSerif Regular" w:eastAsia="Calibri" w:hAnsi="StobiSerif Regular" w:cs="Times New Roman"/>
        </w:rPr>
      </w:pPr>
    </w:p>
    <w:p w:rsidR="00811E6A" w:rsidRPr="00746E36" w:rsidRDefault="006F174B" w:rsidP="00811E6A">
      <w:pPr>
        <w:spacing w:before="120" w:after="120"/>
        <w:outlineLvl w:val="0"/>
        <w:rPr>
          <w:rFonts w:ascii="StobiSerif Regular" w:hAnsi="StobiSerif Regular"/>
          <w:b/>
          <w:lang w:val="en-US"/>
        </w:rPr>
      </w:pPr>
      <w:bookmarkStart w:id="4" w:name="_Toc485394800"/>
      <w:r w:rsidRPr="006F174B">
        <w:rPr>
          <w:rFonts w:ascii="StobiSerif Regular" w:hAnsi="StobiSerif Regular"/>
          <w:b/>
          <w:sz w:val="28"/>
          <w:szCs w:val="28"/>
          <w:lang w:val="en-US"/>
        </w:rPr>
        <w:t>1:Промени во општите услови во Република Македонија</w:t>
      </w:r>
      <w:bookmarkEnd w:id="4"/>
    </w:p>
    <w:p w:rsidR="00A54C4F" w:rsidRPr="005A33BE" w:rsidRDefault="00200C6C" w:rsidP="00A54C4F">
      <w:pPr>
        <w:spacing w:after="120"/>
        <w:jc w:val="both"/>
        <w:outlineLvl w:val="1"/>
        <w:rPr>
          <w:rFonts w:ascii="StobiSerif Regular" w:hAnsi="StobiSerif Regular"/>
          <w:b/>
          <w:lang w:val="en-US"/>
        </w:rPr>
      </w:pPr>
      <w:bookmarkStart w:id="5" w:name="_Toc455052739"/>
      <w:bookmarkStart w:id="6" w:name="_Toc485394801"/>
      <w:r w:rsidRPr="00EA087B">
        <w:rPr>
          <w:rFonts w:ascii="StobiSerif Regular" w:hAnsi="StobiSerif Regular"/>
          <w:b/>
          <w:lang w:val="en-US"/>
        </w:rPr>
        <w:t>1</w:t>
      </w:r>
      <w:r w:rsidR="00811E6A" w:rsidRPr="00EA087B">
        <w:rPr>
          <w:rFonts w:ascii="StobiSerif Regular" w:hAnsi="StobiSerif Regular"/>
          <w:b/>
          <w:lang w:val="en-US"/>
        </w:rPr>
        <w:t xml:space="preserve">.1 </w:t>
      </w:r>
      <w:bookmarkEnd w:id="5"/>
      <w:r w:rsidR="00A54C4F" w:rsidRPr="005A33BE">
        <w:rPr>
          <w:rFonts w:ascii="StobiSerif Regular" w:hAnsi="StobiSerif Regular"/>
          <w:b/>
        </w:rPr>
        <w:t>Институционални и политичка рамка</w:t>
      </w:r>
      <w:bookmarkEnd w:id="6"/>
    </w:p>
    <w:p w:rsidR="006A4C8E" w:rsidRDefault="006A4C8E" w:rsidP="007339EA">
      <w:pPr>
        <w:spacing w:before="120" w:after="120"/>
        <w:ind w:firstLine="720"/>
        <w:jc w:val="both"/>
        <w:rPr>
          <w:rFonts w:ascii="StobiSerif Regular" w:hAnsi="StobiSerif Regular"/>
          <w:lang w:val="en-US"/>
        </w:rPr>
      </w:pPr>
      <w:r w:rsidRPr="006A4C8E">
        <w:rPr>
          <w:rFonts w:ascii="StobiSerif Regular" w:hAnsi="StobiSerif Regular"/>
        </w:rPr>
        <w:t>Политичката криза што започна во 2014 година продолжи и во 2015 и 2016 година и влијаеше врз македонската економија. На крајот на 2016 година беа одржани предвремени парламентарни избори. Новата влада беше формирана во јуни 2017 година. Периодот на политичка несигурност и продолжување на воспоставувањето нова влада беше предизвик на многу нивоа и го забави нормалното функционирање на институциите и процесите, вклучително и некои аспекти од спроведувањето на програмата</w:t>
      </w:r>
      <w:r>
        <w:rPr>
          <w:rFonts w:ascii="StobiSerif Regular" w:hAnsi="StobiSerif Regular"/>
          <w:lang w:val="en-US"/>
        </w:rPr>
        <w:t>.</w:t>
      </w:r>
    </w:p>
    <w:p w:rsidR="00B7715C" w:rsidRDefault="003A7198" w:rsidP="003A7198">
      <w:pPr>
        <w:spacing w:before="120" w:after="120"/>
        <w:jc w:val="both"/>
        <w:rPr>
          <w:rFonts w:ascii="StobiSerif Regular" w:hAnsi="StobiSerif Regular"/>
        </w:rPr>
      </w:pPr>
      <w:r>
        <w:rPr>
          <w:rFonts w:ascii="StobiSerif Regular" w:hAnsi="StobiSerif Regular"/>
        </w:rPr>
        <w:t>Во н</w:t>
      </w:r>
      <w:r w:rsidR="006A4C8E" w:rsidRPr="006A4C8E">
        <w:rPr>
          <w:rFonts w:ascii="StobiSerif Regular" w:hAnsi="StobiSerif Regular"/>
        </w:rPr>
        <w:t>оември 2016 година, Комисијата објави редовен извештај за напредокот на Република Македонија</w:t>
      </w:r>
      <w:r>
        <w:rPr>
          <w:rFonts w:ascii="StobiSerif Regular" w:hAnsi="StobiSerif Regular"/>
        </w:rPr>
        <w:t>,</w:t>
      </w:r>
      <w:r w:rsidR="006A4C8E" w:rsidRPr="006A4C8E">
        <w:rPr>
          <w:rFonts w:ascii="StobiSerif Regular" w:hAnsi="StobiSerif Regular"/>
        </w:rPr>
        <w:t xml:space="preserve"> во кој се наведува дека треба да се интензивираат активностите за нови ИПАРД мерки 2014-202, Инвестиции во рурална јавна инфраструктура и Советодавн</w:t>
      </w:r>
      <w:r>
        <w:rPr>
          <w:rFonts w:ascii="StobiSerif Regular" w:hAnsi="StobiSerif Regular"/>
        </w:rPr>
        <w:t>ите</w:t>
      </w:r>
      <w:r w:rsidR="006A4C8E" w:rsidRPr="006A4C8E">
        <w:rPr>
          <w:rFonts w:ascii="StobiSerif Regular" w:hAnsi="StobiSerif Regular"/>
        </w:rPr>
        <w:t xml:space="preserve"> служб</w:t>
      </w:r>
      <w:r>
        <w:rPr>
          <w:rFonts w:ascii="StobiSerif Regular" w:hAnsi="StobiSerif Regular"/>
        </w:rPr>
        <w:t>и,</w:t>
      </w:r>
      <w:r w:rsidR="006A4C8E" w:rsidRPr="006A4C8E">
        <w:rPr>
          <w:rFonts w:ascii="StobiSerif Regular" w:hAnsi="StobiSerif Regular"/>
        </w:rPr>
        <w:t xml:space="preserve"> чија имплементација првично беше планирана за 2016-2017 година. Исто така се наведува дека и покрај напорите за подобрување на имплементацијата на ИПАРД програмата и зголемениот број на апликации, околу 16,2 милиони евра во фондовите на ЕУ останаа неискористени во 2015 година. ИПАРД Агенцијата, исто така, треба да ја подобри обработката на датотеките, со премин од </w:t>
      </w:r>
      <w:r>
        <w:rPr>
          <w:rFonts w:ascii="StobiSerif Regular" w:hAnsi="StobiSerif Regular"/>
        </w:rPr>
        <w:t>рачна в</w:t>
      </w:r>
      <w:r w:rsidR="006A4C8E" w:rsidRPr="006A4C8E">
        <w:rPr>
          <w:rFonts w:ascii="StobiSerif Regular" w:hAnsi="StobiSerif Regular"/>
        </w:rPr>
        <w:t>о софтвер</w:t>
      </w:r>
      <w:r>
        <w:rPr>
          <w:rFonts w:ascii="StobiSerif Regular" w:hAnsi="StobiSerif Regular"/>
        </w:rPr>
        <w:t>ска</w:t>
      </w:r>
      <w:r w:rsidR="006A4C8E" w:rsidRPr="006A4C8E">
        <w:rPr>
          <w:rFonts w:ascii="StobiSerif Regular" w:hAnsi="StobiSerif Regular"/>
        </w:rPr>
        <w:t xml:space="preserve"> обработка и да г</w:t>
      </w:r>
      <w:r>
        <w:rPr>
          <w:rFonts w:ascii="StobiSerif Regular" w:hAnsi="StobiSerif Regular"/>
        </w:rPr>
        <w:t>о</w:t>
      </w:r>
      <w:r w:rsidR="006A4C8E" w:rsidRPr="006A4C8E">
        <w:rPr>
          <w:rFonts w:ascii="StobiSerif Regular" w:hAnsi="StobiSerif Regular"/>
        </w:rPr>
        <w:t xml:space="preserve"> реши недостатокот на персонал и висок</w:t>
      </w:r>
      <w:r>
        <w:rPr>
          <w:rFonts w:ascii="StobiSerif Regular" w:hAnsi="StobiSerif Regular"/>
        </w:rPr>
        <w:t>иот</w:t>
      </w:r>
      <w:r w:rsidR="006A4C8E" w:rsidRPr="006A4C8E">
        <w:rPr>
          <w:rFonts w:ascii="StobiSerif Regular" w:hAnsi="StobiSerif Regular"/>
        </w:rPr>
        <w:t xml:space="preserve"> </w:t>
      </w:r>
      <w:r>
        <w:rPr>
          <w:rFonts w:ascii="StobiSerif Regular" w:hAnsi="StobiSerif Regular"/>
        </w:rPr>
        <w:t>одлив</w:t>
      </w:r>
      <w:r w:rsidR="006A4C8E" w:rsidRPr="006A4C8E">
        <w:rPr>
          <w:rFonts w:ascii="StobiSerif Regular" w:hAnsi="StobiSerif Regular"/>
        </w:rPr>
        <w:t xml:space="preserve"> на персоналот. Поефективното користење на средствата на ИПАРД 2014-2020 година треба да биде фокус во следниот период.</w:t>
      </w:r>
    </w:p>
    <w:p w:rsidR="00E57CF5" w:rsidRDefault="00200C6C" w:rsidP="00E57CF5">
      <w:pPr>
        <w:spacing w:before="120" w:after="120"/>
        <w:outlineLvl w:val="1"/>
        <w:rPr>
          <w:rFonts w:ascii="StobiSerif Regular" w:hAnsi="StobiSerif Regular"/>
        </w:rPr>
      </w:pPr>
      <w:bookmarkStart w:id="7" w:name="_Toc485394802"/>
      <w:r w:rsidRPr="00445A72">
        <w:rPr>
          <w:rFonts w:ascii="StobiSerif Regular" w:hAnsi="StobiSerif Regular"/>
          <w:b/>
          <w:lang w:val="en-US"/>
        </w:rPr>
        <w:t>1</w:t>
      </w:r>
      <w:r w:rsidR="00F5693A" w:rsidRPr="00445A72">
        <w:rPr>
          <w:rFonts w:ascii="StobiSerif Regular" w:hAnsi="StobiSerif Regular"/>
          <w:b/>
          <w:lang w:val="en-US"/>
        </w:rPr>
        <w:t xml:space="preserve">.2 </w:t>
      </w:r>
      <w:r w:rsidR="00E57CF5" w:rsidRPr="005A33BE">
        <w:rPr>
          <w:rFonts w:ascii="StobiSerif Regular" w:hAnsi="StobiSerif Regular"/>
          <w:b/>
        </w:rPr>
        <w:t>Развој на макроекономската ситуација</w:t>
      </w:r>
      <w:bookmarkEnd w:id="7"/>
      <w:r w:rsidR="00E57CF5" w:rsidRPr="00746E36">
        <w:rPr>
          <w:rFonts w:ascii="StobiSerif Regular" w:hAnsi="StobiSerif Regular"/>
          <w:lang w:val="en-US"/>
        </w:rPr>
        <w:t xml:space="preserve"> </w:t>
      </w:r>
    </w:p>
    <w:p w:rsidR="00E57CF5" w:rsidRDefault="00E57CF5" w:rsidP="00E57CF5">
      <w:pPr>
        <w:spacing w:before="120" w:after="120"/>
        <w:jc w:val="both"/>
        <w:rPr>
          <w:rFonts w:ascii="StobiSerif Regular" w:hAnsi="StobiSerif Regular"/>
        </w:rPr>
      </w:pPr>
      <w:r w:rsidRPr="00FA5E29">
        <w:rPr>
          <w:rFonts w:ascii="StobiSerif Regular" w:hAnsi="StobiSerif Regular"/>
        </w:rPr>
        <w:t>Податоците и извештаите публикувани од релевантните институции, покажуваат дека економијата и натаму следи патека на постепено заздравување, меѓутоа темпото на раст повторно се оценува како незадоволително, при зголемена политичка неизвесност. Стапката на реален раст на БДП во 2016 година изнесува 2,4%. Динарот и понатаму останува стабилен додека пак невработеноста паѓа на 23,7%.</w:t>
      </w:r>
    </w:p>
    <w:p w:rsidR="00CE7802" w:rsidRPr="00181541" w:rsidRDefault="00FA5E29" w:rsidP="00CE7802">
      <w:pPr>
        <w:autoSpaceDE w:val="0"/>
        <w:autoSpaceDN w:val="0"/>
        <w:adjustRightInd w:val="0"/>
        <w:spacing w:after="0"/>
        <w:jc w:val="both"/>
        <w:rPr>
          <w:rFonts w:ascii="StobiSerif Regular" w:hAnsi="StobiSerif Regular"/>
          <w:b/>
          <w:sz w:val="24"/>
          <w:szCs w:val="24"/>
          <w:lang w:val="en-US"/>
        </w:rPr>
      </w:pPr>
      <w:bookmarkStart w:id="8" w:name="_Toc485394893"/>
      <w:r w:rsidRPr="00181541">
        <w:rPr>
          <w:rFonts w:ascii="StobiSerif Regular" w:hAnsi="StobiSerif Regular"/>
          <w:b/>
        </w:rPr>
        <w:t xml:space="preserve">Табела </w:t>
      </w:r>
      <w:r w:rsidR="00CE7802" w:rsidRPr="00181541">
        <w:rPr>
          <w:rFonts w:ascii="StobiSerif Regular" w:hAnsi="StobiSerif Regular"/>
          <w:b/>
          <w:lang w:val="en-US"/>
        </w:rPr>
        <w:t xml:space="preserve"> </w:t>
      </w:r>
      <w:r w:rsidR="00CE7802" w:rsidRPr="00181541">
        <w:rPr>
          <w:rFonts w:ascii="StobiSerif Regular" w:hAnsi="StobiSerif Regular"/>
          <w:b/>
        </w:rPr>
        <w:fldChar w:fldCharType="begin"/>
      </w:r>
      <w:r w:rsidR="00CE7802" w:rsidRPr="00181541">
        <w:rPr>
          <w:rFonts w:ascii="StobiSerif Regular" w:hAnsi="StobiSerif Regular"/>
          <w:b/>
        </w:rPr>
        <w:instrText xml:space="preserve"> SEQ Table \* ARABIC </w:instrText>
      </w:r>
      <w:r w:rsidR="00CE7802" w:rsidRPr="00181541">
        <w:rPr>
          <w:rFonts w:ascii="StobiSerif Regular" w:hAnsi="StobiSerif Regular"/>
          <w:b/>
        </w:rPr>
        <w:fldChar w:fldCharType="separate"/>
      </w:r>
      <w:r w:rsidR="00CE7802" w:rsidRPr="00181541">
        <w:rPr>
          <w:rFonts w:ascii="StobiSerif Regular" w:hAnsi="StobiSerif Regular"/>
          <w:b/>
          <w:noProof/>
        </w:rPr>
        <w:t>1</w:t>
      </w:r>
      <w:r w:rsidR="00CE7802" w:rsidRPr="00181541">
        <w:rPr>
          <w:rFonts w:ascii="StobiSerif Regular" w:hAnsi="StobiSerif Regular"/>
          <w:b/>
        </w:rPr>
        <w:fldChar w:fldCharType="end"/>
      </w:r>
      <w:r w:rsidR="00CE7802" w:rsidRPr="00181541">
        <w:rPr>
          <w:rFonts w:ascii="StobiSerif Regular" w:hAnsi="StobiSerif Regular"/>
          <w:b/>
        </w:rPr>
        <w:t xml:space="preserve">: </w:t>
      </w:r>
      <w:r w:rsidR="00E57CF5" w:rsidRPr="00181541">
        <w:rPr>
          <w:rFonts w:ascii="StobiSerif Regular" w:hAnsi="StobiSerif Regular"/>
          <w:b/>
        </w:rPr>
        <w:t>Макроекономски показатели по години</w:t>
      </w:r>
      <w:bookmarkEnd w:id="8"/>
      <w:r w:rsidR="00E57CF5" w:rsidRPr="00181541">
        <w:rPr>
          <w:rFonts w:ascii="StobiSerif Regular" w:hAnsi="StobiSerif Regular"/>
          <w:b/>
        </w:rPr>
        <w:t xml:space="preserve"> </w:t>
      </w:r>
    </w:p>
    <w:tbl>
      <w:tblPr>
        <w:tblStyle w:val="TableGrid"/>
        <w:tblW w:w="0" w:type="auto"/>
        <w:tblLayout w:type="fixed"/>
        <w:tblLook w:val="01E0" w:firstRow="1" w:lastRow="1" w:firstColumn="1" w:lastColumn="1" w:noHBand="0" w:noVBand="0"/>
      </w:tblPr>
      <w:tblGrid>
        <w:gridCol w:w="3369"/>
        <w:gridCol w:w="708"/>
        <w:gridCol w:w="709"/>
        <w:gridCol w:w="709"/>
        <w:gridCol w:w="709"/>
        <w:gridCol w:w="708"/>
        <w:gridCol w:w="709"/>
        <w:gridCol w:w="851"/>
      </w:tblGrid>
      <w:tr w:rsidR="00C73CD1" w:rsidRPr="00193285" w:rsidTr="00A45833">
        <w:trPr>
          <w:trHeight w:val="57"/>
        </w:trPr>
        <w:tc>
          <w:tcPr>
            <w:tcW w:w="3369" w:type="dxa"/>
            <w:shd w:val="clear" w:color="auto" w:fill="BFBFBF" w:themeFill="background1" w:themeFillShade="BF"/>
          </w:tcPr>
          <w:p w:rsidR="00E75E28" w:rsidRPr="00193285" w:rsidRDefault="00E75E28" w:rsidP="00193285">
            <w:pPr>
              <w:rPr>
                <w:rFonts w:ascii="StobiSerif Regular" w:hAnsi="StobiSerif Regular"/>
                <w:sz w:val="16"/>
                <w:szCs w:val="16"/>
                <w:lang w:val="en-GB"/>
              </w:rPr>
            </w:pPr>
          </w:p>
        </w:tc>
        <w:tc>
          <w:tcPr>
            <w:tcW w:w="708" w:type="dxa"/>
            <w:shd w:val="clear" w:color="auto" w:fill="BFBFBF" w:themeFill="background1" w:themeFillShade="BF"/>
          </w:tcPr>
          <w:p w:rsidR="00E75E28" w:rsidRPr="00193285" w:rsidRDefault="00E75E28" w:rsidP="00193285">
            <w:pPr>
              <w:rPr>
                <w:rFonts w:ascii="StobiSerif Regular" w:hAnsi="StobiSerif Regular" w:cs="Times New Roman"/>
                <w:bCs/>
                <w:sz w:val="16"/>
                <w:szCs w:val="16"/>
                <w:lang w:val="en-GB"/>
              </w:rPr>
            </w:pPr>
            <w:r w:rsidRPr="00193285">
              <w:rPr>
                <w:rFonts w:ascii="StobiSerif Regular" w:hAnsi="StobiSerif Regular" w:cs="Times New Roman"/>
                <w:bCs/>
                <w:sz w:val="16"/>
                <w:szCs w:val="16"/>
                <w:lang w:val="en-GB"/>
              </w:rPr>
              <w:t>2010</w:t>
            </w:r>
          </w:p>
        </w:tc>
        <w:tc>
          <w:tcPr>
            <w:tcW w:w="709" w:type="dxa"/>
            <w:shd w:val="clear" w:color="auto" w:fill="BFBFBF" w:themeFill="background1" w:themeFillShade="BF"/>
          </w:tcPr>
          <w:p w:rsidR="00E75E28" w:rsidRPr="00193285" w:rsidRDefault="00E75E28" w:rsidP="00193285">
            <w:pPr>
              <w:rPr>
                <w:rFonts w:ascii="StobiSerif Regular" w:hAnsi="StobiSerif Regular" w:cs="Times New Roman"/>
                <w:bCs/>
                <w:sz w:val="16"/>
                <w:szCs w:val="16"/>
                <w:lang w:val="en-GB"/>
              </w:rPr>
            </w:pPr>
            <w:r w:rsidRPr="00193285">
              <w:rPr>
                <w:rFonts w:ascii="StobiSerif Regular" w:hAnsi="StobiSerif Regular" w:cs="Times New Roman"/>
                <w:bCs/>
                <w:sz w:val="16"/>
                <w:szCs w:val="16"/>
                <w:lang w:val="en-GB"/>
              </w:rPr>
              <w:t>2011</w:t>
            </w:r>
          </w:p>
        </w:tc>
        <w:tc>
          <w:tcPr>
            <w:tcW w:w="709" w:type="dxa"/>
            <w:shd w:val="clear" w:color="auto" w:fill="BFBFBF" w:themeFill="background1" w:themeFillShade="BF"/>
          </w:tcPr>
          <w:p w:rsidR="00E75E28" w:rsidRPr="00193285" w:rsidRDefault="00E75E28" w:rsidP="00193285">
            <w:pPr>
              <w:rPr>
                <w:rFonts w:ascii="StobiSerif Regular" w:hAnsi="StobiSerif Regular" w:cs="Times New Roman"/>
                <w:bCs/>
                <w:sz w:val="16"/>
                <w:szCs w:val="16"/>
                <w:lang w:val="en-GB"/>
              </w:rPr>
            </w:pPr>
            <w:r w:rsidRPr="00193285">
              <w:rPr>
                <w:rFonts w:ascii="StobiSerif Regular" w:hAnsi="StobiSerif Regular" w:cs="Times New Roman"/>
                <w:bCs/>
                <w:sz w:val="16"/>
                <w:szCs w:val="16"/>
                <w:lang w:val="en-GB"/>
              </w:rPr>
              <w:t>2012</w:t>
            </w:r>
          </w:p>
        </w:tc>
        <w:tc>
          <w:tcPr>
            <w:tcW w:w="709" w:type="dxa"/>
            <w:shd w:val="clear" w:color="auto" w:fill="BFBFBF" w:themeFill="background1" w:themeFillShade="BF"/>
          </w:tcPr>
          <w:p w:rsidR="00E75E28" w:rsidRPr="00193285" w:rsidRDefault="00E75E28" w:rsidP="00193285">
            <w:pPr>
              <w:rPr>
                <w:rFonts w:ascii="StobiSerif Regular" w:hAnsi="StobiSerif Regular" w:cs="Times New Roman"/>
                <w:bCs/>
                <w:sz w:val="16"/>
                <w:szCs w:val="16"/>
                <w:lang w:val="en-GB"/>
              </w:rPr>
            </w:pPr>
            <w:r w:rsidRPr="00193285">
              <w:rPr>
                <w:rFonts w:ascii="StobiSerif Regular" w:hAnsi="StobiSerif Regular" w:cs="Times New Roman"/>
                <w:bCs/>
                <w:sz w:val="16"/>
                <w:szCs w:val="16"/>
                <w:lang w:val="en-GB"/>
              </w:rPr>
              <w:t>2013</w:t>
            </w:r>
          </w:p>
        </w:tc>
        <w:tc>
          <w:tcPr>
            <w:tcW w:w="708" w:type="dxa"/>
            <w:shd w:val="clear" w:color="auto" w:fill="BFBFBF" w:themeFill="background1" w:themeFillShade="BF"/>
          </w:tcPr>
          <w:p w:rsidR="00E75E28" w:rsidRPr="00193285" w:rsidRDefault="00E75E28" w:rsidP="00193285">
            <w:pPr>
              <w:rPr>
                <w:rFonts w:ascii="StobiSerif Regular" w:hAnsi="StobiSerif Regular" w:cs="Times New Roman"/>
                <w:bCs/>
                <w:sz w:val="16"/>
                <w:szCs w:val="16"/>
                <w:lang w:val="en-GB"/>
              </w:rPr>
            </w:pPr>
            <w:r w:rsidRPr="00193285">
              <w:rPr>
                <w:rFonts w:ascii="StobiSerif Regular" w:hAnsi="StobiSerif Regular" w:cs="Times New Roman"/>
                <w:bCs/>
                <w:sz w:val="16"/>
                <w:szCs w:val="16"/>
                <w:lang w:val="en-GB"/>
              </w:rPr>
              <w:t>2014</w:t>
            </w:r>
          </w:p>
        </w:tc>
        <w:tc>
          <w:tcPr>
            <w:tcW w:w="709" w:type="dxa"/>
            <w:shd w:val="clear" w:color="auto" w:fill="BFBFBF" w:themeFill="background1" w:themeFillShade="BF"/>
          </w:tcPr>
          <w:p w:rsidR="00E75E28" w:rsidRPr="00193285" w:rsidRDefault="00E75E28" w:rsidP="00193285">
            <w:pPr>
              <w:rPr>
                <w:rFonts w:ascii="StobiSerif Regular" w:hAnsi="StobiSerif Regular" w:cs="Times New Roman"/>
                <w:bCs/>
                <w:sz w:val="16"/>
                <w:szCs w:val="16"/>
                <w:lang w:val="en-GB"/>
              </w:rPr>
            </w:pPr>
            <w:r w:rsidRPr="00193285">
              <w:rPr>
                <w:rFonts w:ascii="StobiSerif Regular" w:hAnsi="StobiSerif Regular" w:cs="Times New Roman"/>
                <w:bCs/>
                <w:sz w:val="16"/>
                <w:szCs w:val="16"/>
                <w:lang w:val="en-GB"/>
              </w:rPr>
              <w:t>2015</w:t>
            </w:r>
          </w:p>
        </w:tc>
        <w:tc>
          <w:tcPr>
            <w:tcW w:w="851" w:type="dxa"/>
            <w:shd w:val="clear" w:color="auto" w:fill="BFBFBF" w:themeFill="background1" w:themeFillShade="BF"/>
          </w:tcPr>
          <w:p w:rsidR="00E75E28" w:rsidRPr="00193285" w:rsidRDefault="00E75E28" w:rsidP="00193285">
            <w:pPr>
              <w:rPr>
                <w:rFonts w:ascii="StobiSerif Regular" w:hAnsi="StobiSerif Regular" w:cs="Times New Roman"/>
                <w:bCs/>
                <w:sz w:val="16"/>
                <w:szCs w:val="16"/>
                <w:lang w:val="en-GB"/>
              </w:rPr>
            </w:pPr>
            <w:r w:rsidRPr="00193285">
              <w:rPr>
                <w:rFonts w:ascii="StobiSerif Regular" w:hAnsi="StobiSerif Regular" w:cs="Times New Roman"/>
                <w:bCs/>
                <w:sz w:val="16"/>
                <w:szCs w:val="16"/>
                <w:lang w:val="en-GB"/>
              </w:rPr>
              <w:t>2016</w:t>
            </w:r>
            <w:r w:rsidRPr="00193285">
              <w:rPr>
                <w:rFonts w:ascii="StobiSerif Regular" w:hAnsi="StobiSerif Regular" w:cs="Times New Roman"/>
                <w:bCs/>
                <w:sz w:val="16"/>
                <w:szCs w:val="16"/>
                <w:vertAlign w:val="superscript"/>
                <w:lang w:val="en-GB"/>
              </w:rPr>
              <w:footnoteReference w:id="1"/>
            </w:r>
          </w:p>
        </w:tc>
      </w:tr>
      <w:tr w:rsidR="00C6324D" w:rsidRPr="00193285" w:rsidTr="00A45833">
        <w:trPr>
          <w:trHeight w:val="179"/>
        </w:trPr>
        <w:tc>
          <w:tcPr>
            <w:tcW w:w="3369" w:type="dxa"/>
          </w:tcPr>
          <w:p w:rsidR="00C6324D"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rPr>
              <w:t>БДП мил.€</w:t>
            </w:r>
            <w:r w:rsidRPr="00D07547">
              <w:rPr>
                <w:rFonts w:ascii="StobiSerif Regular" w:hAnsi="StobiSerif Regular"/>
                <w:sz w:val="18"/>
                <w:szCs w:val="18"/>
                <w:lang w:val="en-US"/>
              </w:rPr>
              <w:t xml:space="preserve"> (тековен девизен курс)</w:t>
            </w:r>
          </w:p>
        </w:tc>
        <w:tc>
          <w:tcPr>
            <w:tcW w:w="708"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7.109</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7.544</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7.585</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8.150</w:t>
            </w:r>
          </w:p>
        </w:tc>
        <w:tc>
          <w:tcPr>
            <w:tcW w:w="708"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8.562</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9.0611</w:t>
            </w:r>
          </w:p>
        </w:tc>
        <w:tc>
          <w:tcPr>
            <w:tcW w:w="851"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9.8622</w:t>
            </w:r>
          </w:p>
        </w:tc>
      </w:tr>
      <w:tr w:rsidR="00C6324D" w:rsidRPr="00193285" w:rsidTr="00A45833">
        <w:trPr>
          <w:trHeight w:val="248"/>
        </w:trPr>
        <w:tc>
          <w:tcPr>
            <w:tcW w:w="3369" w:type="dxa"/>
          </w:tcPr>
          <w:p w:rsidR="00C6324D"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rPr>
              <w:t>БДП</w:t>
            </w:r>
            <w:r w:rsidRPr="00D07547">
              <w:rPr>
                <w:rFonts w:ascii="StobiSerif Regular" w:hAnsi="StobiSerif Regular"/>
                <w:sz w:val="18"/>
                <w:szCs w:val="18"/>
                <w:lang w:val="en-US"/>
              </w:rPr>
              <w:t xml:space="preserve"> (</w:t>
            </w:r>
            <w:r w:rsidRPr="00D07547">
              <w:rPr>
                <w:rFonts w:ascii="StobiSerif Regular" w:hAnsi="StobiSerif Regular"/>
                <w:sz w:val="18"/>
                <w:szCs w:val="18"/>
              </w:rPr>
              <w:t>по жител во</w:t>
            </w:r>
            <w:r w:rsidRPr="00D07547">
              <w:rPr>
                <w:rFonts w:ascii="StobiSerif Regular" w:hAnsi="StobiSerif Regular"/>
                <w:sz w:val="18"/>
                <w:szCs w:val="18"/>
                <w:lang w:val="en-US"/>
              </w:rPr>
              <w:t xml:space="preserve"> €)</w:t>
            </w:r>
          </w:p>
        </w:tc>
        <w:tc>
          <w:tcPr>
            <w:tcW w:w="708"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3.459</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3.665</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3.680</w:t>
            </w:r>
          </w:p>
        </w:tc>
        <w:tc>
          <w:tcPr>
            <w:tcW w:w="709" w:type="dxa"/>
            <w:vAlign w:val="center"/>
          </w:tcPr>
          <w:p w:rsidR="00C6324D" w:rsidRPr="00C6324D" w:rsidDel="00D36D5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3.948</w:t>
            </w:r>
          </w:p>
        </w:tc>
        <w:tc>
          <w:tcPr>
            <w:tcW w:w="708"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4.141</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4.3771</w:t>
            </w:r>
          </w:p>
        </w:tc>
        <w:tc>
          <w:tcPr>
            <w:tcW w:w="851"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w:t>
            </w:r>
          </w:p>
        </w:tc>
      </w:tr>
      <w:tr w:rsidR="00C6324D" w:rsidRPr="00193285" w:rsidTr="00A45833">
        <w:trPr>
          <w:trHeight w:val="57"/>
        </w:trPr>
        <w:tc>
          <w:tcPr>
            <w:tcW w:w="3369" w:type="dxa"/>
          </w:tcPr>
          <w:p w:rsidR="00C6324D"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rPr>
              <w:t>БДП реална стапка на пораст</w:t>
            </w:r>
            <w:r w:rsidRPr="00D07547">
              <w:rPr>
                <w:rFonts w:ascii="StobiSerif Regular" w:hAnsi="StobiSerif Regular"/>
                <w:sz w:val="18"/>
                <w:szCs w:val="18"/>
                <w:lang w:val="en-US"/>
              </w:rPr>
              <w:t xml:space="preserve"> (</w:t>
            </w:r>
            <w:r w:rsidRPr="00D07547">
              <w:rPr>
                <w:rFonts w:ascii="StobiSerif Regular" w:hAnsi="StobiSerif Regular"/>
                <w:sz w:val="18"/>
                <w:szCs w:val="18"/>
              </w:rPr>
              <w:t xml:space="preserve">во </w:t>
            </w:r>
            <w:r w:rsidRPr="00D07547">
              <w:rPr>
                <w:rFonts w:ascii="StobiSerif Regular" w:hAnsi="StobiSerif Regular"/>
                <w:sz w:val="18"/>
                <w:szCs w:val="18"/>
                <w:lang w:val="en-US"/>
              </w:rPr>
              <w:t>%)</w:t>
            </w:r>
          </w:p>
        </w:tc>
        <w:tc>
          <w:tcPr>
            <w:tcW w:w="708"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3,4</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2,3</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-0,5</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2,9</w:t>
            </w:r>
          </w:p>
        </w:tc>
        <w:tc>
          <w:tcPr>
            <w:tcW w:w="708"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3,6</w:t>
            </w:r>
          </w:p>
        </w:tc>
        <w:tc>
          <w:tcPr>
            <w:tcW w:w="709"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3,81</w:t>
            </w:r>
          </w:p>
        </w:tc>
        <w:tc>
          <w:tcPr>
            <w:tcW w:w="851" w:type="dxa"/>
            <w:vAlign w:val="center"/>
          </w:tcPr>
          <w:p w:rsidR="00C6324D" w:rsidRPr="00C6324D" w:rsidRDefault="00C6324D" w:rsidP="00C24D84">
            <w:pPr>
              <w:rPr>
                <w:rStyle w:val="Bodytext85pt"/>
                <w:rFonts w:ascii="StobiSerif Regular" w:eastAsiaTheme="minorHAnsi" w:hAnsi="StobiSerif Regular"/>
                <w:sz w:val="16"/>
                <w:szCs w:val="16"/>
              </w:rPr>
            </w:pPr>
            <w:r w:rsidRPr="00C6324D">
              <w:rPr>
                <w:rStyle w:val="Bodytext85pt"/>
                <w:rFonts w:ascii="StobiSerif Regular" w:eastAsiaTheme="minorHAnsi" w:hAnsi="StobiSerif Regular"/>
                <w:sz w:val="16"/>
                <w:szCs w:val="16"/>
              </w:rPr>
              <w:t>2,42</w:t>
            </w:r>
          </w:p>
        </w:tc>
      </w:tr>
      <w:tr w:rsidR="00C73CD1" w:rsidRPr="00193285" w:rsidTr="00A45833">
        <w:trPr>
          <w:trHeight w:val="57"/>
        </w:trPr>
        <w:tc>
          <w:tcPr>
            <w:tcW w:w="3369" w:type="dxa"/>
          </w:tcPr>
          <w:p w:rsidR="00E75E28"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rPr>
              <w:t>Инфлација</w:t>
            </w:r>
            <w:r w:rsidRPr="00D07547">
              <w:rPr>
                <w:rFonts w:ascii="StobiSerif Regular" w:hAnsi="StobiSerif Regular"/>
                <w:sz w:val="18"/>
                <w:szCs w:val="18"/>
                <w:lang w:val="en-US"/>
              </w:rPr>
              <w:t xml:space="preserve"> (</w:t>
            </w:r>
            <w:r w:rsidRPr="00D07547">
              <w:rPr>
                <w:rFonts w:ascii="StobiSerif Regular" w:hAnsi="StobiSerif Regular"/>
                <w:sz w:val="18"/>
                <w:szCs w:val="18"/>
              </w:rPr>
              <w:t>во</w:t>
            </w:r>
            <w:r w:rsidRPr="00D07547">
              <w:rPr>
                <w:rFonts w:ascii="StobiSerif Regular" w:hAnsi="StobiSerif Regular"/>
                <w:sz w:val="18"/>
                <w:szCs w:val="18"/>
                <w:lang w:val="en-US"/>
              </w:rPr>
              <w:t xml:space="preserve"> %)</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3,0</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2,8</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4,7</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1,4</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-0,5</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-0,3</w:t>
            </w:r>
          </w:p>
        </w:tc>
        <w:tc>
          <w:tcPr>
            <w:tcW w:w="851"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-0,2</w:t>
            </w:r>
          </w:p>
        </w:tc>
      </w:tr>
      <w:tr w:rsidR="00C6324D" w:rsidRPr="00193285" w:rsidTr="00A45833">
        <w:trPr>
          <w:trHeight w:val="57"/>
        </w:trPr>
        <w:tc>
          <w:tcPr>
            <w:tcW w:w="3369" w:type="dxa"/>
          </w:tcPr>
          <w:p w:rsidR="00C6324D"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lang w:val="en-US"/>
              </w:rPr>
              <w:t>Сред</w:t>
            </w:r>
            <w:r w:rsidRPr="00D07547">
              <w:rPr>
                <w:rFonts w:ascii="StobiSerif Regular" w:hAnsi="StobiSerif Regular"/>
                <w:sz w:val="18"/>
                <w:szCs w:val="18"/>
              </w:rPr>
              <w:t>е</w:t>
            </w:r>
            <w:r w:rsidRPr="00D07547">
              <w:rPr>
                <w:rFonts w:ascii="StobiSerif Regular" w:hAnsi="StobiSerif Regular"/>
                <w:sz w:val="18"/>
                <w:szCs w:val="18"/>
                <w:lang w:val="en-US"/>
              </w:rPr>
              <w:t>н курс (</w:t>
            </w:r>
            <w:r w:rsidRPr="00D07547">
              <w:rPr>
                <w:rFonts w:ascii="StobiSerif Regular" w:hAnsi="StobiSerif Regular"/>
                <w:sz w:val="18"/>
                <w:szCs w:val="18"/>
              </w:rPr>
              <w:t>денар</w:t>
            </w:r>
            <w:r w:rsidRPr="00D07547">
              <w:rPr>
                <w:rFonts w:ascii="StobiSerif Regular" w:hAnsi="StobiSerif Regular"/>
                <w:sz w:val="18"/>
                <w:szCs w:val="18"/>
                <w:lang w:val="en-US"/>
              </w:rPr>
              <w:t>/€)</w:t>
            </w:r>
          </w:p>
        </w:tc>
        <w:tc>
          <w:tcPr>
            <w:tcW w:w="708" w:type="dxa"/>
            <w:vAlign w:val="bottom"/>
          </w:tcPr>
          <w:p w:rsidR="00C6324D" w:rsidRPr="00C6324D" w:rsidRDefault="00C6324D" w:rsidP="00C24D84">
            <w:pPr>
              <w:rPr>
                <w:rFonts w:ascii="StobiSerif Regular" w:hAnsi="StobiSerif Regular"/>
                <w:sz w:val="16"/>
                <w:szCs w:val="16"/>
                <w:lang w:val="en-US"/>
              </w:rPr>
            </w:pPr>
            <w:r w:rsidRPr="00C6324D">
              <w:rPr>
                <w:rFonts w:ascii="StobiSerif Regular" w:hAnsi="StobiSerif Regular"/>
                <w:sz w:val="16"/>
                <w:szCs w:val="16"/>
                <w:lang w:val="en-US"/>
              </w:rPr>
              <w:t>61.51</w:t>
            </w:r>
          </w:p>
        </w:tc>
        <w:tc>
          <w:tcPr>
            <w:tcW w:w="709" w:type="dxa"/>
            <w:vAlign w:val="bottom"/>
          </w:tcPr>
          <w:p w:rsidR="00C6324D" w:rsidRPr="00C6324D" w:rsidRDefault="00C6324D" w:rsidP="00C24D84">
            <w:pPr>
              <w:rPr>
                <w:rFonts w:ascii="StobiSerif Regular" w:hAnsi="StobiSerif Regular"/>
                <w:sz w:val="16"/>
                <w:szCs w:val="16"/>
                <w:lang w:val="en-US"/>
              </w:rPr>
            </w:pPr>
            <w:r w:rsidRPr="00C6324D">
              <w:rPr>
                <w:rFonts w:ascii="StobiSerif Regular" w:hAnsi="StobiSerif Regular"/>
                <w:sz w:val="16"/>
                <w:szCs w:val="16"/>
                <w:lang w:val="en-US"/>
              </w:rPr>
              <w:t>61.53</w:t>
            </w:r>
          </w:p>
        </w:tc>
        <w:tc>
          <w:tcPr>
            <w:tcW w:w="709" w:type="dxa"/>
            <w:vAlign w:val="bottom"/>
          </w:tcPr>
          <w:p w:rsidR="00C6324D" w:rsidRPr="00C6324D" w:rsidRDefault="00C6324D" w:rsidP="00C24D84">
            <w:pPr>
              <w:rPr>
                <w:rFonts w:ascii="StobiSerif Regular" w:hAnsi="StobiSerif Regular"/>
                <w:sz w:val="16"/>
                <w:szCs w:val="16"/>
                <w:lang w:val="en-US"/>
              </w:rPr>
            </w:pPr>
            <w:r w:rsidRPr="00C6324D">
              <w:rPr>
                <w:rFonts w:ascii="StobiSerif Regular" w:hAnsi="StobiSerif Regular"/>
                <w:sz w:val="16"/>
                <w:szCs w:val="16"/>
                <w:lang w:val="en-US"/>
              </w:rPr>
              <w:t>61.53</w:t>
            </w:r>
          </w:p>
        </w:tc>
        <w:tc>
          <w:tcPr>
            <w:tcW w:w="709" w:type="dxa"/>
            <w:vAlign w:val="bottom"/>
          </w:tcPr>
          <w:p w:rsidR="00C6324D" w:rsidRPr="00C6324D" w:rsidRDefault="00C6324D" w:rsidP="00C24D84">
            <w:pPr>
              <w:rPr>
                <w:rFonts w:ascii="StobiSerif Regular" w:hAnsi="StobiSerif Regular"/>
                <w:sz w:val="16"/>
                <w:szCs w:val="16"/>
                <w:lang w:val="en-US"/>
              </w:rPr>
            </w:pPr>
            <w:r w:rsidRPr="00C6324D">
              <w:rPr>
                <w:rFonts w:ascii="StobiSerif Regular" w:hAnsi="StobiSerif Regular"/>
                <w:sz w:val="16"/>
                <w:szCs w:val="16"/>
                <w:lang w:val="en-US"/>
              </w:rPr>
              <w:t>61.58</w:t>
            </w:r>
          </w:p>
        </w:tc>
        <w:tc>
          <w:tcPr>
            <w:tcW w:w="708" w:type="dxa"/>
            <w:vAlign w:val="bottom"/>
          </w:tcPr>
          <w:p w:rsidR="00C6324D" w:rsidRPr="00C6324D" w:rsidRDefault="00C6324D" w:rsidP="00C24D84">
            <w:pPr>
              <w:rPr>
                <w:rFonts w:ascii="StobiSerif Regular" w:hAnsi="StobiSerif Regular"/>
                <w:sz w:val="16"/>
                <w:szCs w:val="16"/>
                <w:lang w:val="en-US"/>
              </w:rPr>
            </w:pPr>
            <w:r w:rsidRPr="00C6324D">
              <w:rPr>
                <w:rFonts w:ascii="StobiSerif Regular" w:hAnsi="StobiSerif Regular"/>
                <w:sz w:val="16"/>
                <w:szCs w:val="16"/>
                <w:lang w:val="en-US"/>
              </w:rPr>
              <w:t>61.62</w:t>
            </w:r>
          </w:p>
        </w:tc>
        <w:tc>
          <w:tcPr>
            <w:tcW w:w="709" w:type="dxa"/>
            <w:vAlign w:val="bottom"/>
          </w:tcPr>
          <w:p w:rsidR="00C6324D" w:rsidRPr="00C6324D" w:rsidRDefault="00C6324D" w:rsidP="00C24D84">
            <w:pPr>
              <w:rPr>
                <w:rFonts w:ascii="StobiSerif Regular" w:hAnsi="StobiSerif Regular"/>
                <w:sz w:val="16"/>
                <w:szCs w:val="16"/>
                <w:lang w:val="en-US"/>
              </w:rPr>
            </w:pPr>
            <w:r w:rsidRPr="00C6324D">
              <w:rPr>
                <w:rFonts w:ascii="StobiSerif Regular" w:hAnsi="StobiSerif Regular"/>
                <w:sz w:val="16"/>
                <w:szCs w:val="16"/>
                <w:lang w:val="en-US"/>
              </w:rPr>
              <w:t>61.61</w:t>
            </w:r>
          </w:p>
        </w:tc>
        <w:tc>
          <w:tcPr>
            <w:tcW w:w="851" w:type="dxa"/>
            <w:vAlign w:val="bottom"/>
          </w:tcPr>
          <w:p w:rsidR="00C6324D" w:rsidRPr="00C6324D" w:rsidRDefault="00C6324D" w:rsidP="00C24D84">
            <w:pPr>
              <w:rPr>
                <w:rFonts w:ascii="StobiSerif Regular" w:hAnsi="StobiSerif Regular"/>
                <w:sz w:val="16"/>
                <w:szCs w:val="16"/>
                <w:lang w:val="en-US"/>
              </w:rPr>
            </w:pPr>
            <w:r w:rsidRPr="00C6324D">
              <w:rPr>
                <w:rFonts w:ascii="StobiSerif Regular" w:hAnsi="StobiSerif Regular"/>
                <w:sz w:val="16"/>
                <w:szCs w:val="16"/>
                <w:lang w:val="en-US"/>
              </w:rPr>
              <w:t>61.60</w:t>
            </w:r>
          </w:p>
        </w:tc>
      </w:tr>
      <w:tr w:rsidR="00C73CD1" w:rsidRPr="00193285" w:rsidTr="00A45833">
        <w:trPr>
          <w:trHeight w:val="57"/>
        </w:trPr>
        <w:tc>
          <w:tcPr>
            <w:tcW w:w="3369" w:type="dxa"/>
          </w:tcPr>
          <w:p w:rsidR="00E75E28"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rPr>
              <w:t>Невработеност</w:t>
            </w:r>
            <w:r w:rsidRPr="00D07547">
              <w:rPr>
                <w:rFonts w:ascii="StobiSerif Regular" w:hAnsi="StobiSerif Regular"/>
                <w:sz w:val="18"/>
                <w:szCs w:val="18"/>
                <w:lang w:val="en-US"/>
              </w:rPr>
              <w:t xml:space="preserve"> (</w:t>
            </w:r>
            <w:r w:rsidRPr="00D07547">
              <w:rPr>
                <w:rFonts w:ascii="StobiSerif Regular" w:hAnsi="StobiSerif Regular"/>
                <w:sz w:val="18"/>
                <w:szCs w:val="18"/>
              </w:rPr>
              <w:t>во</w:t>
            </w:r>
            <w:r w:rsidRPr="00D07547">
              <w:rPr>
                <w:rFonts w:ascii="StobiSerif Regular" w:hAnsi="StobiSerif Regular"/>
                <w:sz w:val="18"/>
                <w:szCs w:val="18"/>
                <w:lang w:val="en-US"/>
              </w:rPr>
              <w:t xml:space="preserve"> %)</w:t>
            </w:r>
          </w:p>
        </w:tc>
        <w:tc>
          <w:tcPr>
            <w:tcW w:w="708" w:type="dxa"/>
          </w:tcPr>
          <w:p w:rsidR="00E75E28" w:rsidRPr="00193285" w:rsidRDefault="00E75E28" w:rsidP="00193285">
            <w:pPr>
              <w:rPr>
                <w:rFonts w:ascii="StobiSerif Regular" w:hAnsi="StobiSerif Regular"/>
                <w:sz w:val="16"/>
                <w:szCs w:val="16"/>
                <w:lang w:val="en-US"/>
              </w:rPr>
            </w:pPr>
            <w:r w:rsidRPr="00193285">
              <w:rPr>
                <w:rFonts w:ascii="StobiSerif Regular" w:hAnsi="StobiSerif Regular"/>
                <w:sz w:val="16"/>
                <w:szCs w:val="16"/>
                <w:lang w:val="en-US"/>
              </w:rPr>
              <w:t>32</w:t>
            </w:r>
          </w:p>
        </w:tc>
        <w:tc>
          <w:tcPr>
            <w:tcW w:w="709" w:type="dxa"/>
          </w:tcPr>
          <w:p w:rsidR="00E75E28" w:rsidRPr="00193285" w:rsidRDefault="00E75E28" w:rsidP="00193285">
            <w:pPr>
              <w:rPr>
                <w:rFonts w:ascii="StobiSerif Regular" w:hAnsi="StobiSerif Regular"/>
                <w:sz w:val="16"/>
                <w:szCs w:val="16"/>
                <w:lang w:val="en-US"/>
              </w:rPr>
            </w:pPr>
            <w:r w:rsidRPr="00193285">
              <w:rPr>
                <w:rFonts w:ascii="StobiSerif Regular" w:hAnsi="StobiSerif Regular"/>
                <w:sz w:val="16"/>
                <w:szCs w:val="16"/>
                <w:lang w:val="en-US"/>
              </w:rPr>
              <w:t>31,4</w:t>
            </w:r>
          </w:p>
        </w:tc>
        <w:tc>
          <w:tcPr>
            <w:tcW w:w="709" w:type="dxa"/>
          </w:tcPr>
          <w:p w:rsidR="00E75E28" w:rsidRPr="00193285" w:rsidRDefault="00E75E28" w:rsidP="00193285">
            <w:pPr>
              <w:rPr>
                <w:rFonts w:ascii="StobiSerif Regular" w:hAnsi="StobiSerif Regular"/>
                <w:sz w:val="16"/>
                <w:szCs w:val="16"/>
                <w:lang w:val="en-US"/>
              </w:rPr>
            </w:pPr>
            <w:r w:rsidRPr="00193285">
              <w:rPr>
                <w:rFonts w:ascii="StobiSerif Regular" w:hAnsi="StobiSerif Regular"/>
                <w:sz w:val="16"/>
                <w:szCs w:val="16"/>
                <w:lang w:val="en-US"/>
              </w:rPr>
              <w:t>31,0</w:t>
            </w:r>
          </w:p>
        </w:tc>
        <w:tc>
          <w:tcPr>
            <w:tcW w:w="709" w:type="dxa"/>
          </w:tcPr>
          <w:p w:rsidR="00E75E28" w:rsidRPr="00193285" w:rsidRDefault="00E75E28" w:rsidP="00193285">
            <w:pPr>
              <w:rPr>
                <w:rFonts w:ascii="StobiSerif Regular" w:hAnsi="StobiSerif Regular"/>
                <w:sz w:val="16"/>
                <w:szCs w:val="16"/>
                <w:lang w:val="en-US"/>
              </w:rPr>
            </w:pPr>
            <w:r w:rsidRPr="00193285">
              <w:rPr>
                <w:rFonts w:ascii="StobiSerif Regular" w:hAnsi="StobiSerif Regular"/>
                <w:sz w:val="16"/>
                <w:szCs w:val="16"/>
                <w:lang w:val="en-US"/>
              </w:rPr>
              <w:t>29</w:t>
            </w:r>
          </w:p>
        </w:tc>
        <w:tc>
          <w:tcPr>
            <w:tcW w:w="708" w:type="dxa"/>
          </w:tcPr>
          <w:p w:rsidR="00E75E28" w:rsidRPr="00193285" w:rsidRDefault="00E75E28" w:rsidP="00193285">
            <w:pPr>
              <w:rPr>
                <w:rFonts w:ascii="StobiSerif Regular" w:hAnsi="StobiSerif Regular"/>
                <w:sz w:val="16"/>
                <w:szCs w:val="16"/>
                <w:lang w:val="en-US"/>
              </w:rPr>
            </w:pPr>
            <w:r w:rsidRPr="00193285">
              <w:rPr>
                <w:rFonts w:ascii="StobiSerif Regular" w:hAnsi="StobiSerif Regular"/>
                <w:sz w:val="16"/>
                <w:szCs w:val="16"/>
                <w:lang w:val="en-US"/>
              </w:rPr>
              <w:t>28</w:t>
            </w:r>
          </w:p>
        </w:tc>
        <w:tc>
          <w:tcPr>
            <w:tcW w:w="709" w:type="dxa"/>
          </w:tcPr>
          <w:p w:rsidR="00E75E28" w:rsidRPr="00193285" w:rsidRDefault="00E75E28" w:rsidP="00193285">
            <w:pPr>
              <w:rPr>
                <w:rFonts w:ascii="StobiSerif Regular" w:hAnsi="StobiSerif Regular"/>
                <w:sz w:val="16"/>
                <w:szCs w:val="16"/>
                <w:lang w:val="en-US"/>
              </w:rPr>
            </w:pPr>
            <w:r w:rsidRPr="00193285">
              <w:rPr>
                <w:rFonts w:ascii="StobiSerif Regular" w:hAnsi="StobiSerif Regular"/>
                <w:sz w:val="16"/>
                <w:szCs w:val="16"/>
                <w:lang w:val="en-US"/>
              </w:rPr>
              <w:t>26.1</w:t>
            </w:r>
          </w:p>
        </w:tc>
        <w:tc>
          <w:tcPr>
            <w:tcW w:w="851" w:type="dxa"/>
          </w:tcPr>
          <w:p w:rsidR="00E75E28" w:rsidRPr="00193285" w:rsidRDefault="00B05865" w:rsidP="00193285">
            <w:pPr>
              <w:rPr>
                <w:rFonts w:ascii="StobiSerif Regular" w:hAnsi="StobiSerif Regular"/>
                <w:sz w:val="16"/>
                <w:szCs w:val="16"/>
                <w:lang w:val="en-US"/>
              </w:rPr>
            </w:pPr>
            <w:r w:rsidRPr="00B05865">
              <w:rPr>
                <w:rFonts w:ascii="StobiSerif Regular" w:hAnsi="StobiSerif Regular"/>
                <w:sz w:val="16"/>
                <w:szCs w:val="16"/>
                <w:lang w:val="en-US"/>
              </w:rPr>
              <w:t>23.7</w:t>
            </w:r>
          </w:p>
        </w:tc>
      </w:tr>
      <w:tr w:rsidR="00C73CD1" w:rsidRPr="00193285" w:rsidTr="00A45833">
        <w:trPr>
          <w:trHeight w:val="57"/>
        </w:trPr>
        <w:tc>
          <w:tcPr>
            <w:tcW w:w="3369" w:type="dxa"/>
          </w:tcPr>
          <w:p w:rsidR="00E75E28"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lang w:val="en-US"/>
              </w:rPr>
              <w:t>Извоз на стоки и услуги</w:t>
            </w:r>
            <w:r w:rsidRPr="00D07547">
              <w:rPr>
                <w:rFonts w:ascii="StobiSerif Regular" w:hAnsi="StobiSerif Regular"/>
                <w:sz w:val="18"/>
                <w:szCs w:val="18"/>
              </w:rPr>
              <w:t xml:space="preserve"> во мил</w:t>
            </w:r>
            <w:r w:rsidRPr="00D07547">
              <w:rPr>
                <w:rFonts w:ascii="StobiSerif Regular" w:hAnsi="StobiSerif Regular"/>
                <w:sz w:val="18"/>
                <w:szCs w:val="18"/>
                <w:lang w:val="en-US"/>
              </w:rPr>
              <w:t>. €</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2.535</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3.215</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3.124</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3.235</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3.747</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4.088</w:t>
            </w:r>
          </w:p>
        </w:tc>
        <w:tc>
          <w:tcPr>
            <w:tcW w:w="851"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4.329</w:t>
            </w:r>
          </w:p>
        </w:tc>
      </w:tr>
      <w:tr w:rsidR="00C73CD1" w:rsidRPr="00193285" w:rsidTr="00A45833">
        <w:trPr>
          <w:trHeight w:val="57"/>
        </w:trPr>
        <w:tc>
          <w:tcPr>
            <w:tcW w:w="3369" w:type="dxa"/>
          </w:tcPr>
          <w:p w:rsidR="00E75E28"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lang w:val="en-US"/>
              </w:rPr>
              <w:t>Увозот на стоки и услуги</w:t>
            </w:r>
            <w:r w:rsidRPr="00D07547">
              <w:rPr>
                <w:rFonts w:ascii="StobiSerif Regular" w:hAnsi="StobiSerif Regular"/>
                <w:sz w:val="18"/>
                <w:szCs w:val="18"/>
              </w:rPr>
              <w:t xml:space="preserve"> </w:t>
            </w:r>
            <w:r w:rsidRPr="00D07547">
              <w:rPr>
                <w:rFonts w:ascii="StobiSerif Regular" w:hAnsi="StobiSerif Regular"/>
                <w:sz w:val="18"/>
                <w:szCs w:val="18"/>
                <w:lang w:val="en-US"/>
              </w:rPr>
              <w:t>во мил. €</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4.137</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5.053</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5.071</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4.983</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5.505</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5.801</w:t>
            </w:r>
          </w:p>
        </w:tc>
        <w:tc>
          <w:tcPr>
            <w:tcW w:w="851"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6.107</w:t>
            </w:r>
          </w:p>
        </w:tc>
      </w:tr>
      <w:tr w:rsidR="00C73CD1" w:rsidRPr="00193285" w:rsidTr="00A45833">
        <w:trPr>
          <w:trHeight w:val="57"/>
        </w:trPr>
        <w:tc>
          <w:tcPr>
            <w:tcW w:w="3369" w:type="dxa"/>
          </w:tcPr>
          <w:p w:rsidR="00E75E28"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lang w:val="en-US"/>
              </w:rPr>
              <w:t>Биланс на трговијата</w:t>
            </w:r>
            <w:r w:rsidRPr="00D07547">
              <w:rPr>
                <w:rFonts w:ascii="StobiSerif Regular" w:hAnsi="StobiSerif Regular"/>
                <w:sz w:val="18"/>
                <w:szCs w:val="18"/>
              </w:rPr>
              <w:t xml:space="preserve"> </w:t>
            </w:r>
            <w:r w:rsidRPr="00D07547">
              <w:rPr>
                <w:rFonts w:ascii="StobiSerif Regular" w:hAnsi="StobiSerif Regular"/>
                <w:sz w:val="18"/>
                <w:szCs w:val="18"/>
                <w:lang w:val="en-US"/>
              </w:rPr>
              <w:t xml:space="preserve"> во мил. €</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-1.602</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-1.838</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-1.947</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-1.748</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-1.758</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-1.714</w:t>
            </w:r>
          </w:p>
        </w:tc>
        <w:tc>
          <w:tcPr>
            <w:tcW w:w="851"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-1.777</w:t>
            </w:r>
          </w:p>
        </w:tc>
      </w:tr>
      <w:tr w:rsidR="00C73CD1" w:rsidRPr="00193285" w:rsidTr="00A45833">
        <w:trPr>
          <w:trHeight w:val="57"/>
        </w:trPr>
        <w:tc>
          <w:tcPr>
            <w:tcW w:w="3369" w:type="dxa"/>
          </w:tcPr>
          <w:p w:rsidR="00E75E28" w:rsidRPr="00193285" w:rsidRDefault="00E57CF5" w:rsidP="00193285">
            <w:pPr>
              <w:rPr>
                <w:rFonts w:ascii="StobiSerif Regular" w:hAnsi="StobiSerif Regular"/>
                <w:sz w:val="16"/>
                <w:szCs w:val="16"/>
                <w:lang w:val="en-US"/>
              </w:rPr>
            </w:pPr>
            <w:r w:rsidRPr="00D07547">
              <w:rPr>
                <w:rFonts w:ascii="StobiSerif Regular" w:hAnsi="StobiSerif Regular"/>
                <w:sz w:val="18"/>
                <w:szCs w:val="18"/>
                <w:lang w:val="en-US"/>
              </w:rPr>
              <w:t xml:space="preserve">Биланс на трговијата </w:t>
            </w:r>
            <w:r w:rsidRPr="00D07547">
              <w:rPr>
                <w:rFonts w:ascii="StobiSerif Regular" w:hAnsi="StobiSerif Regular"/>
                <w:sz w:val="18"/>
                <w:szCs w:val="18"/>
              </w:rPr>
              <w:t>во</w:t>
            </w:r>
            <w:r w:rsidRPr="00D07547">
              <w:rPr>
                <w:rFonts w:ascii="StobiSerif Regular" w:hAnsi="StobiSerif Regular"/>
                <w:sz w:val="18"/>
                <w:szCs w:val="18"/>
                <w:lang w:val="en-US"/>
              </w:rPr>
              <w:t xml:space="preserve"> % </w:t>
            </w:r>
            <w:r w:rsidRPr="00D07547">
              <w:rPr>
                <w:rFonts w:ascii="StobiSerif Regular" w:hAnsi="StobiSerif Regular"/>
                <w:sz w:val="18"/>
                <w:szCs w:val="18"/>
              </w:rPr>
              <w:t>од БДП</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-22,5</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-24,4</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-25,7</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-21,4</w:t>
            </w:r>
          </w:p>
        </w:tc>
        <w:tc>
          <w:tcPr>
            <w:tcW w:w="708"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-20,5</w:t>
            </w:r>
          </w:p>
        </w:tc>
        <w:tc>
          <w:tcPr>
            <w:tcW w:w="709"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-18,9</w:t>
            </w:r>
          </w:p>
        </w:tc>
        <w:tc>
          <w:tcPr>
            <w:tcW w:w="851" w:type="dxa"/>
          </w:tcPr>
          <w:p w:rsidR="00E75E28" w:rsidRPr="00193285" w:rsidRDefault="00E75E28" w:rsidP="00193285">
            <w:pPr>
              <w:rPr>
                <w:rFonts w:ascii="StobiSerif Regular" w:hAnsi="StobiSerif Regular"/>
                <w:sz w:val="16"/>
                <w:szCs w:val="16"/>
              </w:rPr>
            </w:pPr>
            <w:r w:rsidRPr="00193285">
              <w:rPr>
                <w:rStyle w:val="Bodytext85pt"/>
                <w:rFonts w:ascii="StobiSerif Regular" w:eastAsiaTheme="minorHAnsi" w:hAnsi="StobiSerif Regular"/>
                <w:sz w:val="16"/>
                <w:szCs w:val="16"/>
              </w:rPr>
              <w:t>-18,0</w:t>
            </w:r>
          </w:p>
        </w:tc>
      </w:tr>
    </w:tbl>
    <w:p w:rsidR="00E75E28" w:rsidRPr="00E57CF5" w:rsidRDefault="00E57CF5" w:rsidP="00746E36">
      <w:pPr>
        <w:spacing w:after="120"/>
        <w:jc w:val="both"/>
        <w:rPr>
          <w:rFonts w:ascii="StobiSerif Regular" w:hAnsi="StobiSerif Regular"/>
          <w:sz w:val="16"/>
          <w:szCs w:val="16"/>
        </w:rPr>
      </w:pPr>
      <w:r w:rsidRPr="00BE152C">
        <w:rPr>
          <w:rFonts w:asciiTheme="majorHAnsi" w:hAnsiTheme="majorHAnsi"/>
          <w:sz w:val="16"/>
          <w:szCs w:val="16"/>
        </w:rPr>
        <w:lastRenderedPageBreak/>
        <w:t>Извор :</w:t>
      </w:r>
      <w:r>
        <w:rPr>
          <w:rFonts w:ascii="StobiSerif Regular" w:hAnsi="StobiSerif Regular"/>
          <w:sz w:val="16"/>
          <w:szCs w:val="16"/>
          <w:lang w:val="en-US"/>
        </w:rPr>
        <w:t xml:space="preserve"> </w:t>
      </w:r>
      <w:r>
        <w:rPr>
          <w:rFonts w:ascii="StobiSerif Regular" w:hAnsi="StobiSerif Regular"/>
          <w:sz w:val="16"/>
          <w:szCs w:val="16"/>
        </w:rPr>
        <w:t xml:space="preserve">Министерство за финансии </w:t>
      </w:r>
    </w:p>
    <w:p w:rsidR="00670531" w:rsidRDefault="000158CB" w:rsidP="00670531">
      <w:pPr>
        <w:spacing w:before="120" w:after="120"/>
        <w:jc w:val="both"/>
        <w:rPr>
          <w:rFonts w:ascii="StobiSerif Regular" w:hAnsi="StobiSerif Regular"/>
        </w:rPr>
      </w:pPr>
      <w:r w:rsidRPr="00B269C1">
        <w:rPr>
          <w:rFonts w:ascii="StobiSerif Regular" w:hAnsi="StobiSerif Regular"/>
          <w:lang w:val="en-US"/>
        </w:rPr>
        <w:t>Индуст</w:t>
      </w:r>
      <w:r>
        <w:rPr>
          <w:rFonts w:ascii="StobiSerif Regular" w:hAnsi="StobiSerif Regular"/>
          <w:lang w:val="en-US"/>
        </w:rPr>
        <w:t xml:space="preserve">риското производство во </w:t>
      </w:r>
      <w:r>
        <w:rPr>
          <w:rFonts w:ascii="StobiSerif Regular" w:hAnsi="StobiSerif Regular"/>
        </w:rPr>
        <w:t xml:space="preserve">јануари </w:t>
      </w:r>
      <w:r>
        <w:rPr>
          <w:rFonts w:ascii="StobiSerif Regular" w:hAnsi="StobiSerif Regular"/>
          <w:lang w:val="en-US"/>
        </w:rPr>
        <w:t xml:space="preserve"> 201</w:t>
      </w:r>
      <w:r>
        <w:rPr>
          <w:rFonts w:ascii="StobiSerif Regular" w:hAnsi="StobiSerif Regular"/>
        </w:rPr>
        <w:t>7</w:t>
      </w:r>
      <w:r>
        <w:rPr>
          <w:rFonts w:ascii="StobiSerif Regular" w:hAnsi="StobiSerif Regular"/>
          <w:lang w:val="en-US"/>
        </w:rPr>
        <w:t xml:space="preserve"> година забележа </w:t>
      </w:r>
      <w:r>
        <w:rPr>
          <w:rFonts w:ascii="StobiSerif Regular" w:hAnsi="StobiSerif Regular"/>
        </w:rPr>
        <w:t>пад</w:t>
      </w:r>
      <w:r>
        <w:rPr>
          <w:rFonts w:ascii="StobiSerif Regular" w:hAnsi="StobiSerif Regular"/>
          <w:lang w:val="en-US"/>
        </w:rPr>
        <w:t xml:space="preserve"> од </w:t>
      </w:r>
      <w:r>
        <w:rPr>
          <w:rFonts w:ascii="StobiSerif Regular" w:hAnsi="StobiSerif Regular"/>
        </w:rPr>
        <w:t xml:space="preserve">2,6 </w:t>
      </w:r>
      <w:r w:rsidRPr="00B269C1">
        <w:rPr>
          <w:rFonts w:ascii="StobiSerif Regular" w:hAnsi="StobiSerif Regular"/>
          <w:lang w:val="en-US"/>
        </w:rPr>
        <w:t>%</w:t>
      </w:r>
      <w:r>
        <w:rPr>
          <w:rFonts w:ascii="StobiSerif Regular" w:hAnsi="StobiSerif Regular"/>
        </w:rPr>
        <w:t xml:space="preserve"> во споредба со јануари 2016. </w:t>
      </w:r>
      <w:r w:rsidRPr="00B269C1">
        <w:rPr>
          <w:rFonts w:ascii="StobiSerif Regular" w:hAnsi="StobiSerif Regular"/>
          <w:lang w:val="en-US"/>
        </w:rPr>
        <w:t xml:space="preserve"> </w:t>
      </w:r>
      <w:r>
        <w:rPr>
          <w:rFonts w:ascii="StobiSerif Regular" w:hAnsi="StobiSerif Regular"/>
        </w:rPr>
        <w:t xml:space="preserve">  </w:t>
      </w:r>
      <w:r w:rsidR="00FA5E29" w:rsidRPr="00B269C1">
        <w:rPr>
          <w:rFonts w:ascii="StobiSerif Regular" w:hAnsi="StobiSerif Regular"/>
          <w:lang w:val="en-US"/>
        </w:rPr>
        <w:t xml:space="preserve">Најголем позитивен придонес во годишната промена на индустриското производство </w:t>
      </w:r>
      <w:r w:rsidR="00FA5E29">
        <w:rPr>
          <w:rFonts w:ascii="StobiSerif Regular" w:hAnsi="StobiSerif Regular"/>
        </w:rPr>
        <w:t>има во производството на машини и опрема (2,4 процент</w:t>
      </w:r>
      <w:r w:rsidR="00DF7F91">
        <w:rPr>
          <w:rFonts w:ascii="StobiSerif Regular" w:hAnsi="StobiSerif Regular"/>
        </w:rPr>
        <w:t>н</w:t>
      </w:r>
      <w:r w:rsidR="00FA5E29">
        <w:rPr>
          <w:rFonts w:ascii="StobiSerif Regular" w:hAnsi="StobiSerif Regular"/>
        </w:rPr>
        <w:t>и</w:t>
      </w:r>
      <w:r w:rsidR="00DF7F91">
        <w:rPr>
          <w:rFonts w:ascii="StobiSerif Regular" w:hAnsi="StobiSerif Regular"/>
        </w:rPr>
        <w:t xml:space="preserve"> поени</w:t>
      </w:r>
      <w:r w:rsidR="00FA5E29">
        <w:rPr>
          <w:rFonts w:ascii="StobiSerif Regular" w:hAnsi="StobiSerif Regular"/>
        </w:rPr>
        <w:t xml:space="preserve">), </w:t>
      </w:r>
      <w:r w:rsidR="00FA5E29">
        <w:rPr>
          <w:rFonts w:ascii="StobiSerif Regular" w:hAnsi="StobiSerif Regular"/>
          <w:lang w:val="en-US"/>
        </w:rPr>
        <w:t>а</w:t>
      </w:r>
      <w:r w:rsidR="00FA5E29">
        <w:rPr>
          <w:rFonts w:ascii="StobiSerif Regular" w:hAnsi="StobiSerif Regular"/>
        </w:rPr>
        <w:t xml:space="preserve"> </w:t>
      </w:r>
      <w:r w:rsidR="00FA5E29">
        <w:rPr>
          <w:rFonts w:ascii="StobiSerif Regular" w:hAnsi="StobiSerif Regular"/>
          <w:lang w:val="en-US"/>
        </w:rPr>
        <w:t>најголем негативен придонес</w:t>
      </w:r>
      <w:r w:rsidR="00FA5E29">
        <w:rPr>
          <w:rFonts w:ascii="StobiSerif Regular" w:hAnsi="StobiSerif Regular"/>
        </w:rPr>
        <w:t xml:space="preserve"> во </w:t>
      </w:r>
      <w:r w:rsidR="00FA5E29">
        <w:rPr>
          <w:rFonts w:ascii="StobiSerif Regular" w:hAnsi="StobiSerif Regular"/>
          <w:lang w:val="en-US"/>
        </w:rPr>
        <w:t xml:space="preserve"> </w:t>
      </w:r>
      <w:r w:rsidR="00FA5E29">
        <w:rPr>
          <w:rFonts w:ascii="StobiSerif Regular" w:hAnsi="StobiSerif Regular"/>
        </w:rPr>
        <w:t>п</w:t>
      </w:r>
      <w:r w:rsidR="00FA5E29" w:rsidRPr="00B269C1">
        <w:rPr>
          <w:rFonts w:ascii="StobiSerif Regular" w:hAnsi="StobiSerif Regular"/>
          <w:lang w:val="en-US"/>
        </w:rPr>
        <w:t xml:space="preserve">роизводството на облека </w:t>
      </w:r>
      <w:r w:rsidR="00FA5E29">
        <w:rPr>
          <w:rFonts w:ascii="StobiSerif Regular" w:hAnsi="StobiSerif Regular"/>
        </w:rPr>
        <w:t>(2,1 процент</w:t>
      </w:r>
      <w:r w:rsidR="00DF7F91">
        <w:rPr>
          <w:rFonts w:ascii="StobiSerif Regular" w:hAnsi="StobiSerif Regular"/>
        </w:rPr>
        <w:t>ни поени</w:t>
      </w:r>
      <w:r w:rsidR="00FA5E29">
        <w:rPr>
          <w:rFonts w:ascii="StobiSerif Regular" w:hAnsi="StobiSerif Regular"/>
        </w:rPr>
        <w:t xml:space="preserve">) .  </w:t>
      </w:r>
      <w:r w:rsidR="00FA5E29" w:rsidRPr="00B269C1">
        <w:rPr>
          <w:rFonts w:ascii="StobiSerif Regular" w:hAnsi="StobiSerif Regular"/>
          <w:lang w:val="en-US"/>
        </w:rPr>
        <w:t xml:space="preserve">Бројот на работници во индустријата на годишно ниво во </w:t>
      </w:r>
      <w:r w:rsidR="00FA5E29">
        <w:rPr>
          <w:rFonts w:ascii="StobiSerif Regular" w:hAnsi="StobiSerif Regular"/>
        </w:rPr>
        <w:t xml:space="preserve"> јануари 2017 </w:t>
      </w:r>
      <w:r w:rsidR="00FA5E29" w:rsidRPr="00B269C1">
        <w:rPr>
          <w:rFonts w:ascii="StobiSerif Regular" w:hAnsi="StobiSerif Regular"/>
          <w:lang w:val="en-US"/>
        </w:rPr>
        <w:t>забележа раст од</w:t>
      </w:r>
      <w:r w:rsidR="00FA5E29">
        <w:rPr>
          <w:rFonts w:ascii="StobiSerif Regular" w:hAnsi="StobiSerif Regular"/>
        </w:rPr>
        <w:t xml:space="preserve"> </w:t>
      </w:r>
      <w:r w:rsidR="00FA5E29" w:rsidRPr="00746E36">
        <w:rPr>
          <w:rFonts w:ascii="StobiSerif Regular" w:hAnsi="StobiSerif Regular"/>
          <w:lang w:val="en-US"/>
        </w:rPr>
        <w:t>0.4%</w:t>
      </w:r>
      <w:r w:rsidR="00FA5E29">
        <w:rPr>
          <w:rFonts w:ascii="StobiSerif Regular" w:hAnsi="StobiSerif Regular"/>
          <w:lang w:val="en-US"/>
        </w:rPr>
        <w:t>.</w:t>
      </w:r>
      <w:r w:rsidR="00FA5E29">
        <w:rPr>
          <w:rFonts w:ascii="StobiSerif Regular" w:hAnsi="StobiSerif Regular"/>
        </w:rPr>
        <w:t xml:space="preserve">  </w:t>
      </w:r>
    </w:p>
    <w:p w:rsidR="00E75E28" w:rsidRPr="00670531" w:rsidRDefault="00AA4CF3" w:rsidP="00670531">
      <w:pPr>
        <w:spacing w:before="120" w:after="120"/>
        <w:jc w:val="both"/>
        <w:rPr>
          <w:rFonts w:ascii="StobiSerif Regular" w:hAnsi="StobiSerif Regular"/>
          <w:b/>
          <w:lang w:val="en-US"/>
        </w:rPr>
      </w:pPr>
      <w:bookmarkStart w:id="9" w:name="_Toc485394985"/>
      <w:r w:rsidRPr="00670531">
        <w:rPr>
          <w:rFonts w:ascii="StobiSerif Regular" w:hAnsi="StobiSerif Regular"/>
          <w:b/>
        </w:rPr>
        <w:t>Слика</w:t>
      </w:r>
      <w:r w:rsidR="00936FBA" w:rsidRPr="00670531">
        <w:rPr>
          <w:rFonts w:ascii="StobiSerif Regular" w:hAnsi="StobiSerif Regular"/>
          <w:b/>
        </w:rPr>
        <w:t xml:space="preserve"> </w:t>
      </w:r>
      <w:r w:rsidR="00936FBA" w:rsidRPr="00670531">
        <w:rPr>
          <w:rFonts w:ascii="StobiSerif Regular" w:hAnsi="StobiSerif Regular"/>
          <w:b/>
        </w:rPr>
        <w:fldChar w:fldCharType="begin"/>
      </w:r>
      <w:r w:rsidR="00936FBA" w:rsidRPr="00670531">
        <w:rPr>
          <w:rFonts w:ascii="StobiSerif Regular" w:hAnsi="StobiSerif Regular"/>
          <w:b/>
        </w:rPr>
        <w:instrText xml:space="preserve"> SEQ Figure \* ARABIC </w:instrText>
      </w:r>
      <w:r w:rsidR="00936FBA" w:rsidRPr="00670531">
        <w:rPr>
          <w:rFonts w:ascii="StobiSerif Regular" w:hAnsi="StobiSerif Regular"/>
          <w:b/>
        </w:rPr>
        <w:fldChar w:fldCharType="separate"/>
      </w:r>
      <w:r w:rsidR="00936FBA" w:rsidRPr="00670531">
        <w:rPr>
          <w:rFonts w:ascii="StobiSerif Regular" w:hAnsi="StobiSerif Regular"/>
          <w:b/>
          <w:noProof/>
        </w:rPr>
        <w:t>1</w:t>
      </w:r>
      <w:r w:rsidR="00936FBA" w:rsidRPr="00670531">
        <w:rPr>
          <w:rFonts w:ascii="StobiSerif Regular" w:hAnsi="StobiSerif Regular"/>
          <w:b/>
        </w:rPr>
        <w:fldChar w:fldCharType="end"/>
      </w:r>
      <w:r w:rsidR="00936FBA" w:rsidRPr="00670531">
        <w:rPr>
          <w:rFonts w:ascii="StobiSerif Regular" w:hAnsi="StobiSerif Regular"/>
          <w:b/>
          <w:lang w:val="en-US"/>
        </w:rPr>
        <w:t xml:space="preserve">: </w:t>
      </w:r>
      <w:r w:rsidR="00FA5E29" w:rsidRPr="00670531">
        <w:rPr>
          <w:rFonts w:ascii="StobiSerif Regular" w:hAnsi="StobiSerif Regular"/>
          <w:b/>
        </w:rPr>
        <w:t>Индустриско производство</w:t>
      </w:r>
      <w:bookmarkEnd w:id="9"/>
      <w:r w:rsidR="00FA5E29" w:rsidRPr="00670531">
        <w:rPr>
          <w:rFonts w:ascii="StobiSerif Regular" w:hAnsi="StobiSerif Regular"/>
          <w:b/>
        </w:rPr>
        <w:t xml:space="preserve"> </w:t>
      </w:r>
    </w:p>
    <w:p w:rsidR="00E75E28" w:rsidRPr="00746E36" w:rsidRDefault="00E75E28" w:rsidP="00746E36">
      <w:pPr>
        <w:spacing w:after="0"/>
        <w:jc w:val="both"/>
        <w:rPr>
          <w:rFonts w:ascii="StobiSerif Regular" w:hAnsi="StobiSerif Regular"/>
          <w:lang w:val="en-US"/>
        </w:rPr>
      </w:pPr>
      <w:r w:rsidRPr="00746E36">
        <w:rPr>
          <w:rFonts w:ascii="StobiSerif Regular" w:hAnsi="StobiSerif Regular"/>
          <w:noProof/>
          <w:lang w:val="en-US"/>
        </w:rPr>
        <w:drawing>
          <wp:inline distT="0" distB="0" distL="0" distR="0" wp14:anchorId="62712D16" wp14:editId="2ADB91B7">
            <wp:extent cx="5613619" cy="2337683"/>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010" cy="2337429"/>
                    </a:xfrm>
                    <a:prstGeom prst="rect">
                      <a:avLst/>
                    </a:prstGeom>
                    <a:noFill/>
                  </pic:spPr>
                </pic:pic>
              </a:graphicData>
            </a:graphic>
          </wp:inline>
        </w:drawing>
      </w:r>
    </w:p>
    <w:p w:rsidR="00E75E28" w:rsidRPr="00FA5E29" w:rsidRDefault="00FA5E29" w:rsidP="00746E36">
      <w:pPr>
        <w:spacing w:after="0"/>
        <w:jc w:val="both"/>
        <w:rPr>
          <w:rFonts w:ascii="StobiSerif Regular" w:hAnsi="StobiSerif Regular"/>
          <w:sz w:val="16"/>
          <w:szCs w:val="16"/>
        </w:rPr>
      </w:pPr>
      <w:r>
        <w:rPr>
          <w:rFonts w:ascii="StobiSerif Regular" w:hAnsi="StobiSerif Regular"/>
          <w:sz w:val="16"/>
          <w:szCs w:val="16"/>
        </w:rPr>
        <w:t xml:space="preserve">Извор </w:t>
      </w:r>
      <w:r>
        <w:rPr>
          <w:rFonts w:ascii="StobiSerif Regular" w:hAnsi="StobiSerif Regular"/>
          <w:sz w:val="16"/>
          <w:szCs w:val="16"/>
          <w:lang w:val="en-US"/>
        </w:rPr>
        <w:t xml:space="preserve">: </w:t>
      </w:r>
      <w:r>
        <w:rPr>
          <w:rFonts w:ascii="StobiSerif Regular" w:hAnsi="StobiSerif Regular"/>
          <w:sz w:val="16"/>
          <w:szCs w:val="16"/>
        </w:rPr>
        <w:t>ДЗС</w:t>
      </w:r>
    </w:p>
    <w:p w:rsidR="00E75E28" w:rsidRPr="00746E36" w:rsidRDefault="00FA5E29" w:rsidP="00FA5E29">
      <w:pPr>
        <w:jc w:val="both"/>
        <w:rPr>
          <w:rFonts w:ascii="StobiSerif Regular" w:hAnsi="StobiSerif Regular"/>
          <w:lang w:val="en-US"/>
        </w:rPr>
      </w:pPr>
      <w:r>
        <w:rPr>
          <w:rFonts w:ascii="StobiSerif Regular" w:hAnsi="StobiSerif Regular"/>
        </w:rPr>
        <w:t xml:space="preserve">Последната анализа покажува дека стапката на невработеност се намалила за </w:t>
      </w:r>
      <w:r w:rsidR="00B762EA" w:rsidRPr="00746E36">
        <w:rPr>
          <w:rFonts w:ascii="StobiSerif Regular" w:hAnsi="StobiSerif Regular"/>
          <w:lang w:val="en-US"/>
        </w:rPr>
        <w:t>23.</w:t>
      </w:r>
      <w:r w:rsidR="00716E0D">
        <w:rPr>
          <w:rFonts w:ascii="StobiSerif Regular" w:hAnsi="StobiSerif Regular"/>
          <w:lang w:val="en-US"/>
        </w:rPr>
        <w:t>7</w:t>
      </w:r>
      <w:r w:rsidR="00B762EA" w:rsidRPr="00746E36">
        <w:rPr>
          <w:rFonts w:ascii="StobiSerif Regular" w:hAnsi="StobiSerif Regular"/>
          <w:lang w:val="en-US"/>
        </w:rPr>
        <w:t>%.</w:t>
      </w:r>
    </w:p>
    <w:p w:rsidR="00590304" w:rsidRPr="00CF0BD1" w:rsidRDefault="00200C6C" w:rsidP="00947805">
      <w:pPr>
        <w:spacing w:before="120" w:after="120"/>
        <w:outlineLvl w:val="1"/>
        <w:rPr>
          <w:rFonts w:ascii="StobiSerif Regular" w:hAnsi="StobiSerif Regular"/>
          <w:b/>
          <w:lang w:val="en-US"/>
        </w:rPr>
      </w:pPr>
      <w:bookmarkStart w:id="10" w:name="_Toc485394803"/>
      <w:r w:rsidRPr="00CF0BD1">
        <w:rPr>
          <w:rFonts w:ascii="StobiSerif Regular" w:hAnsi="StobiSerif Regular"/>
          <w:b/>
          <w:lang w:val="en-US"/>
        </w:rPr>
        <w:t>1</w:t>
      </w:r>
      <w:r w:rsidR="00947805" w:rsidRPr="00CF0BD1">
        <w:rPr>
          <w:rFonts w:ascii="StobiSerif Regular" w:hAnsi="StobiSerif Regular"/>
          <w:b/>
          <w:lang w:val="en-US"/>
        </w:rPr>
        <w:t xml:space="preserve">.3 </w:t>
      </w:r>
      <w:r w:rsidR="008C468F" w:rsidRPr="005A33BE">
        <w:rPr>
          <w:rFonts w:ascii="StobiSerif Regular" w:hAnsi="StobiSerif Regular"/>
          <w:b/>
        </w:rPr>
        <w:t>Демографска ситуација</w:t>
      </w:r>
      <w:bookmarkEnd w:id="10"/>
    </w:p>
    <w:p w:rsidR="00947805" w:rsidRDefault="00706C12" w:rsidP="00A07B6D">
      <w:pPr>
        <w:spacing w:before="120" w:after="120"/>
        <w:ind w:firstLine="284"/>
        <w:jc w:val="both"/>
        <w:rPr>
          <w:rFonts w:ascii="StobiSerif Regular" w:hAnsi="StobiSerif Regular"/>
          <w:lang w:val="en-US"/>
        </w:rPr>
      </w:pPr>
      <w:r w:rsidRPr="00706C12">
        <w:rPr>
          <w:rFonts w:ascii="StobiSerif Regular" w:hAnsi="StobiSerif Regular"/>
        </w:rPr>
        <w:t xml:space="preserve">Според проценката на населението (на 31.12.2015 година), </w:t>
      </w:r>
      <w:r>
        <w:rPr>
          <w:rFonts w:ascii="StobiSerif Regular" w:hAnsi="StobiSerif Regular"/>
        </w:rPr>
        <w:t>во Република Македонија има 2.071.</w:t>
      </w:r>
      <w:r w:rsidRPr="00706C12">
        <w:rPr>
          <w:rFonts w:ascii="StobiSerif Regular" w:hAnsi="StobiSerif Regular"/>
        </w:rPr>
        <w:t>278 ж</w:t>
      </w:r>
      <w:r>
        <w:rPr>
          <w:rFonts w:ascii="StobiSerif Regular" w:hAnsi="StobiSerif Regular"/>
        </w:rPr>
        <w:t>ители што е 13. 994 лица или</w:t>
      </w:r>
      <w:r w:rsidRPr="00706C12">
        <w:rPr>
          <w:rFonts w:ascii="StobiSerif Regular" w:hAnsi="StobiSerif Regular"/>
        </w:rPr>
        <w:t xml:space="preserve"> за 0,7% повеќе отколку во 2010 и 32</w:t>
      </w:r>
      <w:r>
        <w:rPr>
          <w:rFonts w:ascii="StobiSerif Regular" w:hAnsi="StobiSerif Regular"/>
        </w:rPr>
        <w:t>.</w:t>
      </w:r>
      <w:r w:rsidRPr="00706C12">
        <w:rPr>
          <w:rFonts w:ascii="StobiSerif Regular" w:hAnsi="StobiSerif Regular"/>
        </w:rPr>
        <w:t xml:space="preserve"> 764 </w:t>
      </w:r>
      <w:r>
        <w:rPr>
          <w:rFonts w:ascii="StobiSerif Regular" w:hAnsi="StobiSerif Regular"/>
        </w:rPr>
        <w:t>лица</w:t>
      </w:r>
      <w:r w:rsidRPr="00706C12">
        <w:rPr>
          <w:rFonts w:ascii="StobiSerif Regular" w:hAnsi="StobiSerif Regular"/>
        </w:rPr>
        <w:t xml:space="preserve"> или 1,6% повеќе отколку во 2005 година.</w:t>
      </w:r>
      <w:r>
        <w:rPr>
          <w:rFonts w:ascii="StobiSerif Regular" w:hAnsi="StobiSerif Regular"/>
        </w:rPr>
        <w:t xml:space="preserve"> Во периодот од 2005 до</w:t>
      </w:r>
      <w:r w:rsidR="0092786C">
        <w:rPr>
          <w:rFonts w:ascii="StobiSerif Regular" w:hAnsi="StobiSerif Regular"/>
        </w:rPr>
        <w:t xml:space="preserve"> 2015 </w:t>
      </w:r>
      <w:r>
        <w:rPr>
          <w:rFonts w:ascii="StobiSerif Regular" w:hAnsi="StobiSerif Regular"/>
        </w:rPr>
        <w:t>е забележано</w:t>
      </w:r>
      <w:r w:rsidR="0092786C">
        <w:rPr>
          <w:rFonts w:ascii="StobiSerif Regular" w:hAnsi="StobiSerif Regular"/>
        </w:rPr>
        <w:t xml:space="preserve"> зголемено присуство на имигранти во земјата. </w:t>
      </w:r>
      <w:r w:rsidR="00873870" w:rsidRPr="0035362E">
        <w:rPr>
          <w:rFonts w:ascii="StobiSerif Regular" w:hAnsi="StobiSerif Regular"/>
          <w:lang w:val="en-US"/>
        </w:rPr>
        <w:t xml:space="preserve"> </w:t>
      </w:r>
      <w:r w:rsidR="0092786C">
        <w:rPr>
          <w:rFonts w:ascii="StobiSerif Regular" w:hAnsi="StobiSerif Regular"/>
        </w:rPr>
        <w:t>Во врска со старосната структура, македонското население старее.</w:t>
      </w:r>
      <w:r w:rsidR="0092786C" w:rsidRPr="0092786C">
        <w:rPr>
          <w:rFonts w:ascii="StobiSerif Regular" w:hAnsi="StobiSerif Regular"/>
        </w:rPr>
        <w:t xml:space="preserve">Во периодот од 2005 до 2015 година, учеството на младото население (0-14 години) </w:t>
      </w:r>
      <w:r w:rsidR="0092786C">
        <w:rPr>
          <w:rFonts w:ascii="StobiSerif Regular" w:hAnsi="StobiSerif Regular"/>
        </w:rPr>
        <w:t xml:space="preserve">намалено е </w:t>
      </w:r>
      <w:r w:rsidR="0092786C" w:rsidRPr="0092786C">
        <w:rPr>
          <w:rFonts w:ascii="StobiSerif Regular" w:hAnsi="StobiSerif Regular"/>
        </w:rPr>
        <w:t xml:space="preserve"> од 19</w:t>
      </w:r>
      <w:r>
        <w:rPr>
          <w:rFonts w:ascii="StobiSerif Regular" w:hAnsi="StobiSerif Regular"/>
        </w:rPr>
        <w:t>,</w:t>
      </w:r>
      <w:r w:rsidR="0092786C" w:rsidRPr="0092786C">
        <w:rPr>
          <w:rFonts w:ascii="StobiSerif Regular" w:hAnsi="StobiSerif Regular"/>
        </w:rPr>
        <w:t>4% на 16</w:t>
      </w:r>
      <w:r>
        <w:rPr>
          <w:rFonts w:ascii="StobiSerif Regular" w:hAnsi="StobiSerif Regular"/>
        </w:rPr>
        <w:t>,</w:t>
      </w:r>
      <w:r w:rsidR="0092786C" w:rsidRPr="0092786C">
        <w:rPr>
          <w:rFonts w:ascii="StobiSerif Regular" w:hAnsi="StobiSerif Regular"/>
        </w:rPr>
        <w:t xml:space="preserve">7%, а учеството на старото население (65 и повеќе години) </w:t>
      </w:r>
      <w:r w:rsidR="0092786C">
        <w:rPr>
          <w:rFonts w:ascii="StobiSerif Regular" w:hAnsi="StobiSerif Regular"/>
        </w:rPr>
        <w:t xml:space="preserve">зголемено е </w:t>
      </w:r>
      <w:r w:rsidR="0092786C" w:rsidRPr="0092786C">
        <w:rPr>
          <w:rFonts w:ascii="StobiSerif Regular" w:hAnsi="StobiSerif Regular"/>
        </w:rPr>
        <w:t xml:space="preserve"> од 11,1% на 13,0%.</w:t>
      </w:r>
      <w:r w:rsidR="0092786C">
        <w:rPr>
          <w:rFonts w:ascii="StobiSerif Regular" w:hAnsi="StobiSerif Regular"/>
        </w:rPr>
        <w:t xml:space="preserve"> </w:t>
      </w:r>
    </w:p>
    <w:p w:rsidR="00E64F7E" w:rsidRPr="00181541" w:rsidRDefault="00706C12" w:rsidP="000703F3">
      <w:pPr>
        <w:jc w:val="both"/>
        <w:rPr>
          <w:rFonts w:ascii="StobiSerif Regular" w:hAnsi="StobiSerif Regular"/>
          <w:b/>
          <w:lang w:val="en-US"/>
        </w:rPr>
      </w:pPr>
      <w:bookmarkStart w:id="11" w:name="_Toc485394986"/>
      <w:r w:rsidRPr="00181541">
        <w:rPr>
          <w:rFonts w:ascii="StobiSerif Regular" w:hAnsi="StobiSerif Regular"/>
          <w:b/>
        </w:rPr>
        <w:t>Слика</w:t>
      </w:r>
      <w:r w:rsidR="00E64F7E" w:rsidRPr="00181541">
        <w:rPr>
          <w:rFonts w:ascii="StobiSerif Regular" w:hAnsi="StobiSerif Regular"/>
          <w:b/>
        </w:rPr>
        <w:t xml:space="preserve"> </w:t>
      </w:r>
      <w:r w:rsidR="00E64F7E" w:rsidRPr="00181541">
        <w:rPr>
          <w:rFonts w:ascii="StobiSerif Regular" w:hAnsi="StobiSerif Regular"/>
          <w:b/>
        </w:rPr>
        <w:fldChar w:fldCharType="begin"/>
      </w:r>
      <w:r w:rsidR="00E64F7E" w:rsidRPr="00181541">
        <w:rPr>
          <w:rFonts w:ascii="StobiSerif Regular" w:hAnsi="StobiSerif Regular"/>
          <w:b/>
        </w:rPr>
        <w:instrText xml:space="preserve"> SEQ Figure \* ARABIC </w:instrText>
      </w:r>
      <w:r w:rsidR="00E64F7E" w:rsidRPr="00181541">
        <w:rPr>
          <w:rFonts w:ascii="StobiSerif Regular" w:hAnsi="StobiSerif Regular"/>
          <w:b/>
        </w:rPr>
        <w:fldChar w:fldCharType="separate"/>
      </w:r>
      <w:r w:rsidR="00E64F7E" w:rsidRPr="00181541">
        <w:rPr>
          <w:rFonts w:ascii="StobiSerif Regular" w:hAnsi="StobiSerif Regular"/>
          <w:b/>
          <w:noProof/>
        </w:rPr>
        <w:t>2</w:t>
      </w:r>
      <w:r w:rsidR="00E64F7E" w:rsidRPr="00181541">
        <w:rPr>
          <w:rFonts w:ascii="StobiSerif Regular" w:hAnsi="StobiSerif Regular"/>
          <w:b/>
        </w:rPr>
        <w:fldChar w:fldCharType="end"/>
      </w:r>
      <w:r w:rsidR="00E64F7E" w:rsidRPr="00181541">
        <w:rPr>
          <w:rFonts w:ascii="StobiSerif Regular" w:hAnsi="StobiSerif Regular"/>
          <w:b/>
          <w:lang w:val="en-US"/>
        </w:rPr>
        <w:t xml:space="preserve">: </w:t>
      </w:r>
      <w:r w:rsidRPr="00181541">
        <w:rPr>
          <w:rFonts w:ascii="StobiSerif Regular" w:hAnsi="StobiSerif Regular"/>
          <w:b/>
        </w:rPr>
        <w:t>Населени по возрасни групи</w:t>
      </w:r>
      <w:r w:rsidR="00E64F7E" w:rsidRPr="00181541">
        <w:rPr>
          <w:rFonts w:ascii="StobiSerif Regular" w:hAnsi="StobiSerif Regular"/>
          <w:b/>
          <w:lang w:val="en-US"/>
        </w:rPr>
        <w:t xml:space="preserve"> (</w:t>
      </w:r>
      <w:r w:rsidRPr="00181541">
        <w:rPr>
          <w:rFonts w:ascii="StobiSerif Regular" w:hAnsi="StobiSerif Regular"/>
          <w:b/>
        </w:rPr>
        <w:t>крај на година</w:t>
      </w:r>
      <w:r w:rsidR="00E64F7E" w:rsidRPr="00181541">
        <w:rPr>
          <w:rFonts w:ascii="StobiSerif Regular" w:hAnsi="StobiSerif Regular"/>
          <w:b/>
          <w:lang w:val="en-US"/>
        </w:rPr>
        <w:t>)</w:t>
      </w:r>
      <w:bookmarkEnd w:id="11"/>
    </w:p>
    <w:p w:rsidR="00801173" w:rsidRPr="0075281F" w:rsidRDefault="00801173" w:rsidP="000703F3">
      <w:pPr>
        <w:spacing w:after="0"/>
        <w:jc w:val="center"/>
        <w:rPr>
          <w:rFonts w:ascii="StobiSerif Regular" w:hAnsi="StobiSerif Regular"/>
        </w:rPr>
      </w:pPr>
      <w:r>
        <w:rPr>
          <w:rFonts w:ascii="StobiSerif Regular" w:hAnsi="StobiSerif Regular"/>
          <w:noProof/>
          <w:lang w:val="en-US"/>
        </w:rPr>
        <w:drawing>
          <wp:inline distT="0" distB="0" distL="0" distR="0" wp14:anchorId="4471E276" wp14:editId="60099F8F">
            <wp:extent cx="3117273" cy="125878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3640" cy="1261356"/>
                    </a:xfrm>
                    <a:prstGeom prst="rect">
                      <a:avLst/>
                    </a:prstGeom>
                    <a:noFill/>
                  </pic:spPr>
                </pic:pic>
              </a:graphicData>
            </a:graphic>
          </wp:inline>
        </w:drawing>
      </w:r>
    </w:p>
    <w:p w:rsidR="00947805" w:rsidRPr="0075281F" w:rsidRDefault="00E64F7E" w:rsidP="000703F3">
      <w:pPr>
        <w:spacing w:after="0"/>
        <w:rPr>
          <w:rFonts w:ascii="StobiSerif Regular" w:hAnsi="StobiSerif Regular"/>
          <w:sz w:val="16"/>
          <w:szCs w:val="16"/>
        </w:rPr>
      </w:pPr>
      <w:r>
        <w:rPr>
          <w:rFonts w:ascii="StobiSerif Regular" w:hAnsi="StobiSerif Regular"/>
          <w:sz w:val="16"/>
          <w:szCs w:val="16"/>
          <w:lang w:val="en-US"/>
        </w:rPr>
        <w:t xml:space="preserve">                                                            </w:t>
      </w:r>
      <w:r w:rsidR="0075281F">
        <w:rPr>
          <w:rFonts w:ascii="StobiSerif Regular" w:hAnsi="StobiSerif Regular"/>
          <w:sz w:val="16"/>
          <w:szCs w:val="16"/>
        </w:rPr>
        <w:t>Извор: ДЗС</w:t>
      </w:r>
    </w:p>
    <w:p w:rsidR="00E64F7E" w:rsidRDefault="00AA7330" w:rsidP="002A327F">
      <w:pPr>
        <w:spacing w:before="120" w:after="120"/>
        <w:ind w:firstLine="284"/>
        <w:jc w:val="both"/>
        <w:rPr>
          <w:rFonts w:ascii="StobiSerif Regular" w:hAnsi="StobiSerif Regular"/>
          <w:lang w:val="en-US"/>
        </w:rPr>
      </w:pPr>
      <w:r w:rsidRPr="00AA7330">
        <w:rPr>
          <w:rFonts w:ascii="StobiSerif Regular" w:hAnsi="StobiSerif Regular"/>
        </w:rPr>
        <w:lastRenderedPageBreak/>
        <w:t>Демографските показатели на регионално ниво покажуваат разлики кои укажуваат на несразмерност во територијалната застапеноста на населението.</w:t>
      </w:r>
      <w:r w:rsidRPr="00AA7330">
        <w:t xml:space="preserve"> </w:t>
      </w:r>
      <w:r w:rsidRPr="00AA7330">
        <w:rPr>
          <w:rFonts w:ascii="StobiSerif Regular" w:hAnsi="StobiSerif Regular"/>
        </w:rPr>
        <w:t>Скопскиот регион, како најгусто населен, има речиси десет пати поголема густина</w:t>
      </w:r>
      <w:r>
        <w:rPr>
          <w:rFonts w:ascii="StobiSerif Regular" w:hAnsi="StobiSerif Regular"/>
        </w:rPr>
        <w:t xml:space="preserve"> на населеност </w:t>
      </w:r>
      <w:r w:rsidRPr="00AA7330">
        <w:rPr>
          <w:rFonts w:ascii="StobiSerif Regular" w:hAnsi="StobiSerif Regular"/>
        </w:rPr>
        <w:t xml:space="preserve"> од регионот на Вардар, која е најретко населен.</w:t>
      </w:r>
      <w:r>
        <w:rPr>
          <w:rFonts w:ascii="StobiSerif Regular" w:hAnsi="StobiSerif Regular"/>
        </w:rPr>
        <w:t xml:space="preserve"> </w:t>
      </w:r>
      <w:r w:rsidRPr="00AA7330">
        <w:rPr>
          <w:rFonts w:ascii="StobiSerif Regular" w:hAnsi="StobiSerif Regular"/>
        </w:rPr>
        <w:t>Исто така, постојат разлики во старосната структ</w:t>
      </w:r>
      <w:r>
        <w:rPr>
          <w:rFonts w:ascii="StobiSerif Regular" w:hAnsi="StobiSerif Regular"/>
        </w:rPr>
        <w:t xml:space="preserve">ура на населението. Највисокото </w:t>
      </w:r>
      <w:r w:rsidRPr="00AA7330">
        <w:rPr>
          <w:rFonts w:ascii="StobiSerif Regular" w:hAnsi="StobiSerif Regular"/>
        </w:rPr>
        <w:t>учеството на младото население (0-14) е регистриран</w:t>
      </w:r>
      <w:r w:rsidR="0075281F">
        <w:rPr>
          <w:rFonts w:ascii="StobiSerif Regular" w:hAnsi="StobiSerif Regular"/>
        </w:rPr>
        <w:t>о</w:t>
      </w:r>
      <w:r w:rsidRPr="00AA7330">
        <w:rPr>
          <w:rFonts w:ascii="StobiSerif Regular" w:hAnsi="StobiSerif Regular"/>
        </w:rPr>
        <w:t xml:space="preserve"> во Скопскиот, Полошкиот и Североисточниот регион, додека најголем процент на старото население (65+) е забележан во Пелагонискиот, Вардарскиот и Источниот регион.</w:t>
      </w:r>
      <w:r w:rsidRPr="00AA7330">
        <w:t xml:space="preserve"> </w:t>
      </w:r>
      <w:r w:rsidRPr="00AA7330">
        <w:rPr>
          <w:rFonts w:ascii="StobiSerif Regular" w:hAnsi="StobiSerif Regular"/>
        </w:rPr>
        <w:t>Индикаторите на просечната воз</w:t>
      </w:r>
      <w:r>
        <w:rPr>
          <w:rFonts w:ascii="StobiSerif Regular" w:hAnsi="StobiSerif Regular"/>
        </w:rPr>
        <w:t xml:space="preserve">раст на населението, исто така ја </w:t>
      </w:r>
      <w:r w:rsidRPr="00AA7330">
        <w:rPr>
          <w:rFonts w:ascii="StobiSerif Regular" w:hAnsi="StobiSerif Regular"/>
        </w:rPr>
        <w:t>потврдуваат оваа ситуација</w:t>
      </w:r>
      <w:r>
        <w:rPr>
          <w:rFonts w:ascii="StobiSerif Regular" w:hAnsi="StobiSerif Regular"/>
        </w:rPr>
        <w:t xml:space="preserve">. </w:t>
      </w:r>
      <w:r w:rsidRPr="00AA7330">
        <w:rPr>
          <w:rFonts w:ascii="StobiSerif Regular" w:hAnsi="StobiSerif Regular"/>
        </w:rPr>
        <w:t>Разликите се видливи на бројот на родени</w:t>
      </w:r>
      <w:r w:rsidR="00F113EC">
        <w:rPr>
          <w:rFonts w:ascii="StobiSerif Regular" w:hAnsi="StobiSerif Regular"/>
        </w:rPr>
        <w:t xml:space="preserve"> и бројот на умрени</w:t>
      </w:r>
      <w:r w:rsidRPr="00AA7330">
        <w:rPr>
          <w:rFonts w:ascii="StobiSerif Regular" w:hAnsi="StobiSerif Regular"/>
        </w:rPr>
        <w:t xml:space="preserve">. Во Пелагонискиот, Вардарскиот и Источниот регион, како резултат на неповолната старосна структура и ниска плодност, бројот на смртни случаи го надминува бројот на </w:t>
      </w:r>
      <w:r w:rsidR="00F113EC">
        <w:rPr>
          <w:rFonts w:ascii="StobiSerif Regular" w:hAnsi="StobiSerif Regular"/>
        </w:rPr>
        <w:t>родените</w:t>
      </w:r>
      <w:r w:rsidRPr="00AA7330">
        <w:rPr>
          <w:rFonts w:ascii="StobiSerif Regular" w:hAnsi="StobiSerif Regular"/>
        </w:rPr>
        <w:t>.</w:t>
      </w:r>
    </w:p>
    <w:p w:rsidR="005C3795" w:rsidRPr="00181541" w:rsidRDefault="002A5FD9" w:rsidP="00A7623C">
      <w:pPr>
        <w:spacing w:after="0"/>
        <w:jc w:val="both"/>
        <w:rPr>
          <w:rFonts w:ascii="StobiSerif Regular" w:hAnsi="StobiSerif Regular"/>
          <w:b/>
          <w:lang w:val="en-US"/>
        </w:rPr>
      </w:pPr>
      <w:r w:rsidRPr="00181541">
        <w:rPr>
          <w:rFonts w:ascii="StobiSerif Regular" w:hAnsi="StobiSerif Regular"/>
          <w:b/>
        </w:rPr>
        <w:t>Слика 3: Структура на вкупното население по старосни групи, на крајот на 2015 година</w:t>
      </w:r>
    </w:p>
    <w:p w:rsidR="005C3795" w:rsidRPr="005C3795" w:rsidRDefault="005C3795" w:rsidP="005C3795">
      <w:pPr>
        <w:framePr w:h="3350" w:wrap="notBeside" w:vAnchor="text" w:hAnchor="text" w:xAlign="center" w:y="1"/>
        <w:widowControl w:val="0"/>
        <w:spacing w:after="0" w:line="240" w:lineRule="auto"/>
        <w:jc w:val="center"/>
        <w:rPr>
          <w:rFonts w:ascii="Courier New" w:eastAsia="Courier New" w:hAnsi="Courier New" w:cs="Courier New"/>
          <w:color w:val="000000"/>
          <w:sz w:val="2"/>
          <w:szCs w:val="2"/>
          <w:lang w:eastAsia="mk-MK"/>
        </w:rPr>
      </w:pPr>
      <w:r>
        <w:rPr>
          <w:rFonts w:ascii="Courier New" w:eastAsia="Courier New" w:hAnsi="Courier New" w:cs="Courier New"/>
          <w:noProof/>
          <w:color w:val="000000"/>
          <w:sz w:val="24"/>
          <w:szCs w:val="24"/>
          <w:lang w:val="en-US"/>
        </w:rPr>
        <w:drawing>
          <wp:inline distT="0" distB="0" distL="0" distR="0" wp14:anchorId="29A99A4B" wp14:editId="6A90FF91">
            <wp:extent cx="2731135" cy="2131695"/>
            <wp:effectExtent l="0" t="0" r="0" b="1905"/>
            <wp:docPr id="8" name="Picture 8" descr="C:\Users\user\AppData\Local\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1\media\image5.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31135" cy="2131695"/>
                    </a:xfrm>
                    <a:prstGeom prst="rect">
                      <a:avLst/>
                    </a:prstGeom>
                    <a:noFill/>
                    <a:ln>
                      <a:noFill/>
                    </a:ln>
                  </pic:spPr>
                </pic:pic>
              </a:graphicData>
            </a:graphic>
          </wp:inline>
        </w:drawing>
      </w:r>
    </w:p>
    <w:p w:rsidR="005C3795" w:rsidRDefault="005C3795" w:rsidP="00F336FE">
      <w:pPr>
        <w:spacing w:after="0"/>
        <w:jc w:val="both"/>
        <w:outlineLvl w:val="1"/>
        <w:rPr>
          <w:rFonts w:ascii="StobiSerif Regular" w:hAnsi="StobiSerif Regular"/>
          <w:lang w:val="en-US"/>
        </w:rPr>
      </w:pPr>
    </w:p>
    <w:p w:rsidR="005C3795" w:rsidRDefault="00F113EC" w:rsidP="00262095">
      <w:pPr>
        <w:spacing w:after="0"/>
        <w:jc w:val="both"/>
        <w:rPr>
          <w:rFonts w:ascii="StobiSerif Regular" w:hAnsi="StobiSerif Regular"/>
          <w:sz w:val="16"/>
          <w:szCs w:val="16"/>
          <w:lang w:val="en-US"/>
        </w:rPr>
      </w:pPr>
      <w:r>
        <w:rPr>
          <w:rFonts w:ascii="StobiSerif Regular" w:hAnsi="StobiSerif Regular"/>
          <w:sz w:val="16"/>
          <w:szCs w:val="16"/>
        </w:rPr>
        <w:t>Извор</w:t>
      </w:r>
      <w:r w:rsidR="005C3795" w:rsidRPr="00E64F7E">
        <w:rPr>
          <w:rFonts w:ascii="StobiSerif Regular" w:hAnsi="StobiSerif Regular"/>
          <w:sz w:val="16"/>
          <w:szCs w:val="16"/>
          <w:lang w:val="en-US"/>
        </w:rPr>
        <w:t>:</w:t>
      </w:r>
      <w:r w:rsidR="005C3795">
        <w:rPr>
          <w:rFonts w:ascii="StobiSerif Regular" w:hAnsi="StobiSerif Regular"/>
          <w:sz w:val="16"/>
          <w:szCs w:val="16"/>
          <w:lang w:val="en-US"/>
        </w:rPr>
        <w:t xml:space="preserve"> </w:t>
      </w:r>
      <w:r>
        <w:rPr>
          <w:rFonts w:ascii="StobiSerif Regular" w:hAnsi="StobiSerif Regular"/>
          <w:sz w:val="16"/>
          <w:szCs w:val="16"/>
        </w:rPr>
        <w:t xml:space="preserve">ДЗС </w:t>
      </w:r>
    </w:p>
    <w:p w:rsidR="008E58F8" w:rsidRDefault="008E58F8" w:rsidP="00262095">
      <w:pPr>
        <w:spacing w:after="0"/>
        <w:jc w:val="both"/>
        <w:rPr>
          <w:rFonts w:ascii="StobiSerif Regular" w:hAnsi="StobiSerif Regular"/>
          <w:sz w:val="16"/>
          <w:szCs w:val="16"/>
          <w:lang w:val="en-US"/>
        </w:rPr>
      </w:pPr>
    </w:p>
    <w:p w:rsidR="008E58F8" w:rsidRPr="00822973" w:rsidRDefault="008E58F8" w:rsidP="00A7623C">
      <w:pPr>
        <w:spacing w:after="0"/>
        <w:jc w:val="both"/>
        <w:outlineLvl w:val="1"/>
        <w:rPr>
          <w:rFonts w:ascii="StobiSerif Regular" w:hAnsi="StobiSerif Regular"/>
          <w:b/>
        </w:rPr>
      </w:pPr>
      <w:bookmarkStart w:id="12" w:name="_Toc485394804"/>
      <w:r w:rsidRPr="00822973">
        <w:rPr>
          <w:rFonts w:ascii="StobiSerif Regular" w:hAnsi="StobiSerif Regular"/>
          <w:b/>
          <w:lang w:val="en-US"/>
        </w:rPr>
        <w:t>1.4.</w:t>
      </w:r>
      <w:r w:rsidRPr="00822973">
        <w:rPr>
          <w:rFonts w:ascii="StobiSerif Regular" w:hAnsi="StobiSerif Regular"/>
          <w:b/>
        </w:rPr>
        <w:t>Стуктура на фарми</w:t>
      </w:r>
      <w:bookmarkEnd w:id="12"/>
      <w:r w:rsidRPr="00822973">
        <w:rPr>
          <w:rFonts w:ascii="StobiSerif Regular" w:hAnsi="StobiSerif Regular"/>
          <w:b/>
          <w:lang w:val="en-US"/>
        </w:rPr>
        <w:t xml:space="preserve"> </w:t>
      </w:r>
    </w:p>
    <w:p w:rsidR="008E58F8" w:rsidRDefault="008E58F8" w:rsidP="00262095">
      <w:pPr>
        <w:spacing w:after="0"/>
        <w:jc w:val="both"/>
        <w:rPr>
          <w:rFonts w:ascii="StobiSerif Regular" w:hAnsi="StobiSerif Regular"/>
        </w:rPr>
      </w:pPr>
      <w:r w:rsidRPr="008E58F8">
        <w:rPr>
          <w:rFonts w:ascii="StobiSerif Regular" w:hAnsi="StobiSerif Regular"/>
          <w:lang w:val="en-US"/>
        </w:rPr>
        <w:t>Според податоците од Анкетата за структура на фарм</w:t>
      </w:r>
      <w:r>
        <w:rPr>
          <w:rFonts w:ascii="StobiSerif Regular" w:hAnsi="StobiSerif Regular"/>
        </w:rPr>
        <w:t>и</w:t>
      </w:r>
      <w:r w:rsidRPr="008E58F8">
        <w:rPr>
          <w:rFonts w:ascii="StobiSerif Regular" w:hAnsi="StobiSerif Regular"/>
          <w:lang w:val="en-US"/>
        </w:rPr>
        <w:t>т</w:t>
      </w:r>
      <w:r>
        <w:rPr>
          <w:rFonts w:ascii="StobiSerif Regular" w:hAnsi="StobiSerif Regular"/>
        </w:rPr>
        <w:t>е</w:t>
      </w:r>
      <w:r w:rsidRPr="008E58F8">
        <w:rPr>
          <w:rFonts w:ascii="StobiSerif Regular" w:hAnsi="StobiSerif Regular"/>
          <w:lang w:val="en-US"/>
        </w:rPr>
        <w:t xml:space="preserve">, во Република Македонија има 170.885 земјоделски стопанства. Во просек, едно земјоделско стопанство користи 1,85 хектари земјоделско земјиште и одгледува 2,14 </w:t>
      </w:r>
      <w:r w:rsidR="007A7C25">
        <w:rPr>
          <w:rFonts w:ascii="StobiSerif Regular" w:hAnsi="StobiSerif Regular"/>
        </w:rPr>
        <w:t>Д</w:t>
      </w:r>
      <w:r w:rsidRPr="008E58F8">
        <w:rPr>
          <w:rFonts w:ascii="StobiSerif Regular" w:hAnsi="StobiSerif Regular"/>
          <w:lang w:val="en-US"/>
        </w:rPr>
        <w:t>Е (</w:t>
      </w:r>
      <w:r w:rsidR="00DD7B76">
        <w:rPr>
          <w:rFonts w:ascii="StobiSerif Regular" w:hAnsi="StobiSerif Regular"/>
        </w:rPr>
        <w:t>Добиточна единица-</w:t>
      </w:r>
      <w:r w:rsidRPr="008E58F8">
        <w:rPr>
          <w:rFonts w:ascii="StobiSerif Regular" w:hAnsi="StobiSerif Regular"/>
          <w:lang w:val="en-US"/>
        </w:rPr>
        <w:t>единици за големина на добиток).</w:t>
      </w:r>
      <w:r w:rsidR="00DD7B76" w:rsidRPr="00DD7B76">
        <w:t xml:space="preserve"> </w:t>
      </w:r>
      <w:r w:rsidR="00DD7B76" w:rsidRPr="00DD7B76">
        <w:rPr>
          <w:rFonts w:ascii="StobiSerif Regular" w:hAnsi="StobiSerif Regular"/>
          <w:lang w:val="en-US"/>
        </w:rPr>
        <w:t xml:space="preserve">Вкупната искористена земјоделска површина од земјоделските стопанства е 315.863 ha, а од </w:t>
      </w:r>
      <w:r w:rsidR="00DD7B76">
        <w:rPr>
          <w:rFonts w:ascii="StobiSerif Regular" w:hAnsi="StobiSerif Regular"/>
          <w:lang w:val="en-US"/>
        </w:rPr>
        <w:t xml:space="preserve">вкупниот број на имоти, 58.2% </w:t>
      </w:r>
      <w:r w:rsidR="00DD7B76" w:rsidRPr="00DD7B76">
        <w:rPr>
          <w:rFonts w:ascii="StobiSerif Regular" w:hAnsi="StobiSerif Regular"/>
          <w:lang w:val="en-US"/>
        </w:rPr>
        <w:t>корист</w:t>
      </w:r>
      <w:r w:rsidR="00DD7B76">
        <w:rPr>
          <w:rFonts w:ascii="StobiSerif Regular" w:hAnsi="StobiSerif Regular"/>
        </w:rPr>
        <w:t>ат</w:t>
      </w:r>
      <w:r w:rsidR="00DD7B76" w:rsidRPr="00DD7B76">
        <w:rPr>
          <w:rFonts w:ascii="StobiSerif Regular" w:hAnsi="StobiSerif Regular"/>
          <w:lang w:val="en-US"/>
        </w:rPr>
        <w:t xml:space="preserve"> до 1 хектар земјоделска површина.</w:t>
      </w:r>
      <w:r w:rsidR="00DD7B76" w:rsidRPr="00DD7B76">
        <w:t xml:space="preserve"> </w:t>
      </w:r>
      <w:r w:rsidR="00DD7B76" w:rsidRPr="00DD7B76">
        <w:rPr>
          <w:rFonts w:ascii="StobiSerif Regular" w:hAnsi="StobiSerif Regular"/>
          <w:lang w:val="en-US"/>
        </w:rPr>
        <w:t xml:space="preserve">Уделот на обработливото земјиште и градини е 75% од вкупната искористена земјоделска површина. Земјоделските стопанства имаат вкупно 365 868 </w:t>
      </w:r>
      <w:r w:rsidR="009159B0">
        <w:rPr>
          <w:rFonts w:ascii="StobiSerif Regular" w:hAnsi="StobiSerif Regular"/>
        </w:rPr>
        <w:t>ДЕ</w:t>
      </w:r>
      <w:r w:rsidR="00DD7B76" w:rsidRPr="00DD7B76">
        <w:rPr>
          <w:rFonts w:ascii="StobiSerif Regular" w:hAnsi="StobiSerif Regular"/>
          <w:lang w:val="en-US"/>
        </w:rPr>
        <w:t>, додека 56,5% од вкупниот број на одгледувалишта одгледуваат добиток, живина или пчелни семејства.</w:t>
      </w:r>
      <w:r w:rsidR="009159B0" w:rsidRPr="009159B0">
        <w:t xml:space="preserve"> </w:t>
      </w:r>
      <w:r w:rsidR="009159B0" w:rsidRPr="009159B0">
        <w:rPr>
          <w:rFonts w:ascii="StobiSerif Regular" w:hAnsi="StobiSerif Regular"/>
          <w:lang w:val="en-US"/>
        </w:rPr>
        <w:t xml:space="preserve">Земјоделските стопанства имаат 239 362 глави на говеда, 734 472 глави овци и 96 281 </w:t>
      </w:r>
      <w:r w:rsidR="009159B0">
        <w:rPr>
          <w:rFonts w:ascii="StobiSerif Regular" w:hAnsi="StobiSerif Regular"/>
        </w:rPr>
        <w:t>глави</w:t>
      </w:r>
      <w:r w:rsidR="009159B0" w:rsidRPr="009159B0">
        <w:rPr>
          <w:rFonts w:ascii="StobiSerif Regular" w:hAnsi="StobiSerif Regular"/>
          <w:lang w:val="en-US"/>
        </w:rPr>
        <w:t xml:space="preserve"> на кози. Во Република Македонија во просек има 0,5 трактори по земјоделско стопанство, од кои мнозинството се двоос</w:t>
      </w:r>
      <w:r w:rsidR="009159B0">
        <w:rPr>
          <w:rFonts w:ascii="StobiSerif Regular" w:hAnsi="StobiSerif Regular"/>
        </w:rPr>
        <w:t>овинс</w:t>
      </w:r>
      <w:r w:rsidR="009159B0" w:rsidRPr="009159B0">
        <w:rPr>
          <w:rFonts w:ascii="StobiSerif Regular" w:hAnsi="StobiSerif Regular"/>
          <w:lang w:val="en-US"/>
        </w:rPr>
        <w:t>ки трактори.</w:t>
      </w:r>
      <w:r w:rsidR="009159B0" w:rsidRPr="009159B0">
        <w:t xml:space="preserve"> </w:t>
      </w:r>
      <w:r w:rsidR="009159B0" w:rsidRPr="009159B0">
        <w:rPr>
          <w:rFonts w:ascii="StobiSerif Regular" w:hAnsi="StobiSerif Regular"/>
          <w:lang w:val="en-US"/>
        </w:rPr>
        <w:t>Земјоделските стопанства поседуваат 92 708 трактори и 1 797 комбајни.</w:t>
      </w:r>
    </w:p>
    <w:p w:rsidR="009159B0" w:rsidRDefault="009159B0" w:rsidP="00262095">
      <w:pPr>
        <w:spacing w:after="0"/>
        <w:jc w:val="both"/>
        <w:rPr>
          <w:rFonts w:ascii="StobiSerif Regular" w:hAnsi="StobiSerif Regular"/>
        </w:rPr>
      </w:pPr>
      <w:r w:rsidRPr="009159B0">
        <w:rPr>
          <w:rFonts w:ascii="StobiSerif Regular" w:hAnsi="StobiSerif Regular"/>
        </w:rPr>
        <w:lastRenderedPageBreak/>
        <w:t xml:space="preserve">Вкупно 441.742 лица </w:t>
      </w:r>
      <w:r w:rsidR="00927536">
        <w:rPr>
          <w:rFonts w:ascii="StobiSerif Regular" w:hAnsi="StobiSerif Regular"/>
        </w:rPr>
        <w:t>работеле</w:t>
      </w:r>
      <w:r w:rsidRPr="009159B0">
        <w:rPr>
          <w:rFonts w:ascii="StobiSerif Regular" w:hAnsi="StobiSerif Regular"/>
        </w:rPr>
        <w:t xml:space="preserve"> еден или повеќе денови на индивидуалните земјоделски стопанства и</w:t>
      </w:r>
      <w:r w:rsidR="00927536">
        <w:rPr>
          <w:rFonts w:ascii="StobiSerif Regular" w:hAnsi="StobiSerif Regular"/>
        </w:rPr>
        <w:t xml:space="preserve">ли </w:t>
      </w:r>
      <w:r w:rsidRPr="009159B0">
        <w:rPr>
          <w:rFonts w:ascii="StobiSerif Regular" w:hAnsi="StobiSerif Regular"/>
        </w:rPr>
        <w:t xml:space="preserve"> биле вработени во деловните субјекти</w:t>
      </w:r>
      <w:r w:rsidR="00927536">
        <w:rPr>
          <w:rFonts w:ascii="StobiSerif Regular" w:hAnsi="StobiSerif Regular"/>
        </w:rPr>
        <w:t>.</w:t>
      </w:r>
      <w:r w:rsidR="00927536" w:rsidRPr="00927536">
        <w:t xml:space="preserve"> </w:t>
      </w:r>
      <w:r w:rsidR="00927536" w:rsidRPr="00927536">
        <w:rPr>
          <w:rFonts w:ascii="StobiSerif Regular" w:hAnsi="StobiSerif Regular"/>
        </w:rPr>
        <w:t>Во просек, по земјоделско стопанство се ангажирани 2,6 лица</w:t>
      </w:r>
      <w:r w:rsidR="00927536">
        <w:rPr>
          <w:rFonts w:ascii="StobiSerif Regular" w:hAnsi="StobiSerif Regular"/>
        </w:rPr>
        <w:t>.</w:t>
      </w:r>
      <w:r w:rsidR="00927536" w:rsidRPr="00927536">
        <w:t xml:space="preserve"> </w:t>
      </w:r>
      <w:r w:rsidR="00927536" w:rsidRPr="00927536">
        <w:rPr>
          <w:rFonts w:ascii="StobiSerif Regular" w:hAnsi="StobiSerif Regular"/>
        </w:rPr>
        <w:t>Ангажираните лица работеле вкупно 243 689 годишни работни единици (</w:t>
      </w:r>
      <w:r w:rsidR="00927536">
        <w:rPr>
          <w:rFonts w:ascii="StobiSerif Regular" w:hAnsi="StobiSerif Regular"/>
        </w:rPr>
        <w:t>ГРЕ</w:t>
      </w:r>
      <w:r w:rsidR="00927536" w:rsidRPr="00927536">
        <w:rPr>
          <w:rFonts w:ascii="StobiSerif Regular" w:hAnsi="StobiSerif Regular"/>
        </w:rPr>
        <w:t xml:space="preserve">), додека </w:t>
      </w:r>
      <w:r w:rsidR="00927536">
        <w:rPr>
          <w:rFonts w:ascii="StobiSerif Regular" w:hAnsi="StobiSerif Regular"/>
        </w:rPr>
        <w:t xml:space="preserve">во просек </w:t>
      </w:r>
      <w:r w:rsidR="00927536" w:rsidRPr="00927536">
        <w:rPr>
          <w:rFonts w:ascii="StobiSerif Regular" w:hAnsi="StobiSerif Regular"/>
        </w:rPr>
        <w:t xml:space="preserve">1.43 </w:t>
      </w:r>
      <w:r w:rsidR="00927536">
        <w:rPr>
          <w:rFonts w:ascii="StobiSerif Regular" w:hAnsi="StobiSerif Regular"/>
        </w:rPr>
        <w:t>ГРЕ</w:t>
      </w:r>
      <w:r w:rsidR="00927536" w:rsidRPr="00927536">
        <w:rPr>
          <w:rFonts w:ascii="StobiSerif Regular" w:hAnsi="StobiSerif Regular"/>
        </w:rPr>
        <w:t xml:space="preserve"> </w:t>
      </w:r>
      <w:r w:rsidR="00927536">
        <w:rPr>
          <w:rFonts w:ascii="StobiSerif Regular" w:hAnsi="StobiSerif Regular"/>
        </w:rPr>
        <w:t>биле</w:t>
      </w:r>
      <w:r w:rsidR="00927536" w:rsidRPr="00927536">
        <w:rPr>
          <w:rFonts w:ascii="StobiSerif Regular" w:hAnsi="StobiSerif Regular"/>
        </w:rPr>
        <w:t xml:space="preserve"> </w:t>
      </w:r>
      <w:r w:rsidR="00927536">
        <w:rPr>
          <w:rFonts w:ascii="StobiSerif Regular" w:hAnsi="StobiSerif Regular"/>
        </w:rPr>
        <w:t>работени</w:t>
      </w:r>
      <w:r w:rsidR="00927536" w:rsidRPr="00927536">
        <w:rPr>
          <w:rFonts w:ascii="StobiSerif Regular" w:hAnsi="StobiSerif Regular"/>
        </w:rPr>
        <w:t xml:space="preserve"> по земјоделско стопанство</w:t>
      </w:r>
      <w:r w:rsidR="00927536">
        <w:rPr>
          <w:rFonts w:ascii="StobiSerif Regular" w:hAnsi="StobiSerif Regular"/>
        </w:rPr>
        <w:t>.</w:t>
      </w:r>
      <w:r w:rsidR="00927536" w:rsidRPr="00927536">
        <w:t xml:space="preserve"> </w:t>
      </w:r>
      <w:r w:rsidR="00927536" w:rsidRPr="00927536">
        <w:rPr>
          <w:rFonts w:ascii="StobiSerif Regular" w:hAnsi="StobiSerif Regular"/>
        </w:rPr>
        <w:t>Едно земјоделско стопанство работел</w:t>
      </w:r>
      <w:r w:rsidR="00661E9A">
        <w:rPr>
          <w:rFonts w:ascii="StobiSerif Regular" w:hAnsi="StobiSerif Regular"/>
        </w:rPr>
        <w:t>о</w:t>
      </w:r>
      <w:r w:rsidR="00927536" w:rsidRPr="00927536">
        <w:rPr>
          <w:rFonts w:ascii="StobiSerif Regular" w:hAnsi="StobiSerif Regular"/>
        </w:rPr>
        <w:t xml:space="preserve"> 0,77 </w:t>
      </w:r>
      <w:r w:rsidR="00661E9A">
        <w:rPr>
          <w:rFonts w:ascii="StobiSerif Regular" w:hAnsi="StobiSerif Regular"/>
        </w:rPr>
        <w:t>ГРЕ</w:t>
      </w:r>
      <w:r w:rsidR="00927536" w:rsidRPr="00927536">
        <w:rPr>
          <w:rFonts w:ascii="StobiSerif Regular" w:hAnsi="StobiSerif Regular"/>
        </w:rPr>
        <w:t xml:space="preserve"> во просек по хектар на искористена земјоделска површина, додека 0,67 </w:t>
      </w:r>
      <w:r w:rsidR="00661E9A">
        <w:rPr>
          <w:rFonts w:ascii="StobiSerif Regular" w:hAnsi="StobiSerif Regular"/>
        </w:rPr>
        <w:t>ГРЕ</w:t>
      </w:r>
      <w:r w:rsidR="00927536" w:rsidRPr="00927536">
        <w:rPr>
          <w:rFonts w:ascii="StobiSerif Regular" w:hAnsi="StobiSerif Regular"/>
        </w:rPr>
        <w:t xml:space="preserve"> биле користени за 1 </w:t>
      </w:r>
      <w:r w:rsidR="00661E9A">
        <w:rPr>
          <w:rFonts w:ascii="StobiSerif Regular" w:hAnsi="StobiSerif Regular"/>
        </w:rPr>
        <w:t>ДЕ</w:t>
      </w:r>
      <w:r w:rsidR="00927536" w:rsidRPr="00927536">
        <w:rPr>
          <w:rFonts w:ascii="StobiSerif Regular" w:hAnsi="StobiSerif Regular"/>
        </w:rPr>
        <w:t>.</w:t>
      </w:r>
    </w:p>
    <w:p w:rsidR="00661E9A" w:rsidRPr="009159B0" w:rsidRDefault="00661E9A" w:rsidP="00262095">
      <w:pPr>
        <w:spacing w:after="0"/>
        <w:jc w:val="both"/>
        <w:rPr>
          <w:rFonts w:ascii="StobiSerif Regular" w:hAnsi="StobiSerif Regular"/>
        </w:rPr>
      </w:pPr>
      <w:r w:rsidRPr="00661E9A">
        <w:rPr>
          <w:rFonts w:ascii="StobiSerif Regular" w:hAnsi="StobiSerif Regular"/>
        </w:rPr>
        <w:t>Околу 55% од индивидуалните земјоделски стопанства користат повеќе од половина од своето производство за сопствена потрошувачка.</w:t>
      </w:r>
    </w:p>
    <w:p w:rsidR="00947805" w:rsidRPr="00CF0BD1" w:rsidRDefault="00200C6C" w:rsidP="00947805">
      <w:pPr>
        <w:spacing w:before="120" w:after="120"/>
        <w:outlineLvl w:val="1"/>
        <w:rPr>
          <w:rFonts w:ascii="StobiSerif Regular" w:hAnsi="StobiSerif Regular"/>
          <w:b/>
          <w:lang w:val="en-US"/>
        </w:rPr>
      </w:pPr>
      <w:bookmarkStart w:id="13" w:name="_Toc485394805"/>
      <w:r>
        <w:rPr>
          <w:rFonts w:ascii="StobiSerif Regular" w:hAnsi="StobiSerif Regular"/>
          <w:lang w:val="en-US"/>
        </w:rPr>
        <w:t>1</w:t>
      </w:r>
      <w:r w:rsidR="00947805" w:rsidRPr="00746E36">
        <w:rPr>
          <w:rFonts w:ascii="StobiSerif Regular" w:hAnsi="StobiSerif Regular"/>
          <w:lang w:val="en-US"/>
        </w:rPr>
        <w:t>.</w:t>
      </w:r>
      <w:r w:rsidR="00661E9A">
        <w:rPr>
          <w:rFonts w:ascii="StobiSerif Regular" w:hAnsi="StobiSerif Regular"/>
          <w:b/>
        </w:rPr>
        <w:t>5</w:t>
      </w:r>
      <w:r w:rsidR="00947805" w:rsidRPr="00CF0BD1">
        <w:rPr>
          <w:rFonts w:ascii="StobiSerif Regular" w:hAnsi="StobiSerif Regular"/>
          <w:b/>
          <w:lang w:val="en-US"/>
        </w:rPr>
        <w:t xml:space="preserve"> </w:t>
      </w:r>
      <w:r w:rsidR="007E5461" w:rsidRPr="005A33BE">
        <w:rPr>
          <w:rFonts w:ascii="StobiSerif Regular" w:hAnsi="StobiSerif Regular"/>
          <w:b/>
        </w:rPr>
        <w:t>Измени во Националната политика</w:t>
      </w:r>
      <w:bookmarkEnd w:id="13"/>
    </w:p>
    <w:p w:rsidR="000835B4" w:rsidRPr="000835B4" w:rsidRDefault="000835B4" w:rsidP="000835B4">
      <w:pPr>
        <w:spacing w:before="120" w:after="120"/>
        <w:jc w:val="both"/>
        <w:rPr>
          <w:rFonts w:ascii="StobiSerif Regular" w:hAnsi="StobiSerif Regular"/>
          <w:b/>
          <w:i/>
          <w:u w:val="single"/>
          <w:lang w:val="en-US"/>
        </w:rPr>
      </w:pPr>
      <w:r w:rsidRPr="000835B4">
        <w:rPr>
          <w:rFonts w:ascii="StobiSerif Regular" w:hAnsi="StobiSerif Regular"/>
          <w:b/>
          <w:i/>
          <w:u w:val="single"/>
          <w:lang w:val="en-US"/>
        </w:rPr>
        <w:t>Национална политика за поддршка на руралниот развој</w:t>
      </w:r>
    </w:p>
    <w:p w:rsidR="000835B4" w:rsidRDefault="00E66CF9" w:rsidP="000835B4">
      <w:pPr>
        <w:spacing w:before="120" w:after="120"/>
        <w:ind w:firstLine="284"/>
        <w:jc w:val="both"/>
        <w:rPr>
          <w:rFonts w:ascii="StobiSerif Regular" w:hAnsi="StobiSerif Regular"/>
        </w:rPr>
      </w:pPr>
      <w:r>
        <w:rPr>
          <w:rFonts w:ascii="StobiSerif Regular" w:hAnsi="StobiSerif Regular"/>
        </w:rPr>
        <w:t>Измени</w:t>
      </w:r>
      <w:r w:rsidR="000835B4" w:rsidRPr="000835B4">
        <w:rPr>
          <w:rFonts w:ascii="StobiSerif Regular" w:hAnsi="StobiSerif Regular"/>
          <w:lang w:val="en-US"/>
        </w:rPr>
        <w:t xml:space="preserve"> на Законот за земјоделство и рурален развој се во насока на уредување и евидентирање на процесот на набавка на земјоделски производи со кои се воведоа нови мерки за рурален развој - инвестиции и преструктуирање на земјоделските стопанства, помош за инвестиции за преструктуирање на земјоделските стопанства и обработка на инвестиции Маркетинг објавени во Службен весник на Република Македонија ", 53/16 и 163/16.</w:t>
      </w:r>
    </w:p>
    <w:p w:rsidR="00A52D4D" w:rsidRPr="00A52D4D" w:rsidRDefault="00A52D4D" w:rsidP="00A52D4D">
      <w:pPr>
        <w:spacing w:before="120" w:after="120"/>
        <w:jc w:val="both"/>
        <w:rPr>
          <w:rFonts w:ascii="StobiSerif Regular" w:hAnsi="StobiSerif Regular"/>
          <w:b/>
          <w:i/>
          <w:u w:val="single"/>
          <w:lang w:val="en-US"/>
        </w:rPr>
      </w:pPr>
      <w:r w:rsidRPr="00A52D4D">
        <w:rPr>
          <w:rFonts w:ascii="StobiSerif Regular" w:hAnsi="StobiSerif Regular"/>
          <w:b/>
          <w:i/>
          <w:u w:val="single"/>
          <w:lang w:val="en-US"/>
        </w:rPr>
        <w:t>Земјоделска дејност</w:t>
      </w:r>
    </w:p>
    <w:p w:rsidR="00A52D4D" w:rsidRDefault="00A52D4D" w:rsidP="00A52D4D">
      <w:pPr>
        <w:spacing w:before="120" w:after="120"/>
        <w:ind w:firstLine="284"/>
        <w:jc w:val="both"/>
        <w:rPr>
          <w:rFonts w:ascii="StobiSerif Regular" w:hAnsi="StobiSerif Regular"/>
        </w:rPr>
      </w:pPr>
      <w:r w:rsidRPr="00A52D4D">
        <w:rPr>
          <w:rFonts w:ascii="StobiSerif Regular" w:hAnsi="StobiSerif Regular"/>
        </w:rPr>
        <w:t>Законот за земјоделска дејност е изменет во согласност со новиот Закон за општа управна постапка, што доведува до поедноставување на постапката за прибирање на документацијата од страна на подносителот ("Службен весник" бр. 39/16).</w:t>
      </w:r>
    </w:p>
    <w:p w:rsidR="00A52D4D" w:rsidRPr="00A52D4D" w:rsidRDefault="00A52D4D" w:rsidP="00A52D4D">
      <w:pPr>
        <w:spacing w:before="120" w:after="120"/>
        <w:jc w:val="both"/>
        <w:rPr>
          <w:rFonts w:ascii="StobiSerif Regular" w:hAnsi="StobiSerif Regular"/>
        </w:rPr>
      </w:pPr>
      <w:r w:rsidRPr="00A52D4D">
        <w:rPr>
          <w:rFonts w:ascii="StobiSerif Regular" w:hAnsi="StobiSerif Regular"/>
          <w:b/>
          <w:i/>
          <w:u w:val="single"/>
          <w:lang w:val="en-US"/>
        </w:rPr>
        <w:t>Регулатива на ИПАРД Агенцијата</w:t>
      </w:r>
      <w:r w:rsidRPr="00A52D4D">
        <w:rPr>
          <w:rFonts w:ascii="StobiSerif Regular" w:hAnsi="StobiSerif Regular"/>
        </w:rPr>
        <w:t xml:space="preserve"> </w:t>
      </w:r>
    </w:p>
    <w:p w:rsidR="00A52D4D" w:rsidRPr="00A52D4D" w:rsidRDefault="00A52D4D" w:rsidP="00A52D4D">
      <w:pPr>
        <w:spacing w:before="120" w:after="120"/>
        <w:ind w:firstLine="284"/>
        <w:jc w:val="both"/>
        <w:rPr>
          <w:rFonts w:ascii="StobiSerif Regular" w:hAnsi="StobiSerif Regular"/>
        </w:rPr>
      </w:pPr>
      <w:r w:rsidRPr="00A52D4D">
        <w:rPr>
          <w:rFonts w:ascii="StobiSerif Regular" w:hAnsi="StobiSerif Regular"/>
        </w:rPr>
        <w:t>Во законодавството на Агенцијата, се забележани следните промени:</w:t>
      </w:r>
    </w:p>
    <w:p w:rsidR="00A52D4D" w:rsidRDefault="00A52D4D" w:rsidP="00BA1CE8">
      <w:pPr>
        <w:pStyle w:val="ListParagraph"/>
        <w:numPr>
          <w:ilvl w:val="0"/>
          <w:numId w:val="37"/>
        </w:numPr>
        <w:spacing w:before="120" w:after="120"/>
        <w:ind w:left="0" w:firstLine="284"/>
        <w:jc w:val="both"/>
        <w:rPr>
          <w:rFonts w:ascii="StobiSerif Regular" w:hAnsi="StobiSerif Regular"/>
        </w:rPr>
      </w:pPr>
      <w:r w:rsidRPr="00A52D4D">
        <w:rPr>
          <w:rFonts w:ascii="StobiSerif Regular" w:hAnsi="StobiSerif Regular"/>
        </w:rPr>
        <w:t>Законот за ратификација на Секторскиот договор меѓу Владата на Република Македонија и Европската комисија за утврдување на условите и спроведување на финансиската помош на Европската унија за Република Македонија, според претпристапната помош во областа на Политиките за земјоделство и рурален развој (ИПАРД) се усво</w:t>
      </w:r>
      <w:r>
        <w:rPr>
          <w:rFonts w:ascii="StobiSerif Regular" w:hAnsi="StobiSerif Regular"/>
        </w:rPr>
        <w:t xml:space="preserve">ени и објавени во </w:t>
      </w:r>
      <w:r w:rsidR="00BC433D">
        <w:rPr>
          <w:rFonts w:ascii="StobiSerif Regular" w:hAnsi="StobiSerif Regular"/>
        </w:rPr>
        <w:t>сл.ве. б</w:t>
      </w:r>
      <w:r>
        <w:rPr>
          <w:rFonts w:ascii="StobiSerif Regular" w:hAnsi="StobiSerif Regular"/>
        </w:rPr>
        <w:t>р. 38/16</w:t>
      </w:r>
      <w:r w:rsidR="00BC433D">
        <w:rPr>
          <w:rFonts w:ascii="StobiSerif Regular" w:hAnsi="StobiSerif Regular"/>
        </w:rPr>
        <w:t>,</w:t>
      </w:r>
    </w:p>
    <w:p w:rsidR="00A52D4D" w:rsidRDefault="00A52D4D" w:rsidP="00BA1CE8">
      <w:pPr>
        <w:pStyle w:val="ListParagraph"/>
        <w:numPr>
          <w:ilvl w:val="0"/>
          <w:numId w:val="37"/>
        </w:numPr>
        <w:spacing w:before="120" w:after="120"/>
        <w:ind w:left="0" w:firstLine="284"/>
        <w:jc w:val="both"/>
        <w:rPr>
          <w:rFonts w:ascii="StobiSerif Regular" w:hAnsi="StobiSerif Regular"/>
        </w:rPr>
      </w:pPr>
      <w:r w:rsidRPr="00A52D4D">
        <w:rPr>
          <w:rFonts w:ascii="StobiSerif Regular" w:hAnsi="StobiSerif Regular"/>
        </w:rPr>
        <w:t xml:space="preserve">Правилник за постапката за доделување на финансиска поддршка за мерки за рурален развој финансирани од ИПАРД 2014-2020, </w:t>
      </w:r>
      <w:r w:rsidR="00BC433D" w:rsidRPr="00BC433D">
        <w:rPr>
          <w:rFonts w:ascii="StobiSerif Regular" w:hAnsi="StobiSerif Regular"/>
        </w:rPr>
        <w:t xml:space="preserve">сл.ве. бр. </w:t>
      </w:r>
      <w:r w:rsidRPr="00A52D4D">
        <w:rPr>
          <w:rFonts w:ascii="StobiSerif Regular" w:hAnsi="StobiSerif Regular"/>
        </w:rPr>
        <w:t>64/2016</w:t>
      </w:r>
      <w:r w:rsidR="00BC433D">
        <w:rPr>
          <w:rFonts w:ascii="StobiSerif Regular" w:hAnsi="StobiSerif Regular"/>
        </w:rPr>
        <w:t>,</w:t>
      </w:r>
    </w:p>
    <w:p w:rsidR="00BC433D" w:rsidRDefault="00BC433D" w:rsidP="00BA1CE8">
      <w:pPr>
        <w:pStyle w:val="ListParagraph"/>
        <w:numPr>
          <w:ilvl w:val="0"/>
          <w:numId w:val="37"/>
        </w:numPr>
        <w:spacing w:before="120" w:after="120"/>
        <w:ind w:left="0" w:firstLine="284"/>
        <w:jc w:val="both"/>
        <w:rPr>
          <w:rFonts w:ascii="StobiSerif Regular" w:hAnsi="StobiSerif Regular"/>
        </w:rPr>
      </w:pPr>
      <w:r w:rsidRPr="00A52D4D">
        <w:rPr>
          <w:rFonts w:ascii="StobiSerif Regular" w:hAnsi="StobiSerif Regular"/>
        </w:rPr>
        <w:t xml:space="preserve">Програма за користење на средства од претпристапната помош на ЕУ за земјоделство и рурален развој </w:t>
      </w:r>
      <w:r w:rsidRPr="00BC433D">
        <w:rPr>
          <w:rFonts w:ascii="StobiSerif Regular" w:hAnsi="StobiSerif Regular"/>
        </w:rPr>
        <w:t xml:space="preserve">сл.ве. бр. </w:t>
      </w:r>
      <w:r w:rsidRPr="00A52D4D">
        <w:rPr>
          <w:rFonts w:ascii="StobiSerif Regular" w:hAnsi="StobiSerif Regular"/>
        </w:rPr>
        <w:t>177/16</w:t>
      </w:r>
    </w:p>
    <w:p w:rsidR="00BC433D" w:rsidRDefault="00BC433D" w:rsidP="00BA1CE8">
      <w:pPr>
        <w:pStyle w:val="ListParagraph"/>
        <w:numPr>
          <w:ilvl w:val="0"/>
          <w:numId w:val="37"/>
        </w:numPr>
        <w:spacing w:before="120" w:after="120"/>
        <w:ind w:left="0" w:firstLine="284"/>
        <w:jc w:val="both"/>
        <w:rPr>
          <w:rFonts w:ascii="StobiSerif Regular" w:hAnsi="StobiSerif Regular"/>
        </w:rPr>
      </w:pPr>
      <w:r w:rsidRPr="00A52D4D">
        <w:rPr>
          <w:rFonts w:ascii="StobiSerif Regular" w:hAnsi="StobiSerif Regular"/>
        </w:rPr>
        <w:t>Законот за формирање на Агенцијата за ИПАРД беше направен и за измени во согласност со новиот Закон за управна постапка (Сл. Весник 39/16).</w:t>
      </w:r>
    </w:p>
    <w:p w:rsidR="00A207CB" w:rsidRPr="00A207CB" w:rsidRDefault="00A207CB" w:rsidP="00A207CB">
      <w:pPr>
        <w:spacing w:before="120" w:after="120"/>
        <w:jc w:val="both"/>
        <w:rPr>
          <w:rFonts w:ascii="StobiSerif Regular" w:hAnsi="StobiSerif Regular"/>
          <w:b/>
          <w:i/>
          <w:u w:val="single"/>
          <w:lang w:val="en-US"/>
        </w:rPr>
      </w:pPr>
      <w:r w:rsidRPr="00A207CB">
        <w:rPr>
          <w:rFonts w:ascii="StobiSerif Regular" w:hAnsi="StobiSerif Regular"/>
          <w:b/>
          <w:i/>
          <w:u w:val="single"/>
          <w:lang w:val="en-US"/>
        </w:rPr>
        <w:t>Ветеринарна политика</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 xml:space="preserve">Во извештајниот период, Агенцијата за храна и ветеринарство спроведе бројни активности поврзани со процесот на хармонизација на законодавството на ЕУ.Заради </w:t>
      </w:r>
      <w:r w:rsidRPr="00A207CB">
        <w:rPr>
          <w:rFonts w:ascii="StobiSerif Regular" w:hAnsi="StobiSerif Regular"/>
        </w:rPr>
        <w:lastRenderedPageBreak/>
        <w:t>усогласување со Зако</w:t>
      </w:r>
      <w:r w:rsidR="00E66CF9">
        <w:rPr>
          <w:rFonts w:ascii="StobiSerif Regular" w:hAnsi="StobiSerif Regular"/>
        </w:rPr>
        <w:t>нот за општа управна постапка („</w:t>
      </w:r>
      <w:r w:rsidRPr="00A207CB">
        <w:rPr>
          <w:rFonts w:ascii="StobiSerif Regular" w:hAnsi="StobiSerif Regular"/>
        </w:rPr>
        <w:t>Службен весник на РМ” бр.53/2016), во текот на 2016 година донесени се измени и дополнувања на законите со кои се регулираат прашања во однос на безбедноста на храната и ветеринарната политика и тоа:</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1.)  Закон за измени и дополнувања на  Законот  за  безбедност  на  храната („Службен  весник  на  Република  Македонија" број 39/2016 од 29.02.2016;</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2.) Закон за изменување и дополнување на законот за безбедност на храната за животни „Службен  весник  на  Република  Македонија" број 53/2016 од 21.03.2016;</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3.) Закон  за измени и дополнувања на заштита  и  благосостојба  на  животните  („Службен  весник  на  Република Македонија“  број  53/2016 од 21.03.2016;</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4.) Закон  за измени и дополнувања на ветеринарно  здравство  („Службен  весник  на  Република  Македонија"  бр. 53/2016 од 21.03.2016;</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5.) Закон за измени и дополнувања на ветеринарно-медицински препарати  („Службен  весник  на  Република Македонија"  број   53/2016 од 21.03.2016;</w:t>
      </w:r>
    </w:p>
    <w:p w:rsidR="00A207CB" w:rsidRPr="00A207CB" w:rsidRDefault="00677FC7" w:rsidP="00A207CB">
      <w:pPr>
        <w:spacing w:before="120" w:after="120"/>
        <w:jc w:val="both"/>
        <w:rPr>
          <w:rFonts w:ascii="StobiSerif Regular" w:hAnsi="StobiSerif Regular"/>
        </w:rPr>
      </w:pPr>
      <w:r>
        <w:rPr>
          <w:rFonts w:ascii="StobiSerif Regular" w:hAnsi="StobiSerif Regular"/>
        </w:rPr>
        <w:t xml:space="preserve">6.) </w:t>
      </w:r>
      <w:r w:rsidR="00A207CB" w:rsidRPr="00A207CB">
        <w:rPr>
          <w:rFonts w:ascii="StobiSerif Regular" w:hAnsi="StobiSerif Regular"/>
        </w:rPr>
        <w:t>Закон  за измени и дополнувања на  идентификација  и  регистрација  на  животните  („Службен  весник  на Република  Македонија"  број 53/2016 од 21.03.2016; и</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7.) Закон за измени и дополнувања на  нуспроизводи  од  животинско  потекло  („Службен  весник  на  Република Македонија”  број  53/2016 од 21.03.2016.</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Заради заштита на здравјето на луѓето, животните и животната средина, од појава на ризик поврзан со храна или појава на болести кај животните во одредени земји или дел од нивната територија, донесени се сè на сè 28 подзаконски акти  (заштитни мерки во форма на решенија). Дел од решенијата се изменети односно дополнети во зависност од последната состојба согласно Системот на Европската Унија за известување за болести кај животните (ADNS) како и WAHIS системот на Меѓународната организација за здравствена заштита на животните (ОИЕ)   .</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 xml:space="preserve">Агенцијата за храна и ветеринарство и во 2016 година продолжи со процесот на усогласување на националното законодавство со кое детално се регулираат прашања од областа на безбедноста на храната и ветеринарната политика со правните прописи на Европската Унија особено оние од понов датум и тоа: </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1.) Во “Службен весник на РМ” 20/2016 од 05.02.2016 се објави Правилникот за посебните критериуми и барањата за чистота на адитивите што можат да бидат содржани во храната;</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2.) Во “Службен весник на РМ” 28/2016 од 16.02.2016 се објави Правилникот за посебните барања за храна од животинско потекло;</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 xml:space="preserve">3.)  Во “Службен весник на РМ” 52/2016 од 18.03.2016 се објави Решението за утврдување на посебни услови за увоз на гуар гума со потекло или испорачан од Индија поради ризик од консумирање на пентахлорофенол и диоксини; </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4.) Во “Службен весник на РМ” 59/2016 од 29.03.2016 се објави Правилникот за посебните барања за екстракционите средства кои може да се користат во производството на храна и состојки на храна, условите за нивна употреба во поглед на процесот за производство на категоријата храна и максималните дозволени нивоа на резидуи на екстракционите средства во крајните производи и максималните дозволени нивоа на резидуи на екстракционите средства во аромите кои се добиваат од природни извори на ароми;</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5.) Во “Службен весник на РМ” 114/2016 од 10.03.2016 се објави Решението за измени и дополнување на Решението за листа на храна за животни и храна од неживотинско потекло кои подлежат на зголемено ниво на официјални контроли при увоз; и</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6.) Во “Службен весник на РМ” 161/2016 од 26.08.2016 се објави Решението за измени и дополнување на Решението за листа на храна за животни и храна од неживотинско потекло кои подлежат на зголемено ниво на официјални контроли при увоз.</w:t>
      </w:r>
    </w:p>
    <w:p w:rsidR="00A207CB" w:rsidRPr="00A207CB" w:rsidRDefault="00A207CB" w:rsidP="00A207CB">
      <w:pPr>
        <w:spacing w:before="120" w:after="120"/>
        <w:jc w:val="both"/>
        <w:rPr>
          <w:rFonts w:ascii="StobiSerif Regular" w:hAnsi="StobiSerif Regular"/>
        </w:rPr>
      </w:pPr>
      <w:r w:rsidRPr="00A207CB">
        <w:rPr>
          <w:rFonts w:ascii="StobiSerif Regular" w:hAnsi="StobiSerif Regular"/>
        </w:rPr>
        <w:t>Република Македонија ќе го продолжи процесот на усогласување со високите стандарди и барања на Европската Унија, а во конкретниот случај тоа се однесува на безбедноста на храната и ветеринарната политика. На тој начин Република Македонија продолжува да ја зајакнува својата способност за преземање на обврските од членството во Европската Унија.</w:t>
      </w:r>
    </w:p>
    <w:p w:rsidR="00BC433D" w:rsidRPr="00BC433D" w:rsidRDefault="00E66CF9" w:rsidP="00BC433D">
      <w:pPr>
        <w:spacing w:before="120" w:after="120"/>
        <w:jc w:val="both"/>
        <w:outlineLvl w:val="0"/>
        <w:rPr>
          <w:rFonts w:ascii="StobiSerif Regular" w:hAnsi="StobiSerif Regular"/>
          <w:b/>
          <w:sz w:val="28"/>
          <w:szCs w:val="28"/>
          <w:lang w:val="en-US"/>
        </w:rPr>
      </w:pPr>
      <w:bookmarkStart w:id="14" w:name="_Toc485394806"/>
      <w:r>
        <w:rPr>
          <w:rFonts w:ascii="StobiSerif Regular" w:hAnsi="StobiSerif Regular"/>
          <w:b/>
          <w:sz w:val="28"/>
          <w:szCs w:val="28"/>
          <w:lang w:val="en-US"/>
        </w:rPr>
        <w:t>2: Напредок</w:t>
      </w:r>
      <w:r w:rsidR="00BC433D" w:rsidRPr="00BC433D">
        <w:rPr>
          <w:rFonts w:ascii="StobiSerif Regular" w:hAnsi="StobiSerif Regular"/>
          <w:b/>
          <w:sz w:val="28"/>
          <w:szCs w:val="28"/>
          <w:lang w:val="en-US"/>
        </w:rPr>
        <w:t xml:space="preserve"> во спроведувањето на ИПАРД Програмата</w:t>
      </w:r>
      <w:bookmarkEnd w:id="14"/>
    </w:p>
    <w:p w:rsidR="00BC433D" w:rsidRPr="00BC433D" w:rsidRDefault="00BC433D" w:rsidP="00BC433D">
      <w:pPr>
        <w:spacing w:before="120" w:after="120"/>
        <w:ind w:firstLine="284"/>
        <w:jc w:val="both"/>
        <w:outlineLvl w:val="1"/>
        <w:rPr>
          <w:rFonts w:ascii="StobiSerif Regular" w:hAnsi="StobiSerif Regular"/>
          <w:b/>
        </w:rPr>
      </w:pPr>
      <w:bookmarkStart w:id="15" w:name="_Toc485394807"/>
      <w:r w:rsidRPr="00BC433D">
        <w:rPr>
          <w:rFonts w:ascii="StobiSerif Regular" w:hAnsi="StobiSerif Regular"/>
          <w:b/>
          <w:lang w:val="en-US"/>
        </w:rPr>
        <w:t>2.1 Резиме на стратешка рамка на ИПАРД Програмата 2007-2013</w:t>
      </w:r>
      <w:bookmarkEnd w:id="15"/>
    </w:p>
    <w:p w:rsidR="006F6724" w:rsidRDefault="002F3418" w:rsidP="00BC433D">
      <w:pPr>
        <w:spacing w:before="120" w:after="120"/>
        <w:ind w:firstLine="284"/>
        <w:jc w:val="both"/>
        <w:rPr>
          <w:rFonts w:ascii="StobiSerif Regular" w:hAnsi="StobiSerif Regular"/>
        </w:rPr>
      </w:pPr>
      <w:r w:rsidRPr="000D0555">
        <w:rPr>
          <w:rFonts w:ascii="StobiSerif Regular" w:hAnsi="StobiSerif Regular"/>
        </w:rPr>
        <w:t>Стратегијата, целите и мерките насочени кон постигнување на одржлив развој на земјоделскиот сектор и руралните области се наведени во ИПАРД Програмата ги следат рамките на целите утврдени во Регулативата на Советот ИПА 1085/2006 и последователните од Регулативата за спроведување на ЕУ 718/2007.</w:t>
      </w:r>
      <w:r w:rsidR="002A5FD9" w:rsidRPr="002F3418">
        <w:rPr>
          <w:rFonts w:ascii="StobiSerif Regular" w:hAnsi="StobiSerif Regular"/>
        </w:rPr>
        <w:t xml:space="preserve"> </w:t>
      </w:r>
      <w:r w:rsidRPr="002F3418">
        <w:rPr>
          <w:rFonts w:ascii="StobiSerif Regular" w:hAnsi="StobiSerif Regular"/>
        </w:rPr>
        <w:t xml:space="preserve">Главната цел на целокупната помош што доаѓа преку ИПАРД програмата </w:t>
      </w:r>
      <w:r>
        <w:rPr>
          <w:rFonts w:ascii="StobiSerif Regular" w:hAnsi="StobiSerif Regular"/>
        </w:rPr>
        <w:t xml:space="preserve"> е </w:t>
      </w:r>
      <w:r w:rsidRPr="002F3418">
        <w:rPr>
          <w:rFonts w:ascii="StobiSerif Regular" w:hAnsi="StobiSerif Regular"/>
        </w:rPr>
        <w:t>модернизира</w:t>
      </w:r>
      <w:r>
        <w:rPr>
          <w:rFonts w:ascii="StobiSerif Regular" w:hAnsi="StobiSerif Regular"/>
        </w:rPr>
        <w:t>њето</w:t>
      </w:r>
      <w:r w:rsidRPr="002F3418">
        <w:rPr>
          <w:rFonts w:ascii="StobiSerif Regular" w:hAnsi="StobiSerif Regular"/>
        </w:rPr>
        <w:t>, зајакнување на земјоделството, што се издига на повисоко ниво на производство со постигнување на ефективност и ефикасност, со цел да бидат конкурентни на пазарите во Централна и Југоисточна Европа.</w:t>
      </w:r>
      <w:r w:rsidR="00C73CD1" w:rsidRPr="000B5E5D">
        <w:rPr>
          <w:rFonts w:ascii="StobiSerif Regular" w:hAnsi="StobiSerif Regular"/>
          <w:lang w:val="en-US"/>
        </w:rPr>
        <w:t xml:space="preserve"> </w:t>
      </w:r>
      <w:r w:rsidRPr="002F3418">
        <w:rPr>
          <w:rFonts w:ascii="StobiSerif Regular" w:hAnsi="StobiSerif Regular"/>
        </w:rPr>
        <w:t>И сите што треба да се постигнат од страна на постигнување на европските стандарди за квалитет и заштита на животната средина, безбедноста на храната и заштита на јавното здравје и за спроведување на земјоделски економија која ќе бидат во можност да им одолеат на сите природни и економски промени и предизвици.</w:t>
      </w:r>
      <w:r w:rsidR="002A5FD9" w:rsidRPr="006F6724">
        <w:rPr>
          <w:rFonts w:ascii="StobiSerif Regular" w:hAnsi="StobiSerif Regular"/>
        </w:rPr>
        <w:t xml:space="preserve"> </w:t>
      </w:r>
      <w:r w:rsidR="006F6724" w:rsidRPr="006F6724">
        <w:rPr>
          <w:rFonts w:ascii="StobiSerif Regular" w:hAnsi="StobiSerif Regular"/>
        </w:rPr>
        <w:t>Сите овие принципи се услови кои се бараат и треба да биде врз основа на инвестиции во мерките на Програмата.</w:t>
      </w:r>
    </w:p>
    <w:p w:rsidR="00C73CD1" w:rsidRDefault="006F6724" w:rsidP="002A327F">
      <w:pPr>
        <w:spacing w:before="120" w:after="120"/>
        <w:ind w:firstLine="284"/>
        <w:jc w:val="both"/>
        <w:rPr>
          <w:rFonts w:ascii="StobiSerif Regular" w:hAnsi="StobiSerif Regular"/>
        </w:rPr>
      </w:pPr>
      <w:r w:rsidRPr="006F6724">
        <w:rPr>
          <w:rFonts w:ascii="StobiSerif Regular" w:hAnsi="StobiSerif Regular"/>
        </w:rPr>
        <w:t>Индикатори за проценка на влијанието на поддршката од ЕУ, меѓу другото:</w:t>
      </w:r>
      <w:r w:rsidR="00C73CD1" w:rsidRPr="000B5E5D">
        <w:rPr>
          <w:rFonts w:ascii="StobiSerif Regular" w:hAnsi="StobiSerif Regular"/>
          <w:lang w:val="en-US"/>
        </w:rPr>
        <w:t xml:space="preserve"> </w:t>
      </w:r>
    </w:p>
    <w:p w:rsidR="005C658D" w:rsidRPr="005C658D" w:rsidRDefault="005C658D" w:rsidP="00BA1CE8">
      <w:pPr>
        <w:numPr>
          <w:ilvl w:val="0"/>
          <w:numId w:val="35"/>
        </w:numPr>
        <w:spacing w:before="120" w:after="120"/>
        <w:contextualSpacing/>
        <w:jc w:val="both"/>
        <w:rPr>
          <w:rFonts w:ascii="StobiSerif Regular" w:hAnsi="StobiSerif Regular"/>
          <w:lang w:val="en-US"/>
        </w:rPr>
      </w:pPr>
      <w:r w:rsidRPr="005C658D">
        <w:rPr>
          <w:rFonts w:ascii="StobiSerif Regular" w:hAnsi="StobiSerif Regular"/>
          <w:lang w:val="en-US"/>
        </w:rPr>
        <w:t xml:space="preserve">Подобрување на приходите на </w:t>
      </w:r>
      <w:r w:rsidRPr="005C658D">
        <w:rPr>
          <w:rFonts w:ascii="StobiSerif Regular" w:hAnsi="StobiSerif Regular"/>
        </w:rPr>
        <w:t xml:space="preserve">ИПАРД </w:t>
      </w:r>
      <w:r w:rsidRPr="005C658D">
        <w:rPr>
          <w:rFonts w:ascii="StobiSerif Regular" w:hAnsi="StobiSerif Regular"/>
          <w:lang w:val="en-US"/>
        </w:rPr>
        <w:t>корисни</w:t>
      </w:r>
      <w:r w:rsidRPr="005C658D">
        <w:rPr>
          <w:rFonts w:ascii="StobiSerif Regular" w:hAnsi="StobiSerif Regular"/>
        </w:rPr>
        <w:t>ците</w:t>
      </w:r>
      <w:r w:rsidRPr="005C658D">
        <w:rPr>
          <w:rFonts w:ascii="StobiSerif Regular" w:hAnsi="StobiSerif Regular"/>
          <w:lang w:val="en-US"/>
        </w:rPr>
        <w:t xml:space="preserve">; </w:t>
      </w:r>
    </w:p>
    <w:p w:rsidR="005C658D" w:rsidRPr="005C658D" w:rsidRDefault="005C658D" w:rsidP="00BA1CE8">
      <w:pPr>
        <w:numPr>
          <w:ilvl w:val="0"/>
          <w:numId w:val="35"/>
        </w:numPr>
        <w:spacing w:before="120" w:after="120"/>
        <w:contextualSpacing/>
        <w:jc w:val="both"/>
        <w:rPr>
          <w:rFonts w:ascii="StobiSerif Regular" w:hAnsi="StobiSerif Regular"/>
          <w:lang w:val="en-US"/>
        </w:rPr>
      </w:pPr>
      <w:r w:rsidRPr="005C658D">
        <w:rPr>
          <w:rFonts w:ascii="StobiSerif Regular" w:hAnsi="StobiSerif Regular"/>
          <w:lang w:val="en-US"/>
        </w:rPr>
        <w:t xml:space="preserve">Зголемување на додадената вредност на земјоделските производи преку подобрување и рационализација </w:t>
      </w:r>
      <w:r w:rsidRPr="005C658D">
        <w:rPr>
          <w:rFonts w:ascii="StobiSerif Regular" w:hAnsi="StobiSerif Regular"/>
        </w:rPr>
        <w:t xml:space="preserve">на </w:t>
      </w:r>
      <w:r w:rsidRPr="005C658D">
        <w:rPr>
          <w:rFonts w:ascii="StobiSerif Regular" w:hAnsi="StobiSerif Regular"/>
          <w:lang w:val="en-US"/>
        </w:rPr>
        <w:t>преработка</w:t>
      </w:r>
      <w:r w:rsidRPr="005C658D">
        <w:rPr>
          <w:rFonts w:ascii="StobiSerif Regular" w:hAnsi="StobiSerif Regular"/>
        </w:rPr>
        <w:t>та</w:t>
      </w:r>
      <w:r w:rsidRPr="005C658D">
        <w:rPr>
          <w:rFonts w:ascii="StobiSerif Regular" w:hAnsi="StobiSerif Regular"/>
          <w:lang w:val="en-US"/>
        </w:rPr>
        <w:t xml:space="preserve"> и маркетинг на производи</w:t>
      </w:r>
      <w:r w:rsidRPr="005C658D">
        <w:rPr>
          <w:rFonts w:ascii="StobiSerif Regular" w:hAnsi="StobiSerif Regular"/>
        </w:rPr>
        <w:t>те</w:t>
      </w:r>
      <w:r w:rsidRPr="005C658D">
        <w:rPr>
          <w:rFonts w:ascii="StobiSerif Regular" w:hAnsi="StobiSerif Regular"/>
          <w:lang w:val="en-US"/>
        </w:rPr>
        <w:t xml:space="preserve">; </w:t>
      </w:r>
    </w:p>
    <w:p w:rsidR="005C658D" w:rsidRPr="005C658D" w:rsidRDefault="005C658D" w:rsidP="00BA1CE8">
      <w:pPr>
        <w:numPr>
          <w:ilvl w:val="0"/>
          <w:numId w:val="35"/>
        </w:numPr>
        <w:spacing w:before="120" w:after="120"/>
        <w:contextualSpacing/>
        <w:jc w:val="both"/>
        <w:rPr>
          <w:rFonts w:ascii="StobiSerif Regular" w:hAnsi="StobiSerif Regular"/>
          <w:lang w:val="en-US"/>
        </w:rPr>
      </w:pPr>
      <w:r w:rsidRPr="005C658D">
        <w:rPr>
          <w:rFonts w:ascii="StobiSerif Regular" w:hAnsi="StobiSerif Regular"/>
          <w:lang w:val="en-US"/>
        </w:rPr>
        <w:t>Зголемување на учеството на локалните актери во развојот и имплементација на стратегии за рурален развој;</w:t>
      </w:r>
    </w:p>
    <w:p w:rsidR="005C658D" w:rsidRPr="005C658D" w:rsidRDefault="005C658D" w:rsidP="00BA1CE8">
      <w:pPr>
        <w:numPr>
          <w:ilvl w:val="0"/>
          <w:numId w:val="35"/>
        </w:numPr>
        <w:spacing w:before="120" w:after="120"/>
        <w:contextualSpacing/>
        <w:jc w:val="both"/>
        <w:rPr>
          <w:rFonts w:ascii="StobiSerif Regular" w:hAnsi="StobiSerif Regular"/>
          <w:lang w:val="en-US"/>
        </w:rPr>
      </w:pPr>
      <w:r w:rsidRPr="005C658D">
        <w:rPr>
          <w:rFonts w:ascii="StobiSerif Regular" w:hAnsi="StobiSerif Regular"/>
          <w:lang w:val="en-US"/>
        </w:rPr>
        <w:t xml:space="preserve">Зголемување на </w:t>
      </w:r>
      <w:r w:rsidRPr="005C658D">
        <w:rPr>
          <w:rFonts w:ascii="StobiSerif Regular" w:hAnsi="StobiSerif Regular"/>
        </w:rPr>
        <w:t xml:space="preserve">бројот и разновидноста на бизниси и </w:t>
      </w:r>
      <w:r w:rsidRPr="005C658D">
        <w:rPr>
          <w:rFonts w:ascii="StobiSerif Regular" w:hAnsi="StobiSerif Regular"/>
          <w:lang w:val="en-US"/>
        </w:rPr>
        <w:t xml:space="preserve">приходите на населението во руралните средини преку развој и диверзификација на активностите </w:t>
      </w:r>
      <w:r w:rsidRPr="005C658D">
        <w:rPr>
          <w:rFonts w:ascii="StobiSerif Regular" w:hAnsi="StobiSerif Regular"/>
        </w:rPr>
        <w:t xml:space="preserve">на фарма </w:t>
      </w:r>
      <w:r w:rsidRPr="005C658D">
        <w:rPr>
          <w:rFonts w:ascii="StobiSerif Regular" w:hAnsi="StobiSerif Regular"/>
          <w:lang w:val="en-US"/>
        </w:rPr>
        <w:t>и / или надвор од фарма;</w:t>
      </w:r>
      <w:r w:rsidRPr="005C658D">
        <w:rPr>
          <w:rFonts w:ascii="StobiSerif Regular" w:hAnsi="StobiSerif Regular"/>
        </w:rPr>
        <w:t xml:space="preserve"> </w:t>
      </w:r>
      <w:r w:rsidRPr="005C658D">
        <w:rPr>
          <w:rFonts w:ascii="StobiSerif Regular" w:hAnsi="StobiSerif Regular"/>
          <w:lang w:val="en-US"/>
        </w:rPr>
        <w:t xml:space="preserve"> </w:t>
      </w:r>
    </w:p>
    <w:p w:rsidR="005C658D" w:rsidRPr="005C658D" w:rsidRDefault="005C658D" w:rsidP="00BA1CE8">
      <w:pPr>
        <w:numPr>
          <w:ilvl w:val="0"/>
          <w:numId w:val="35"/>
        </w:numPr>
        <w:spacing w:before="120" w:after="120"/>
        <w:contextualSpacing/>
        <w:jc w:val="both"/>
        <w:rPr>
          <w:rFonts w:ascii="StobiSerif Regular" w:hAnsi="StobiSerif Regular"/>
          <w:lang w:val="en-US"/>
        </w:rPr>
      </w:pPr>
      <w:r w:rsidRPr="005C658D">
        <w:rPr>
          <w:rFonts w:ascii="StobiSerif Regular" w:hAnsi="StobiSerif Regular"/>
          <w:lang w:val="en-US"/>
        </w:rPr>
        <w:t>Усогласеност на претпријатија</w:t>
      </w:r>
      <w:r w:rsidRPr="005C658D">
        <w:rPr>
          <w:rFonts w:ascii="StobiSerif Regular" w:hAnsi="StobiSerif Regular"/>
        </w:rPr>
        <w:t>та за</w:t>
      </w:r>
      <w:r w:rsidRPr="005C658D">
        <w:rPr>
          <w:rFonts w:ascii="StobiSerif Regular" w:hAnsi="StobiSerif Regular"/>
          <w:lang w:val="en-US"/>
        </w:rPr>
        <w:t xml:space="preserve"> преработка на храна со стандардите на ЕУ; </w:t>
      </w:r>
    </w:p>
    <w:p w:rsidR="005C658D" w:rsidRPr="002A5FD9" w:rsidRDefault="005C658D" w:rsidP="00BA1CE8">
      <w:pPr>
        <w:numPr>
          <w:ilvl w:val="0"/>
          <w:numId w:val="35"/>
        </w:numPr>
        <w:spacing w:before="120" w:after="120"/>
        <w:contextualSpacing/>
        <w:jc w:val="both"/>
        <w:rPr>
          <w:rFonts w:ascii="StobiSerif Regular" w:hAnsi="StobiSerif Regular"/>
          <w:lang w:val="en-US"/>
        </w:rPr>
      </w:pPr>
      <w:r w:rsidRPr="005C658D">
        <w:rPr>
          <w:rFonts w:ascii="StobiSerif Regular" w:hAnsi="StobiSerif Regular"/>
          <w:lang w:val="en-US"/>
        </w:rPr>
        <w:t xml:space="preserve">Нови можности за вработување, создадени преку развој и диверзификација на активностите на фармите и / или надвор од фарма; </w:t>
      </w:r>
    </w:p>
    <w:p w:rsidR="005C658D" w:rsidRPr="005C658D" w:rsidRDefault="005C658D" w:rsidP="005C658D">
      <w:pPr>
        <w:spacing w:before="120" w:after="120"/>
        <w:jc w:val="both"/>
        <w:rPr>
          <w:rFonts w:ascii="StobiSerif Regular" w:hAnsi="StobiSerif Regular"/>
        </w:rPr>
      </w:pPr>
      <w:r w:rsidRPr="005C658D">
        <w:rPr>
          <w:rFonts w:ascii="StobiSerif Regular" w:hAnsi="StobiSerif Regular"/>
        </w:rPr>
        <w:t xml:space="preserve">Целокупната целна рамка на ИПАРД Програмата претставува стратегија која има за цел справување со одредени недостатоци во развојот на земјоделството и руралните средини, преку заеднички решенија реализирани преку соодветна мерка за приоритетните проблеми соодветно за секој   под-сектор. </w:t>
      </w:r>
    </w:p>
    <w:p w:rsidR="005C658D" w:rsidRPr="005C658D" w:rsidRDefault="005C658D" w:rsidP="005C658D">
      <w:pPr>
        <w:spacing w:after="120"/>
        <w:jc w:val="both"/>
        <w:rPr>
          <w:rFonts w:ascii="StobiSerif Regular" w:hAnsi="StobiSerif Regular"/>
          <w:lang w:val="en-US"/>
        </w:rPr>
      </w:pPr>
      <w:r w:rsidRPr="005C658D">
        <w:rPr>
          <w:rFonts w:ascii="StobiSerif Regular" w:hAnsi="StobiSerif Regular"/>
        </w:rPr>
        <w:t>Според наведеното</w:t>
      </w:r>
      <w:r w:rsidRPr="005C658D">
        <w:rPr>
          <w:rFonts w:ascii="StobiSerif Regular" w:hAnsi="StobiSerif Regular"/>
          <w:lang w:val="en-US"/>
        </w:rPr>
        <w:t xml:space="preserve">, ИПАРД </w:t>
      </w:r>
      <w:r w:rsidRPr="005C658D">
        <w:rPr>
          <w:rFonts w:ascii="StobiSerif Regular" w:hAnsi="StobiSerif Regular"/>
        </w:rPr>
        <w:t>Програмата</w:t>
      </w:r>
      <w:r w:rsidRPr="005C658D">
        <w:rPr>
          <w:rFonts w:ascii="StobiSerif Regular" w:hAnsi="StobiSerif Regular"/>
          <w:lang w:val="en-US"/>
        </w:rPr>
        <w:t xml:space="preserve"> е програмиран</w:t>
      </w:r>
      <w:r w:rsidRPr="005C658D">
        <w:rPr>
          <w:rFonts w:ascii="StobiSerif Regular" w:hAnsi="StobiSerif Regular"/>
        </w:rPr>
        <w:t>а</w:t>
      </w:r>
      <w:r w:rsidRPr="005C658D">
        <w:rPr>
          <w:rFonts w:ascii="StobiSerif Regular" w:hAnsi="StobiSerif Regular"/>
          <w:lang w:val="en-US"/>
        </w:rPr>
        <w:t xml:space="preserve"> да </w:t>
      </w:r>
      <w:r w:rsidRPr="005C658D">
        <w:rPr>
          <w:rFonts w:ascii="StobiSerif Regular" w:hAnsi="StobiSerif Regular"/>
        </w:rPr>
        <w:t>ги</w:t>
      </w:r>
      <w:r w:rsidRPr="005C658D">
        <w:rPr>
          <w:rFonts w:ascii="StobiSerif Regular" w:hAnsi="StobiSerif Regular"/>
          <w:lang w:val="en-US"/>
        </w:rPr>
        <w:t xml:space="preserve"> постигне следниве специфични цели:</w:t>
      </w:r>
    </w:p>
    <w:p w:rsidR="005C658D" w:rsidRPr="005C658D" w:rsidRDefault="005C658D" w:rsidP="00BA1CE8">
      <w:pPr>
        <w:numPr>
          <w:ilvl w:val="0"/>
          <w:numId w:val="36"/>
        </w:numPr>
        <w:spacing w:after="120"/>
        <w:contextualSpacing/>
        <w:jc w:val="both"/>
        <w:rPr>
          <w:rFonts w:ascii="StobiSerif Regular" w:hAnsi="StobiSerif Regular"/>
          <w:lang w:val="en-US"/>
        </w:rPr>
      </w:pPr>
      <w:r w:rsidRPr="005C658D">
        <w:rPr>
          <w:rFonts w:ascii="StobiSerif Regular" w:hAnsi="StobiSerif Regular"/>
          <w:lang w:val="en-US"/>
        </w:rPr>
        <w:t>Подобрување на технолошката и пазарната инфраструктура на комерцијални земјоделски стопанства и прехранбената индустрија во насока на зголемување на додадената вредност на земјоделско-прехранбени производи и постиг</w:t>
      </w:r>
      <w:r w:rsidRPr="005C658D">
        <w:rPr>
          <w:rFonts w:ascii="StobiSerif Regular" w:hAnsi="StobiSerif Regular"/>
        </w:rPr>
        <w:t xml:space="preserve">ање на ЕУ стандардите </w:t>
      </w:r>
      <w:r w:rsidRPr="005C658D">
        <w:rPr>
          <w:rFonts w:ascii="StobiSerif Regular" w:hAnsi="StobiSerif Regular"/>
          <w:lang w:val="en-US"/>
        </w:rPr>
        <w:t xml:space="preserve"> </w:t>
      </w:r>
      <w:r w:rsidRPr="005C658D">
        <w:rPr>
          <w:rFonts w:ascii="StobiSerif Regular" w:hAnsi="StobiSerif Regular"/>
        </w:rPr>
        <w:t>за</w:t>
      </w:r>
      <w:r w:rsidRPr="005C658D">
        <w:rPr>
          <w:rFonts w:ascii="StobiSerif Regular" w:hAnsi="StobiSerif Regular"/>
          <w:lang w:val="en-US"/>
        </w:rPr>
        <w:t xml:space="preserve"> квалитет, здравје, безбедност на храна и еколошки</w:t>
      </w:r>
      <w:r w:rsidRPr="005C658D">
        <w:rPr>
          <w:rFonts w:ascii="StobiSerif Regular" w:hAnsi="StobiSerif Regular"/>
        </w:rPr>
        <w:t>те</w:t>
      </w:r>
      <w:r w:rsidRPr="005C658D">
        <w:rPr>
          <w:rFonts w:ascii="StobiSerif Regular" w:hAnsi="StobiSerif Regular"/>
          <w:lang w:val="en-US"/>
        </w:rPr>
        <w:t xml:space="preserve"> стандарди;</w:t>
      </w:r>
    </w:p>
    <w:p w:rsidR="005C658D" w:rsidRPr="005C658D" w:rsidRDefault="005C658D" w:rsidP="00BA1CE8">
      <w:pPr>
        <w:numPr>
          <w:ilvl w:val="0"/>
          <w:numId w:val="36"/>
        </w:numPr>
        <w:spacing w:before="120" w:after="120"/>
        <w:ind w:left="714" w:hanging="357"/>
        <w:contextualSpacing/>
        <w:jc w:val="both"/>
        <w:rPr>
          <w:rFonts w:ascii="StobiSerif Regular" w:hAnsi="StobiSerif Regular"/>
          <w:lang w:val="en-US"/>
        </w:rPr>
      </w:pPr>
      <w:r w:rsidRPr="005C658D">
        <w:rPr>
          <w:rFonts w:ascii="StobiSerif Regular" w:hAnsi="StobiSerif Regular"/>
          <w:lang w:val="en-US"/>
        </w:rPr>
        <w:t>Подобрување на квалитетот на животот на руралното население, зголемен приход и создавање нови можности за вработување;</w:t>
      </w:r>
      <w:r w:rsidRPr="005C658D">
        <w:rPr>
          <w:rFonts w:ascii="StobiSerif Regular" w:hAnsi="StobiSerif Regular"/>
        </w:rPr>
        <w:t xml:space="preserve"> </w:t>
      </w:r>
    </w:p>
    <w:p w:rsidR="00C33F85" w:rsidRPr="009552C6" w:rsidRDefault="00C33F85" w:rsidP="002E5187">
      <w:pPr>
        <w:autoSpaceDE w:val="0"/>
        <w:autoSpaceDN w:val="0"/>
        <w:adjustRightInd w:val="0"/>
        <w:spacing w:before="120" w:after="120"/>
        <w:jc w:val="both"/>
        <w:rPr>
          <w:rFonts w:ascii="StobiSerif Regular" w:hAnsi="StobiSerif Regular"/>
          <w:b/>
          <w:bCs/>
        </w:rPr>
      </w:pPr>
      <w:r>
        <w:rPr>
          <w:rFonts w:ascii="StobiSerif Regular" w:hAnsi="StobiSerif Regular"/>
          <w:b/>
          <w:bCs/>
        </w:rPr>
        <w:t xml:space="preserve">а. </w:t>
      </w:r>
      <w:r w:rsidRPr="009552C6">
        <w:rPr>
          <w:rFonts w:ascii="StobiSerif Regular" w:hAnsi="StobiSerif Regular"/>
          <w:b/>
          <w:bCs/>
          <w:lang w:val="en-GB"/>
        </w:rPr>
        <w:t>Приоритетна оска 1: Подобрување на пазарната ефикасност и спроведување на стандардите на Европската Унија</w:t>
      </w:r>
    </w:p>
    <w:p w:rsidR="00C33F85" w:rsidRDefault="00C33F85" w:rsidP="002E5187">
      <w:pPr>
        <w:autoSpaceDE w:val="0"/>
        <w:autoSpaceDN w:val="0"/>
        <w:adjustRightInd w:val="0"/>
        <w:spacing w:before="120" w:after="120"/>
        <w:jc w:val="both"/>
        <w:rPr>
          <w:rFonts w:ascii="StobiSerif Regular" w:hAnsi="StobiSerif Regular"/>
          <w:bCs/>
        </w:rPr>
      </w:pPr>
      <w:r>
        <w:rPr>
          <w:rFonts w:ascii="StobiSerif Regular" w:hAnsi="StobiSerif Regular"/>
          <w:bCs/>
        </w:rPr>
        <w:t xml:space="preserve">Оваа оска со својот дијапазон ги опфаќа  активностите во примарното производство и преработивачката индустрија. </w:t>
      </w:r>
    </w:p>
    <w:p w:rsidR="00C33F85" w:rsidRPr="009552C6" w:rsidRDefault="00C33F85" w:rsidP="00C33F85">
      <w:pPr>
        <w:autoSpaceDE w:val="0"/>
        <w:autoSpaceDN w:val="0"/>
        <w:adjustRightInd w:val="0"/>
        <w:spacing w:after="120"/>
        <w:jc w:val="both"/>
        <w:rPr>
          <w:rFonts w:ascii="StobiSerif Regular" w:hAnsi="StobiSerif Regular"/>
          <w:lang w:val="en-GB"/>
        </w:rPr>
      </w:pPr>
      <w:r w:rsidRPr="009552C6">
        <w:rPr>
          <w:rFonts w:ascii="StobiSerif Regular" w:hAnsi="StobiSerif Regular"/>
          <w:lang w:val="en-GB"/>
        </w:rPr>
        <w:t xml:space="preserve">Мерки што </w:t>
      </w:r>
      <w:r w:rsidRPr="009552C6">
        <w:rPr>
          <w:rFonts w:ascii="StobiSerif Regular" w:hAnsi="StobiSerif Regular"/>
        </w:rPr>
        <w:t>се</w:t>
      </w:r>
      <w:r w:rsidRPr="009552C6">
        <w:rPr>
          <w:rFonts w:ascii="StobiSerif Regular" w:hAnsi="StobiSerif Regular"/>
          <w:lang w:val="en-GB"/>
        </w:rPr>
        <w:t xml:space="preserve"> спроведува</w:t>
      </w:r>
      <w:r w:rsidRPr="009552C6">
        <w:rPr>
          <w:rFonts w:ascii="StobiSerif Regular" w:hAnsi="StobiSerif Regular"/>
        </w:rPr>
        <w:t>ат</w:t>
      </w:r>
      <w:r w:rsidRPr="009552C6">
        <w:rPr>
          <w:rFonts w:ascii="StobiSerif Regular" w:hAnsi="StobiSerif Regular"/>
          <w:lang w:val="en-GB"/>
        </w:rPr>
        <w:t xml:space="preserve"> во рамките на оваа приоритетна оска се:</w:t>
      </w:r>
    </w:p>
    <w:p w:rsidR="00C33F85" w:rsidRPr="009552C6" w:rsidRDefault="00E66CF9" w:rsidP="00BA1CE8">
      <w:pPr>
        <w:pStyle w:val="ListParagraph"/>
        <w:numPr>
          <w:ilvl w:val="0"/>
          <w:numId w:val="34"/>
        </w:numPr>
        <w:autoSpaceDE w:val="0"/>
        <w:autoSpaceDN w:val="0"/>
        <w:adjustRightInd w:val="0"/>
        <w:spacing w:after="120"/>
        <w:contextualSpacing w:val="0"/>
        <w:jc w:val="both"/>
        <w:rPr>
          <w:rFonts w:ascii="StobiSerif Regular" w:hAnsi="StobiSerif Regular"/>
          <w:lang w:val="en-GB"/>
        </w:rPr>
      </w:pPr>
      <w:r>
        <w:rPr>
          <w:rFonts w:ascii="StobiSerif Regular" w:hAnsi="StobiSerif Regular"/>
          <w:lang w:val="en-GB"/>
        </w:rPr>
        <w:t xml:space="preserve">Мерка 101 </w:t>
      </w:r>
      <w:r>
        <w:rPr>
          <w:rFonts w:ascii="StobiSerif Regular" w:hAnsi="StobiSerif Regular"/>
        </w:rPr>
        <w:t>„</w:t>
      </w:r>
      <w:r w:rsidR="00C33F85" w:rsidRPr="009552C6">
        <w:rPr>
          <w:rFonts w:ascii="StobiSerif Regular" w:hAnsi="StobiSerif Regular"/>
          <w:lang w:val="en-GB"/>
        </w:rPr>
        <w:t xml:space="preserve">Инвестиции во земјоделските стопанства со цел нивно преструктуирање и надградба до стандардите на ЕУ", </w:t>
      </w:r>
      <w:r w:rsidR="00C33F85" w:rsidRPr="009552C6">
        <w:rPr>
          <w:rFonts w:ascii="StobiSerif Regular" w:hAnsi="StobiSerif Regular"/>
        </w:rPr>
        <w:t>и</w:t>
      </w:r>
    </w:p>
    <w:p w:rsidR="00C33F85" w:rsidRPr="009552C6" w:rsidRDefault="00E66CF9" w:rsidP="00BA1CE8">
      <w:pPr>
        <w:pStyle w:val="ListParagraph"/>
        <w:numPr>
          <w:ilvl w:val="0"/>
          <w:numId w:val="34"/>
        </w:numPr>
        <w:autoSpaceDE w:val="0"/>
        <w:autoSpaceDN w:val="0"/>
        <w:adjustRightInd w:val="0"/>
        <w:spacing w:after="120"/>
        <w:contextualSpacing w:val="0"/>
        <w:jc w:val="both"/>
        <w:rPr>
          <w:rFonts w:ascii="StobiSerif Regular" w:hAnsi="StobiSerif Regular"/>
          <w:lang w:val="en-GB"/>
        </w:rPr>
      </w:pPr>
      <w:r>
        <w:rPr>
          <w:rFonts w:ascii="StobiSerif Regular" w:hAnsi="StobiSerif Regular"/>
          <w:lang w:val="en-GB"/>
        </w:rPr>
        <w:t xml:space="preserve">Мерка 103 </w:t>
      </w:r>
      <w:r>
        <w:rPr>
          <w:rFonts w:ascii="StobiSerif Regular" w:hAnsi="StobiSerif Regular"/>
        </w:rPr>
        <w:t>„</w:t>
      </w:r>
      <w:r w:rsidR="00C33F85" w:rsidRPr="009552C6">
        <w:rPr>
          <w:rFonts w:ascii="StobiSerif Regular" w:hAnsi="StobiSerif Regular"/>
          <w:lang w:val="en-GB"/>
        </w:rPr>
        <w:t>Инвестиции за преработка и маркетинг на земјоделските и рибните производи со нивно преструктуирање и надград</w:t>
      </w:r>
      <w:r w:rsidR="00C33F85" w:rsidRPr="009552C6">
        <w:rPr>
          <w:rFonts w:ascii="StobiSerif Regular" w:hAnsi="StobiSerif Regular"/>
        </w:rPr>
        <w:t>ување</w:t>
      </w:r>
      <w:r w:rsidR="00C33F85" w:rsidRPr="009552C6">
        <w:rPr>
          <w:rFonts w:ascii="StobiSerif Regular" w:hAnsi="StobiSerif Regular"/>
          <w:lang w:val="en-GB"/>
        </w:rPr>
        <w:t xml:space="preserve"> до стандардите на ЕУ"</w:t>
      </w:r>
    </w:p>
    <w:p w:rsidR="00C33F85" w:rsidRPr="00D63638" w:rsidRDefault="002E5187" w:rsidP="00C33F85">
      <w:pPr>
        <w:autoSpaceDE w:val="0"/>
        <w:autoSpaceDN w:val="0"/>
        <w:adjustRightInd w:val="0"/>
        <w:spacing w:after="120"/>
        <w:jc w:val="both"/>
        <w:rPr>
          <w:rFonts w:ascii="StobiSerif Regular" w:hAnsi="StobiSerif Regular"/>
          <w:b/>
          <w:bCs/>
        </w:rPr>
      </w:pPr>
      <w:r>
        <w:rPr>
          <w:rFonts w:ascii="StobiSerif Regular" w:hAnsi="StobiSerif Regular"/>
          <w:b/>
          <w:bCs/>
        </w:rPr>
        <w:t>б.</w:t>
      </w:r>
      <w:r w:rsidR="00C33F85" w:rsidRPr="00D63638">
        <w:rPr>
          <w:rFonts w:ascii="StobiSerif Regular" w:hAnsi="StobiSerif Regular"/>
          <w:b/>
          <w:bCs/>
          <w:lang w:val="en-GB"/>
        </w:rPr>
        <w:t>Приоритетна оска 3: Развој на руралната економија</w:t>
      </w:r>
    </w:p>
    <w:p w:rsidR="00C33F85" w:rsidRPr="00D63638" w:rsidRDefault="00C33F85" w:rsidP="00C33F85">
      <w:pPr>
        <w:autoSpaceDE w:val="0"/>
        <w:autoSpaceDN w:val="0"/>
        <w:adjustRightInd w:val="0"/>
        <w:spacing w:after="120"/>
        <w:jc w:val="both"/>
        <w:rPr>
          <w:rFonts w:ascii="StobiSerif Regular" w:hAnsi="StobiSerif Regular"/>
        </w:rPr>
      </w:pPr>
      <w:r w:rsidRPr="00D63638">
        <w:rPr>
          <w:rFonts w:ascii="StobiSerif Regular" w:hAnsi="StobiSerif Regular"/>
          <w:lang w:val="en-GB"/>
        </w:rPr>
        <w:t xml:space="preserve">Приоритетната оска 3 става својот главен фокус на инвестирање во развој и диверзификација на економските активности во руралните средини, им помага на населението во руралните средини во изградба на и надвор од фарма на економските активности, создавање на дополнителни извори на приход и можности за работа. </w:t>
      </w:r>
    </w:p>
    <w:p w:rsidR="00C33F85" w:rsidRPr="00D63638" w:rsidRDefault="00C33F85" w:rsidP="00C33F85">
      <w:pPr>
        <w:autoSpaceDE w:val="0"/>
        <w:autoSpaceDN w:val="0"/>
        <w:adjustRightInd w:val="0"/>
        <w:spacing w:after="120"/>
        <w:jc w:val="both"/>
        <w:rPr>
          <w:rFonts w:ascii="StobiSerif Regular" w:hAnsi="StobiSerif Regular"/>
          <w:lang w:val="en-GB"/>
        </w:rPr>
      </w:pPr>
      <w:r w:rsidRPr="00D63638">
        <w:rPr>
          <w:rFonts w:ascii="StobiSerif Regular" w:hAnsi="StobiSerif Regular"/>
          <w:lang w:val="en-GB"/>
        </w:rPr>
        <w:t xml:space="preserve">Оваа оска </w:t>
      </w:r>
      <w:r w:rsidRPr="00D63638">
        <w:rPr>
          <w:rFonts w:ascii="StobiSerif Regular" w:hAnsi="StobiSerif Regular"/>
        </w:rPr>
        <w:t xml:space="preserve">ја </w:t>
      </w:r>
      <w:r w:rsidRPr="00D63638">
        <w:rPr>
          <w:rFonts w:ascii="StobiSerif Regular" w:hAnsi="StobiSerif Regular"/>
          <w:lang w:val="en-GB"/>
        </w:rPr>
        <w:t>имплементира следн</w:t>
      </w:r>
      <w:r w:rsidRPr="00D63638">
        <w:rPr>
          <w:rFonts w:ascii="StobiSerif Regular" w:hAnsi="StobiSerif Regular"/>
        </w:rPr>
        <w:t>а</w:t>
      </w:r>
      <w:r w:rsidRPr="00D63638">
        <w:rPr>
          <w:rFonts w:ascii="StobiSerif Regular" w:hAnsi="StobiSerif Regular"/>
          <w:lang w:val="en-GB"/>
        </w:rPr>
        <w:t>т</w:t>
      </w:r>
      <w:r w:rsidRPr="00D63638">
        <w:rPr>
          <w:rFonts w:ascii="StobiSerif Regular" w:hAnsi="StobiSerif Regular"/>
        </w:rPr>
        <w:t>а</w:t>
      </w:r>
      <w:r w:rsidRPr="00D63638">
        <w:rPr>
          <w:rFonts w:ascii="StobiSerif Regular" w:hAnsi="StobiSerif Regular"/>
          <w:lang w:val="en-GB"/>
        </w:rPr>
        <w:t xml:space="preserve"> мерка: </w:t>
      </w:r>
    </w:p>
    <w:p w:rsidR="00C33F85" w:rsidRPr="00D63638" w:rsidRDefault="00E66CF9" w:rsidP="00BA1CE8">
      <w:pPr>
        <w:pStyle w:val="ListParagraph"/>
        <w:numPr>
          <w:ilvl w:val="0"/>
          <w:numId w:val="1"/>
        </w:numPr>
        <w:autoSpaceDE w:val="0"/>
        <w:autoSpaceDN w:val="0"/>
        <w:adjustRightInd w:val="0"/>
        <w:spacing w:after="120"/>
        <w:contextualSpacing w:val="0"/>
        <w:jc w:val="both"/>
        <w:rPr>
          <w:rFonts w:ascii="StobiSerif Regular" w:hAnsi="StobiSerif Regular"/>
          <w:lang w:val="en-GB"/>
        </w:rPr>
      </w:pPr>
      <w:r>
        <w:rPr>
          <w:rFonts w:ascii="StobiSerif Regular" w:hAnsi="StobiSerif Regular"/>
          <w:lang w:val="en-GB"/>
        </w:rPr>
        <w:t xml:space="preserve">Мерка 302 </w:t>
      </w:r>
      <w:r>
        <w:rPr>
          <w:rFonts w:ascii="StobiSerif Regular" w:hAnsi="StobiSerif Regular"/>
        </w:rPr>
        <w:t>„</w:t>
      </w:r>
      <w:r w:rsidR="00C33F85" w:rsidRPr="00D63638">
        <w:rPr>
          <w:rFonts w:ascii="StobiSerif Regular" w:hAnsi="StobiSerif Regular"/>
          <w:lang w:val="en-GB"/>
        </w:rPr>
        <w:t>Диверзификација и развој на руралните економски активности"</w:t>
      </w:r>
    </w:p>
    <w:p w:rsidR="00C33F85" w:rsidRPr="00C33F85" w:rsidRDefault="00C33F85" w:rsidP="00E66CF9">
      <w:pPr>
        <w:spacing w:before="120" w:after="120"/>
        <w:jc w:val="both"/>
        <w:rPr>
          <w:rFonts w:ascii="StobiSerif Regular" w:hAnsi="StobiSerif Regular"/>
        </w:rPr>
      </w:pPr>
      <w:r w:rsidRPr="00C33F85">
        <w:rPr>
          <w:rFonts w:ascii="StobiSerif Regular" w:hAnsi="StobiSerif Regular"/>
        </w:rPr>
        <w:t>Во прилог на горенаведените мерки, исто така, се предвидува можноста за воведување на други области на интервенција, како поддршка на групи производители во рамки на Приоритетната оска 1, подготвителни активности за имплементација на агро-еколошките мерки и развој на стратегии за локален развој, слично на ЛИДЕР пристапот, во рамки на Приоритетната оска 2, како и подобрување на обуката и инвестиции во руралната инфраструктура како опции мерка во</w:t>
      </w:r>
      <w:r w:rsidR="000D0555">
        <w:rPr>
          <w:rFonts w:ascii="StobiSerif Regular" w:hAnsi="StobiSerif Regular"/>
        </w:rPr>
        <w:t xml:space="preserve"> рамки на Приоритетната оска 3.</w:t>
      </w:r>
    </w:p>
    <w:p w:rsidR="00A50092" w:rsidRPr="000B5E5D" w:rsidRDefault="00C33F85" w:rsidP="00E66CF9">
      <w:pPr>
        <w:autoSpaceDE w:val="0"/>
        <w:autoSpaceDN w:val="0"/>
        <w:adjustRightInd w:val="0"/>
        <w:spacing w:before="120" w:after="120"/>
        <w:jc w:val="both"/>
        <w:rPr>
          <w:rFonts w:ascii="StobiSerif Regular" w:hAnsi="StobiSerif Regular"/>
          <w:lang w:val="en-GB"/>
        </w:rPr>
      </w:pPr>
      <w:r w:rsidRPr="00C33F85">
        <w:rPr>
          <w:rFonts w:ascii="StobiSerif Regular" w:hAnsi="StobiSerif Regular"/>
        </w:rPr>
        <w:t>Промена во висината на средствата од страна на оски и мерки се направени со осмата модификација на програмата.</w:t>
      </w:r>
      <w:r>
        <w:rPr>
          <w:rFonts w:ascii="StobiSerif Regular" w:hAnsi="StobiSerif Regular"/>
        </w:rPr>
        <w:t xml:space="preserve"> Осмата модификација на ИПАРД Програмата 2007-2013 беше подготвена и одобрена на Комитетот за следење на ИПАРД на </w:t>
      </w:r>
      <w:r w:rsidRPr="000B5E5D">
        <w:rPr>
          <w:rFonts w:ascii="StobiSerif Regular" w:hAnsi="StobiSerif Regular"/>
          <w:lang w:val="en-GB"/>
        </w:rPr>
        <w:t>03.06.2016</w:t>
      </w:r>
      <w:r>
        <w:rPr>
          <w:rFonts w:ascii="StobiSerif Regular" w:hAnsi="StobiSerif Regular"/>
        </w:rPr>
        <w:t xml:space="preserve">.  </w:t>
      </w:r>
      <w:r w:rsidR="00A50092" w:rsidRPr="000B5E5D">
        <w:rPr>
          <w:rFonts w:ascii="StobiSerif Regular" w:hAnsi="StobiSerif Regular"/>
          <w:lang w:val="en-GB"/>
        </w:rPr>
        <w:t xml:space="preserve">. </w:t>
      </w:r>
      <w:r w:rsidR="00B67C75">
        <w:rPr>
          <w:rFonts w:ascii="StobiSerif Regular" w:hAnsi="StobiSerif Regular"/>
        </w:rPr>
        <w:t xml:space="preserve">Предложените измени произлезени беа како резултат на повратокот на средства  од распределбата од 2012 година и трансфер на средствата од мерката 103 во мерката 101 ( побарано од страна на ИПАРД Агенцијата). </w:t>
      </w:r>
      <w:r w:rsidR="00C50AB5">
        <w:rPr>
          <w:rFonts w:ascii="StobiSerif Regular" w:hAnsi="StobiSerif Regular"/>
        </w:rPr>
        <w:t xml:space="preserve">Осмата модификација на ИПАРД Програмата 2007-2013 беше одобрена од Европската Комисија со одлука бр. </w:t>
      </w:r>
      <w:r w:rsidR="00C50AB5" w:rsidRPr="000B5E5D">
        <w:rPr>
          <w:rFonts w:ascii="StobiSerif Regular" w:hAnsi="StobiSerif Regular"/>
          <w:lang w:val="en-GB"/>
        </w:rPr>
        <w:t xml:space="preserve">C (2016) 7396 </w:t>
      </w:r>
      <w:r w:rsidR="00C50AB5">
        <w:rPr>
          <w:rFonts w:ascii="StobiSerif Regular" w:hAnsi="StobiSerif Regular"/>
        </w:rPr>
        <w:t xml:space="preserve"> од </w:t>
      </w:r>
      <w:r w:rsidR="00C50AB5" w:rsidRPr="000B5E5D">
        <w:rPr>
          <w:rFonts w:ascii="StobiSerif Regular" w:hAnsi="StobiSerif Regular"/>
          <w:lang w:val="en-GB"/>
        </w:rPr>
        <w:t>11.11.2016</w:t>
      </w:r>
      <w:r w:rsidR="00C50AB5">
        <w:rPr>
          <w:rFonts w:ascii="StobiSerif Regular" w:hAnsi="StobiSerif Regular"/>
        </w:rPr>
        <w:t xml:space="preserve">.  </w:t>
      </w:r>
    </w:p>
    <w:p w:rsidR="002A327F" w:rsidRDefault="00C50AB5" w:rsidP="00B67C75">
      <w:pPr>
        <w:autoSpaceDE w:val="0"/>
        <w:autoSpaceDN w:val="0"/>
        <w:adjustRightInd w:val="0"/>
        <w:spacing w:before="120" w:after="120"/>
        <w:ind w:firstLine="284"/>
        <w:jc w:val="both"/>
        <w:rPr>
          <w:rFonts w:ascii="StobiSerif Regular" w:hAnsi="StobiSerif Regular"/>
        </w:rPr>
      </w:pPr>
      <w:r w:rsidRPr="00C50AB5">
        <w:rPr>
          <w:rFonts w:ascii="StobiSerif Regular" w:hAnsi="StobiSerif Regular"/>
        </w:rPr>
        <w:t xml:space="preserve">Сегашната состојба на распределба на средствата по оски и мерки е прикажана во следната табела. </w:t>
      </w:r>
    </w:p>
    <w:p w:rsidR="00C50AB5" w:rsidRPr="00C50AB5" w:rsidRDefault="00C50AB5" w:rsidP="00C50AB5">
      <w:pPr>
        <w:autoSpaceDE w:val="0"/>
        <w:autoSpaceDN w:val="0"/>
        <w:adjustRightInd w:val="0"/>
        <w:spacing w:after="120"/>
        <w:jc w:val="both"/>
        <w:rPr>
          <w:rFonts w:ascii="StobiSerif Regular" w:hAnsi="StobiSerif Regular"/>
        </w:rPr>
      </w:pPr>
      <w:bookmarkStart w:id="16" w:name="_Toc485394894"/>
      <w:r w:rsidRPr="00C50AB5">
        <w:rPr>
          <w:rFonts w:ascii="StobiSerif Regular" w:hAnsi="StobiSerif Regular"/>
          <w:b/>
        </w:rPr>
        <w:t xml:space="preserve">Табела </w:t>
      </w:r>
      <w:r w:rsidRPr="00C50AB5">
        <w:rPr>
          <w:rFonts w:ascii="StobiSerif Regular" w:hAnsi="StobiSerif Regular"/>
          <w:b/>
        </w:rPr>
        <w:fldChar w:fldCharType="begin"/>
      </w:r>
      <w:r w:rsidRPr="00C50AB5">
        <w:rPr>
          <w:rFonts w:ascii="StobiSerif Regular" w:hAnsi="StobiSerif Regular"/>
          <w:b/>
        </w:rPr>
        <w:instrText xml:space="preserve"> SEQ Table \* ARABIC </w:instrText>
      </w:r>
      <w:r w:rsidRPr="00C50AB5">
        <w:rPr>
          <w:rFonts w:ascii="StobiSerif Regular" w:hAnsi="StobiSerif Regular"/>
          <w:b/>
        </w:rPr>
        <w:fldChar w:fldCharType="separate"/>
      </w:r>
      <w:r w:rsidRPr="00C50AB5">
        <w:rPr>
          <w:rFonts w:ascii="StobiSerif Regular" w:hAnsi="StobiSerif Regular"/>
          <w:b/>
          <w:noProof/>
        </w:rPr>
        <w:t>2</w:t>
      </w:r>
      <w:r w:rsidRPr="00C50AB5">
        <w:rPr>
          <w:rFonts w:ascii="StobiSerif Regular" w:hAnsi="StobiSerif Regular"/>
          <w:b/>
        </w:rPr>
        <w:fldChar w:fldCharType="end"/>
      </w:r>
      <w:r w:rsidRPr="00C50AB5">
        <w:rPr>
          <w:rFonts w:ascii="StobiSerif Regular" w:hAnsi="StobiSerif Regular"/>
          <w:b/>
        </w:rPr>
        <w:t>: Финансиска распределба на средствата по оски и мерки</w:t>
      </w:r>
      <w:bookmarkEnd w:id="16"/>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276"/>
        <w:gridCol w:w="1417"/>
        <w:gridCol w:w="1701"/>
      </w:tblGrid>
      <w:tr w:rsidR="008001C8" w:rsidRPr="000B5E5D" w:rsidTr="008B7A30">
        <w:trPr>
          <w:trHeight w:val="270"/>
        </w:trPr>
        <w:tc>
          <w:tcPr>
            <w:tcW w:w="4820" w:type="dxa"/>
            <w:shd w:val="clear" w:color="auto" w:fill="E6E6E6"/>
            <w:noWrap/>
          </w:tcPr>
          <w:p w:rsidR="00143E1C" w:rsidRPr="000B5E5D" w:rsidRDefault="0088570F" w:rsidP="00143E1C">
            <w:pPr>
              <w:spacing w:after="0" w:line="240" w:lineRule="auto"/>
              <w:jc w:val="center"/>
              <w:rPr>
                <w:rFonts w:ascii="StobiSerif Regular" w:eastAsia="Times New Roman" w:hAnsi="StobiSerif Regular" w:cs="Arial"/>
                <w:b/>
                <w:bCs/>
              </w:rPr>
            </w:pPr>
            <w:r>
              <w:rPr>
                <w:rFonts w:ascii="StobiSerif Regular" w:eastAsia="Times New Roman" w:hAnsi="StobiSerif Regular" w:cs="Arial"/>
                <w:b/>
                <w:bCs/>
              </w:rPr>
              <w:t>Оски/Мерки</w:t>
            </w:r>
            <w:r w:rsidR="00143E1C" w:rsidRPr="000B5E5D">
              <w:rPr>
                <w:rFonts w:ascii="StobiSerif Regular" w:eastAsia="Times New Roman" w:hAnsi="StobiSerif Regular" w:cs="Arial"/>
                <w:b/>
                <w:bCs/>
                <w:lang w:val="en-US"/>
              </w:rPr>
              <w:t xml:space="preserve"> </w:t>
            </w:r>
          </w:p>
        </w:tc>
        <w:tc>
          <w:tcPr>
            <w:tcW w:w="1276" w:type="dxa"/>
            <w:shd w:val="clear" w:color="auto" w:fill="E6E6E6"/>
            <w:noWrap/>
          </w:tcPr>
          <w:p w:rsidR="00143E1C" w:rsidRPr="004E2607" w:rsidRDefault="004E2607" w:rsidP="00C23AE7">
            <w:pPr>
              <w:spacing w:after="0" w:line="240" w:lineRule="auto"/>
              <w:jc w:val="center"/>
              <w:rPr>
                <w:rFonts w:ascii="StobiSerif Regular" w:eastAsia="Times New Roman" w:hAnsi="StobiSerif Regular" w:cs="Arial"/>
                <w:b/>
                <w:bCs/>
              </w:rPr>
            </w:pPr>
            <w:r>
              <w:rPr>
                <w:rFonts w:ascii="StobiSerif Regular" w:eastAsia="Times New Roman" w:hAnsi="StobiSerif Regular" w:cs="Arial"/>
                <w:b/>
                <w:bCs/>
              </w:rPr>
              <w:t>В</w:t>
            </w:r>
            <w:r w:rsidR="00C23AE7">
              <w:rPr>
                <w:rFonts w:ascii="StobiSerif Regular" w:eastAsia="Times New Roman" w:hAnsi="StobiSerif Regular" w:cs="Arial"/>
                <w:b/>
                <w:bCs/>
              </w:rPr>
              <w:t>купни јавни трошоци</w:t>
            </w:r>
            <w:r>
              <w:rPr>
                <w:rFonts w:ascii="StobiSerif Regular" w:eastAsia="Times New Roman" w:hAnsi="StobiSerif Regular" w:cs="Arial"/>
                <w:b/>
                <w:bCs/>
              </w:rPr>
              <w:t xml:space="preserve"> </w:t>
            </w:r>
          </w:p>
        </w:tc>
        <w:tc>
          <w:tcPr>
            <w:tcW w:w="1417" w:type="dxa"/>
            <w:shd w:val="clear" w:color="auto" w:fill="E6E6E6"/>
            <w:noWrap/>
          </w:tcPr>
          <w:p w:rsidR="00143E1C" w:rsidRPr="004E2607" w:rsidRDefault="004E2607" w:rsidP="00143E1C">
            <w:pPr>
              <w:spacing w:after="0" w:line="240" w:lineRule="auto"/>
              <w:jc w:val="center"/>
              <w:rPr>
                <w:rFonts w:ascii="StobiSerif Regular" w:eastAsia="Times New Roman" w:hAnsi="StobiSerif Regular" w:cs="Arial"/>
                <w:b/>
                <w:bCs/>
              </w:rPr>
            </w:pPr>
            <w:r>
              <w:rPr>
                <w:rFonts w:ascii="StobiSerif Regular" w:eastAsia="Times New Roman" w:hAnsi="StobiSerif Regular" w:cs="Arial"/>
                <w:b/>
                <w:bCs/>
              </w:rPr>
              <w:t>Приватни средства</w:t>
            </w:r>
          </w:p>
        </w:tc>
        <w:tc>
          <w:tcPr>
            <w:tcW w:w="1701" w:type="dxa"/>
            <w:shd w:val="clear" w:color="auto" w:fill="E6E6E6"/>
            <w:noWrap/>
          </w:tcPr>
          <w:p w:rsidR="00143E1C" w:rsidRPr="000B5E5D" w:rsidRDefault="00C23AE7" w:rsidP="00143E1C">
            <w:pPr>
              <w:spacing w:after="0" w:line="240" w:lineRule="auto"/>
              <w:jc w:val="center"/>
              <w:rPr>
                <w:rFonts w:ascii="StobiSerif Regular" w:eastAsia="Times New Roman" w:hAnsi="StobiSerif Regular" w:cs="Arial"/>
                <w:b/>
                <w:bCs/>
                <w:lang w:val="en-US"/>
              </w:rPr>
            </w:pPr>
            <w:r>
              <w:rPr>
                <w:rFonts w:ascii="StobiSerif Regular" w:eastAsia="Times New Roman" w:hAnsi="StobiSerif Regular" w:cs="Arial"/>
                <w:b/>
                <w:bCs/>
              </w:rPr>
              <w:t>В</w:t>
            </w:r>
            <w:r w:rsidR="004E2607">
              <w:rPr>
                <w:rFonts w:ascii="StobiSerif Regular" w:eastAsia="Times New Roman" w:hAnsi="StobiSerif Regular" w:cs="Arial"/>
                <w:b/>
                <w:bCs/>
              </w:rPr>
              <w:t>купна Инвестиција</w:t>
            </w:r>
            <w:r w:rsidR="00143E1C" w:rsidRPr="000B5E5D">
              <w:rPr>
                <w:rFonts w:ascii="StobiSerif Regular" w:eastAsia="Times New Roman" w:hAnsi="StobiSerif Regular" w:cs="Arial"/>
                <w:b/>
                <w:bCs/>
                <w:lang w:val="en-US"/>
              </w:rPr>
              <w:t xml:space="preserve"> </w:t>
            </w:r>
          </w:p>
        </w:tc>
      </w:tr>
      <w:tr w:rsidR="008001C8" w:rsidRPr="000B5E5D" w:rsidTr="008B7A30">
        <w:trPr>
          <w:trHeight w:val="270"/>
        </w:trPr>
        <w:tc>
          <w:tcPr>
            <w:tcW w:w="4820" w:type="dxa"/>
            <w:shd w:val="clear" w:color="auto" w:fill="E6E6E6"/>
            <w:noWrap/>
          </w:tcPr>
          <w:p w:rsidR="00143E1C" w:rsidRPr="000B5E5D" w:rsidRDefault="00143E1C" w:rsidP="00143E1C">
            <w:pPr>
              <w:spacing w:after="0" w:line="240" w:lineRule="auto"/>
              <w:jc w:val="center"/>
              <w:rPr>
                <w:rFonts w:ascii="StobiSerif Regular" w:eastAsia="Times New Roman" w:hAnsi="StobiSerif Regular" w:cs="Arial"/>
                <w:b/>
                <w:bCs/>
                <w:lang w:val="en-GB"/>
              </w:rPr>
            </w:pPr>
            <w:r w:rsidRPr="000B5E5D">
              <w:rPr>
                <w:rFonts w:ascii="StobiSerif Regular" w:eastAsia="Times New Roman" w:hAnsi="StobiSerif Regular" w:cs="Arial"/>
                <w:b/>
                <w:bCs/>
                <w:lang w:val="en-GB"/>
              </w:rPr>
              <w:t>(1)</w:t>
            </w:r>
          </w:p>
        </w:tc>
        <w:tc>
          <w:tcPr>
            <w:tcW w:w="1276" w:type="dxa"/>
            <w:shd w:val="clear" w:color="auto" w:fill="E6E6E6"/>
            <w:noWrap/>
          </w:tcPr>
          <w:p w:rsidR="00143E1C" w:rsidRPr="000B5E5D" w:rsidRDefault="00143E1C" w:rsidP="00143E1C">
            <w:pPr>
              <w:spacing w:after="0" w:line="240" w:lineRule="auto"/>
              <w:jc w:val="center"/>
              <w:rPr>
                <w:rFonts w:ascii="StobiSerif Regular" w:eastAsia="Times New Roman" w:hAnsi="StobiSerif Regular" w:cs="Arial"/>
                <w:b/>
                <w:bCs/>
                <w:lang w:val="en-GB"/>
              </w:rPr>
            </w:pPr>
            <w:r w:rsidRPr="000B5E5D">
              <w:rPr>
                <w:rFonts w:ascii="StobiSerif Regular" w:eastAsia="Times New Roman" w:hAnsi="StobiSerif Regular" w:cs="Arial"/>
                <w:b/>
                <w:bCs/>
                <w:lang w:val="en-GB"/>
              </w:rPr>
              <w:t>(2)</w:t>
            </w:r>
          </w:p>
        </w:tc>
        <w:tc>
          <w:tcPr>
            <w:tcW w:w="1417" w:type="dxa"/>
            <w:shd w:val="clear" w:color="auto" w:fill="E6E6E6"/>
            <w:noWrap/>
          </w:tcPr>
          <w:p w:rsidR="00143E1C" w:rsidRPr="000B5E5D" w:rsidRDefault="00143E1C" w:rsidP="00143E1C">
            <w:pPr>
              <w:spacing w:after="0" w:line="240" w:lineRule="auto"/>
              <w:jc w:val="center"/>
              <w:rPr>
                <w:rFonts w:ascii="StobiSerif Regular" w:eastAsia="Times New Roman" w:hAnsi="StobiSerif Regular" w:cs="Arial"/>
                <w:b/>
                <w:bCs/>
                <w:lang w:val="en-GB"/>
              </w:rPr>
            </w:pPr>
            <w:r w:rsidRPr="000B5E5D">
              <w:rPr>
                <w:rFonts w:ascii="StobiSerif Regular" w:eastAsia="Times New Roman" w:hAnsi="StobiSerif Regular" w:cs="Arial"/>
                <w:b/>
                <w:bCs/>
                <w:lang w:val="en-GB"/>
              </w:rPr>
              <w:t>(3)</w:t>
            </w:r>
          </w:p>
        </w:tc>
        <w:tc>
          <w:tcPr>
            <w:tcW w:w="1701" w:type="dxa"/>
            <w:shd w:val="clear" w:color="auto" w:fill="E6E6E6"/>
            <w:noWrap/>
          </w:tcPr>
          <w:p w:rsidR="00143E1C" w:rsidRPr="000B5E5D" w:rsidRDefault="00143E1C" w:rsidP="00143E1C">
            <w:pPr>
              <w:spacing w:after="0" w:line="240" w:lineRule="auto"/>
              <w:jc w:val="center"/>
              <w:rPr>
                <w:rFonts w:ascii="StobiSerif Regular" w:eastAsia="Times New Roman" w:hAnsi="StobiSerif Regular" w:cs="Arial"/>
                <w:b/>
                <w:bCs/>
                <w:lang w:val="en-GB"/>
              </w:rPr>
            </w:pPr>
            <w:r w:rsidRPr="000B5E5D">
              <w:rPr>
                <w:rFonts w:ascii="StobiSerif Regular" w:eastAsia="Times New Roman" w:hAnsi="StobiSerif Regular" w:cs="Arial"/>
                <w:b/>
                <w:bCs/>
                <w:lang w:val="en-GB"/>
              </w:rPr>
              <w:t>(4=2+3)</w:t>
            </w:r>
          </w:p>
        </w:tc>
      </w:tr>
      <w:tr w:rsidR="008001C8" w:rsidRPr="000B5E5D" w:rsidTr="008B7A30">
        <w:trPr>
          <w:trHeight w:val="255"/>
        </w:trPr>
        <w:tc>
          <w:tcPr>
            <w:tcW w:w="4820" w:type="dxa"/>
            <w:noWrap/>
          </w:tcPr>
          <w:p w:rsidR="00143E1C" w:rsidRPr="000B5E5D" w:rsidRDefault="004E2607" w:rsidP="00143E1C">
            <w:pPr>
              <w:spacing w:after="0" w:line="240" w:lineRule="auto"/>
              <w:rPr>
                <w:rFonts w:ascii="StobiSerif Regular" w:eastAsia="Times New Roman" w:hAnsi="StobiSerif Regular" w:cs="Arial"/>
                <w:b/>
                <w:bCs/>
                <w:sz w:val="18"/>
                <w:szCs w:val="18"/>
                <w:lang w:val="en-GB"/>
              </w:rPr>
            </w:pPr>
            <w:r w:rsidRPr="004E2607">
              <w:rPr>
                <w:rFonts w:ascii="StobiSerif Regular" w:eastAsia="Times New Roman" w:hAnsi="StobiSerif Regular" w:cs="Arial"/>
                <w:b/>
                <w:bCs/>
                <w:sz w:val="18"/>
                <w:szCs w:val="18"/>
                <w:lang w:val="en-GB"/>
              </w:rPr>
              <w:t xml:space="preserve">Приоритетна оска 1 - </w:t>
            </w:r>
            <w:r w:rsidRPr="004E2607">
              <w:rPr>
                <w:rFonts w:ascii="StobiSerif Regular" w:eastAsia="Times New Roman" w:hAnsi="StobiSerif Regular" w:cs="Arial"/>
                <w:bCs/>
                <w:sz w:val="18"/>
                <w:szCs w:val="18"/>
                <w:lang w:val="en-GB"/>
              </w:rPr>
              <w:t>Подобрување на пазарната ефикасност и имплементација на стандардите на Заедницата</w:t>
            </w:r>
          </w:p>
        </w:tc>
        <w:tc>
          <w:tcPr>
            <w:tcW w:w="1276" w:type="dxa"/>
            <w:noWrap/>
            <w:vAlign w:val="bottom"/>
          </w:tcPr>
          <w:p w:rsidR="00143E1C" w:rsidRPr="000B5E5D" w:rsidRDefault="008001C8"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18.807.465</w:t>
            </w:r>
          </w:p>
        </w:tc>
        <w:tc>
          <w:tcPr>
            <w:tcW w:w="1417" w:type="dxa"/>
            <w:noWrap/>
            <w:vAlign w:val="bottom"/>
          </w:tcPr>
          <w:p w:rsidR="00143E1C" w:rsidRPr="000B5E5D" w:rsidRDefault="008001C8"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14.757.845</w:t>
            </w:r>
          </w:p>
        </w:tc>
        <w:tc>
          <w:tcPr>
            <w:tcW w:w="1701" w:type="dxa"/>
            <w:noWrap/>
            <w:vAlign w:val="bottom"/>
          </w:tcPr>
          <w:p w:rsidR="00143E1C" w:rsidRPr="000B5E5D" w:rsidRDefault="008001C8"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33.565.310</w:t>
            </w:r>
          </w:p>
        </w:tc>
      </w:tr>
      <w:tr w:rsidR="004E2607" w:rsidRPr="000B5E5D" w:rsidTr="008B7A30">
        <w:trPr>
          <w:trHeight w:val="255"/>
        </w:trPr>
        <w:tc>
          <w:tcPr>
            <w:tcW w:w="4820" w:type="dxa"/>
            <w:noWrap/>
          </w:tcPr>
          <w:p w:rsidR="004E2607" w:rsidRPr="004E2607" w:rsidRDefault="004E2607" w:rsidP="004E2607">
            <w:pPr>
              <w:spacing w:after="0" w:line="240" w:lineRule="auto"/>
              <w:rPr>
                <w:rFonts w:ascii="StobiSerif Regular" w:eastAsia="Times New Roman" w:hAnsi="StobiSerif Regular" w:cs="Arial"/>
                <w:bCs/>
                <w:sz w:val="18"/>
                <w:szCs w:val="18"/>
                <w:lang w:val="en-GB"/>
              </w:rPr>
            </w:pPr>
            <w:r w:rsidRPr="004E2607">
              <w:rPr>
                <w:rFonts w:ascii="StobiSerif Regular" w:eastAsia="Times New Roman" w:hAnsi="StobiSerif Regular" w:cs="Arial"/>
                <w:bCs/>
                <w:sz w:val="18"/>
                <w:szCs w:val="18"/>
                <w:lang w:val="en-GB"/>
              </w:rPr>
              <w:t>М101: Инвестиции во земјоделски стопанства</w:t>
            </w:r>
          </w:p>
        </w:tc>
        <w:tc>
          <w:tcPr>
            <w:tcW w:w="1276" w:type="dxa"/>
            <w:noWrap/>
            <w:vAlign w:val="bottom"/>
          </w:tcPr>
          <w:p w:rsidR="004E2607" w:rsidRPr="000B5E5D" w:rsidRDefault="004E2607" w:rsidP="00143E1C">
            <w:pPr>
              <w:spacing w:after="0" w:line="240" w:lineRule="auto"/>
              <w:jc w:val="right"/>
              <w:rPr>
                <w:rFonts w:ascii="StobiSerif Regular" w:eastAsia="Times New Roman" w:hAnsi="StobiSerif Regular" w:cs="Arial"/>
                <w:sz w:val="18"/>
                <w:szCs w:val="18"/>
                <w:lang w:val="en-GB"/>
              </w:rPr>
            </w:pPr>
            <w:r w:rsidRPr="000B5E5D">
              <w:rPr>
                <w:rFonts w:ascii="StobiSerif Regular" w:eastAsia="Times New Roman" w:hAnsi="StobiSerif Regular" w:cs="Arial"/>
                <w:sz w:val="18"/>
                <w:szCs w:val="18"/>
                <w:lang w:val="en-GB"/>
              </w:rPr>
              <w:t>10.211.443</w:t>
            </w:r>
          </w:p>
        </w:tc>
        <w:tc>
          <w:tcPr>
            <w:tcW w:w="1417" w:type="dxa"/>
            <w:noWrap/>
            <w:vAlign w:val="bottom"/>
          </w:tcPr>
          <w:p w:rsidR="004E2607" w:rsidRPr="000B5E5D" w:rsidRDefault="004E2607" w:rsidP="00143E1C">
            <w:pPr>
              <w:spacing w:after="0" w:line="240" w:lineRule="auto"/>
              <w:jc w:val="right"/>
              <w:rPr>
                <w:rFonts w:ascii="StobiSerif Regular" w:eastAsia="Times New Roman" w:hAnsi="StobiSerif Regular" w:cs="Arial"/>
                <w:sz w:val="18"/>
                <w:szCs w:val="18"/>
                <w:lang w:val="en-GB"/>
              </w:rPr>
            </w:pPr>
            <w:r w:rsidRPr="000B5E5D">
              <w:rPr>
                <w:rFonts w:ascii="StobiSerif Regular" w:eastAsia="Times New Roman" w:hAnsi="StobiSerif Regular" w:cs="Arial"/>
                <w:sz w:val="18"/>
                <w:szCs w:val="18"/>
                <w:lang w:val="en-GB"/>
              </w:rPr>
              <w:t>6.161.823</w:t>
            </w:r>
          </w:p>
        </w:tc>
        <w:tc>
          <w:tcPr>
            <w:tcW w:w="1701" w:type="dxa"/>
            <w:noWrap/>
            <w:vAlign w:val="bottom"/>
          </w:tcPr>
          <w:p w:rsidR="004E2607" w:rsidRPr="000B5E5D" w:rsidRDefault="004E2607" w:rsidP="00143E1C">
            <w:pPr>
              <w:spacing w:after="0" w:line="240" w:lineRule="auto"/>
              <w:jc w:val="right"/>
              <w:rPr>
                <w:rFonts w:ascii="StobiSerif Regular" w:eastAsia="Times New Roman" w:hAnsi="StobiSerif Regular" w:cs="Arial"/>
                <w:sz w:val="18"/>
                <w:szCs w:val="18"/>
                <w:lang w:val="en-GB"/>
              </w:rPr>
            </w:pPr>
            <w:r w:rsidRPr="000B5E5D">
              <w:rPr>
                <w:rFonts w:ascii="StobiSerif Regular" w:eastAsia="Times New Roman" w:hAnsi="StobiSerif Regular" w:cs="Arial"/>
                <w:sz w:val="18"/>
                <w:szCs w:val="18"/>
                <w:lang w:val="en-GB"/>
              </w:rPr>
              <w:t>16.373.266</w:t>
            </w:r>
          </w:p>
        </w:tc>
      </w:tr>
      <w:tr w:rsidR="004E2607" w:rsidRPr="000B5E5D" w:rsidTr="008B7A30">
        <w:trPr>
          <w:trHeight w:val="255"/>
        </w:trPr>
        <w:tc>
          <w:tcPr>
            <w:tcW w:w="4820" w:type="dxa"/>
            <w:noWrap/>
          </w:tcPr>
          <w:p w:rsidR="004E2607" w:rsidRPr="004E2607" w:rsidRDefault="004E2607" w:rsidP="004E2607">
            <w:pPr>
              <w:spacing w:after="0" w:line="240" w:lineRule="auto"/>
              <w:rPr>
                <w:rFonts w:ascii="StobiSerif Regular" w:eastAsia="Times New Roman" w:hAnsi="StobiSerif Regular" w:cs="Arial"/>
                <w:bCs/>
                <w:sz w:val="18"/>
                <w:szCs w:val="18"/>
                <w:lang w:val="en-GB"/>
              </w:rPr>
            </w:pPr>
            <w:r w:rsidRPr="004E2607">
              <w:rPr>
                <w:rFonts w:ascii="StobiSerif Regular" w:eastAsia="Times New Roman" w:hAnsi="StobiSerif Regular" w:cs="Arial"/>
                <w:bCs/>
                <w:sz w:val="18"/>
                <w:szCs w:val="18"/>
                <w:lang w:val="en-GB"/>
              </w:rPr>
              <w:t>- во областите погодени од поплави</w:t>
            </w:r>
          </w:p>
        </w:tc>
        <w:tc>
          <w:tcPr>
            <w:tcW w:w="1276" w:type="dxa"/>
            <w:noWrap/>
            <w:vAlign w:val="bottom"/>
          </w:tcPr>
          <w:p w:rsidR="004E2607" w:rsidRPr="000B5E5D" w:rsidRDefault="004E2607" w:rsidP="00143E1C">
            <w:pPr>
              <w:spacing w:after="0" w:line="240" w:lineRule="auto"/>
              <w:jc w:val="right"/>
              <w:rPr>
                <w:rFonts w:ascii="StobiSerif Regular" w:eastAsia="Times New Roman" w:hAnsi="StobiSerif Regular" w:cs="Arial"/>
                <w:i/>
                <w:iCs/>
                <w:sz w:val="18"/>
                <w:szCs w:val="18"/>
                <w:lang w:val="en-GB"/>
              </w:rPr>
            </w:pPr>
            <w:r w:rsidRPr="000B5E5D">
              <w:rPr>
                <w:rFonts w:ascii="StobiSerif Regular" w:eastAsia="Times New Roman" w:hAnsi="StobiSerif Regular" w:cs="Arial"/>
                <w:i/>
                <w:iCs/>
                <w:sz w:val="18"/>
                <w:szCs w:val="18"/>
                <w:lang w:val="en-GB"/>
              </w:rPr>
              <w:t>6.074.430</w:t>
            </w:r>
          </w:p>
        </w:tc>
        <w:tc>
          <w:tcPr>
            <w:tcW w:w="1417" w:type="dxa"/>
            <w:noWrap/>
            <w:vAlign w:val="bottom"/>
          </w:tcPr>
          <w:p w:rsidR="004E2607" w:rsidRPr="000B5E5D" w:rsidRDefault="004E2607" w:rsidP="00143E1C">
            <w:pPr>
              <w:spacing w:after="0" w:line="240" w:lineRule="auto"/>
              <w:jc w:val="right"/>
              <w:rPr>
                <w:rFonts w:ascii="StobiSerif Regular" w:eastAsia="Times New Roman" w:hAnsi="StobiSerif Regular" w:cs="Arial"/>
                <w:i/>
                <w:iCs/>
                <w:sz w:val="18"/>
                <w:szCs w:val="18"/>
                <w:lang w:val="en-GB"/>
              </w:rPr>
            </w:pPr>
            <w:r w:rsidRPr="000B5E5D">
              <w:rPr>
                <w:rFonts w:ascii="StobiSerif Regular" w:eastAsia="Times New Roman" w:hAnsi="StobiSerif Regular" w:cs="Arial"/>
                <w:i/>
                <w:iCs/>
                <w:sz w:val="18"/>
                <w:szCs w:val="18"/>
                <w:lang w:val="en-GB"/>
              </w:rPr>
              <w:t>2.024.810</w:t>
            </w:r>
          </w:p>
        </w:tc>
        <w:tc>
          <w:tcPr>
            <w:tcW w:w="1701" w:type="dxa"/>
            <w:noWrap/>
            <w:vAlign w:val="bottom"/>
          </w:tcPr>
          <w:p w:rsidR="004E2607" w:rsidRPr="000B5E5D" w:rsidRDefault="004E2607" w:rsidP="00143E1C">
            <w:pPr>
              <w:spacing w:after="0" w:line="240" w:lineRule="auto"/>
              <w:jc w:val="right"/>
              <w:rPr>
                <w:rFonts w:ascii="StobiSerif Regular" w:eastAsia="Times New Roman" w:hAnsi="StobiSerif Regular" w:cs="Arial"/>
                <w:i/>
                <w:iCs/>
                <w:sz w:val="18"/>
                <w:szCs w:val="18"/>
                <w:lang w:val="en-GB"/>
              </w:rPr>
            </w:pPr>
            <w:r w:rsidRPr="000B5E5D">
              <w:rPr>
                <w:rFonts w:ascii="StobiSerif Regular" w:eastAsia="Times New Roman" w:hAnsi="StobiSerif Regular" w:cs="Arial"/>
                <w:i/>
                <w:iCs/>
                <w:sz w:val="18"/>
                <w:szCs w:val="18"/>
                <w:lang w:val="en-GB"/>
              </w:rPr>
              <w:t>8.099.240</w:t>
            </w:r>
          </w:p>
        </w:tc>
      </w:tr>
      <w:tr w:rsidR="004E2607" w:rsidRPr="000B5E5D" w:rsidTr="008B7A30">
        <w:trPr>
          <w:trHeight w:val="255"/>
        </w:trPr>
        <w:tc>
          <w:tcPr>
            <w:tcW w:w="4820" w:type="dxa"/>
            <w:noWrap/>
          </w:tcPr>
          <w:p w:rsidR="004E2607" w:rsidRPr="004E2607" w:rsidRDefault="004E2607" w:rsidP="004E2607">
            <w:pPr>
              <w:spacing w:after="0" w:line="240" w:lineRule="auto"/>
              <w:rPr>
                <w:rFonts w:ascii="StobiSerif Regular" w:eastAsia="Times New Roman" w:hAnsi="StobiSerif Regular" w:cs="Arial"/>
                <w:bCs/>
                <w:sz w:val="18"/>
                <w:szCs w:val="18"/>
                <w:lang w:val="en-GB"/>
              </w:rPr>
            </w:pPr>
            <w:r w:rsidRPr="004E2607">
              <w:rPr>
                <w:rFonts w:ascii="StobiSerif Regular" w:eastAsia="Times New Roman" w:hAnsi="StobiSerif Regular" w:cs="Arial"/>
                <w:bCs/>
                <w:sz w:val="18"/>
                <w:szCs w:val="18"/>
                <w:lang w:val="en-GB"/>
              </w:rPr>
              <w:t>-Во областите кои не се погодени од поплави</w:t>
            </w:r>
          </w:p>
        </w:tc>
        <w:tc>
          <w:tcPr>
            <w:tcW w:w="1276" w:type="dxa"/>
            <w:noWrap/>
            <w:vAlign w:val="bottom"/>
          </w:tcPr>
          <w:p w:rsidR="004E2607" w:rsidRPr="000B5E5D" w:rsidRDefault="004E2607" w:rsidP="00143E1C">
            <w:pPr>
              <w:spacing w:after="0" w:line="240" w:lineRule="auto"/>
              <w:jc w:val="right"/>
              <w:rPr>
                <w:rFonts w:ascii="StobiSerif Regular" w:eastAsia="Times New Roman" w:hAnsi="StobiSerif Regular" w:cs="Arial"/>
                <w:i/>
                <w:iCs/>
                <w:sz w:val="18"/>
                <w:szCs w:val="18"/>
                <w:lang w:val="en-GB"/>
              </w:rPr>
            </w:pPr>
            <w:r w:rsidRPr="000B5E5D">
              <w:rPr>
                <w:rFonts w:ascii="StobiSerif Regular" w:eastAsia="Times New Roman" w:hAnsi="StobiSerif Regular" w:cs="Arial"/>
                <w:i/>
                <w:iCs/>
                <w:sz w:val="18"/>
                <w:szCs w:val="18"/>
                <w:lang w:val="en-GB"/>
              </w:rPr>
              <w:t>4.137.013</w:t>
            </w:r>
          </w:p>
        </w:tc>
        <w:tc>
          <w:tcPr>
            <w:tcW w:w="1417" w:type="dxa"/>
            <w:noWrap/>
            <w:vAlign w:val="bottom"/>
          </w:tcPr>
          <w:p w:rsidR="004E2607" w:rsidRPr="000B5E5D" w:rsidRDefault="004E2607" w:rsidP="00143E1C">
            <w:pPr>
              <w:spacing w:after="0" w:line="240" w:lineRule="auto"/>
              <w:jc w:val="right"/>
              <w:rPr>
                <w:rFonts w:ascii="StobiSerif Regular" w:eastAsia="Times New Roman" w:hAnsi="StobiSerif Regular" w:cs="Arial"/>
                <w:i/>
                <w:iCs/>
                <w:sz w:val="18"/>
                <w:szCs w:val="18"/>
                <w:lang w:val="en-GB"/>
              </w:rPr>
            </w:pPr>
            <w:r w:rsidRPr="000B5E5D">
              <w:rPr>
                <w:rFonts w:ascii="StobiSerif Regular" w:eastAsia="Times New Roman" w:hAnsi="StobiSerif Regular" w:cs="Arial"/>
                <w:i/>
                <w:iCs/>
                <w:sz w:val="18"/>
                <w:szCs w:val="18"/>
                <w:lang w:val="en-GB"/>
              </w:rPr>
              <w:t>4.137.013</w:t>
            </w:r>
          </w:p>
        </w:tc>
        <w:tc>
          <w:tcPr>
            <w:tcW w:w="1701" w:type="dxa"/>
            <w:noWrap/>
            <w:vAlign w:val="bottom"/>
          </w:tcPr>
          <w:p w:rsidR="004E2607" w:rsidRPr="000B5E5D" w:rsidRDefault="004E2607" w:rsidP="00143E1C">
            <w:pPr>
              <w:spacing w:after="0" w:line="240" w:lineRule="auto"/>
              <w:jc w:val="right"/>
              <w:rPr>
                <w:rFonts w:ascii="StobiSerif Regular" w:eastAsia="Times New Roman" w:hAnsi="StobiSerif Regular" w:cs="Arial"/>
                <w:i/>
                <w:iCs/>
                <w:sz w:val="18"/>
                <w:szCs w:val="18"/>
                <w:lang w:val="en-GB"/>
              </w:rPr>
            </w:pPr>
            <w:r w:rsidRPr="000B5E5D">
              <w:rPr>
                <w:rFonts w:ascii="StobiSerif Regular" w:eastAsia="Times New Roman" w:hAnsi="StobiSerif Regular" w:cs="Arial"/>
                <w:i/>
                <w:iCs/>
                <w:sz w:val="18"/>
                <w:szCs w:val="18"/>
                <w:lang w:val="en-GB"/>
              </w:rPr>
              <w:t>8.274.026</w:t>
            </w:r>
          </w:p>
        </w:tc>
      </w:tr>
      <w:tr w:rsidR="004E2607" w:rsidRPr="000B5E5D" w:rsidTr="008B7A30">
        <w:trPr>
          <w:trHeight w:val="255"/>
        </w:trPr>
        <w:tc>
          <w:tcPr>
            <w:tcW w:w="4820" w:type="dxa"/>
            <w:noWrap/>
          </w:tcPr>
          <w:p w:rsidR="004E2607" w:rsidRPr="004E2607" w:rsidRDefault="004E2607" w:rsidP="004E2607">
            <w:pPr>
              <w:spacing w:after="0" w:line="240" w:lineRule="auto"/>
              <w:rPr>
                <w:rFonts w:ascii="StobiSerif Regular" w:eastAsia="Times New Roman" w:hAnsi="StobiSerif Regular" w:cs="Arial"/>
                <w:bCs/>
                <w:sz w:val="18"/>
                <w:szCs w:val="18"/>
                <w:lang w:val="en-GB"/>
              </w:rPr>
            </w:pPr>
            <w:r w:rsidRPr="004E2607">
              <w:rPr>
                <w:rFonts w:ascii="StobiSerif Regular" w:eastAsia="Times New Roman" w:hAnsi="StobiSerif Regular" w:cs="Arial"/>
                <w:bCs/>
                <w:sz w:val="18"/>
                <w:szCs w:val="18"/>
                <w:lang w:val="en-GB"/>
              </w:rPr>
              <w:t>М103: Инвестиции во преработка и маркетинг на земјоделски и рибни производи</w:t>
            </w:r>
          </w:p>
        </w:tc>
        <w:tc>
          <w:tcPr>
            <w:tcW w:w="1276" w:type="dxa"/>
            <w:noWrap/>
            <w:vAlign w:val="bottom"/>
          </w:tcPr>
          <w:p w:rsidR="004E2607" w:rsidRPr="000B5E5D" w:rsidRDefault="004E2607" w:rsidP="00143E1C">
            <w:pPr>
              <w:spacing w:after="0" w:line="240" w:lineRule="auto"/>
              <w:jc w:val="right"/>
              <w:rPr>
                <w:rFonts w:ascii="StobiSerif Regular" w:eastAsia="Times New Roman" w:hAnsi="StobiSerif Regular" w:cs="Arial"/>
                <w:sz w:val="18"/>
                <w:szCs w:val="18"/>
                <w:lang w:val="en-GB"/>
              </w:rPr>
            </w:pPr>
            <w:r w:rsidRPr="000B5E5D">
              <w:rPr>
                <w:rFonts w:ascii="StobiSerif Regular" w:eastAsia="Times New Roman" w:hAnsi="StobiSerif Regular" w:cs="Arial"/>
                <w:sz w:val="18"/>
                <w:szCs w:val="18"/>
                <w:lang w:val="en-GB"/>
              </w:rPr>
              <w:t>8.596.022</w:t>
            </w:r>
          </w:p>
        </w:tc>
        <w:tc>
          <w:tcPr>
            <w:tcW w:w="1417" w:type="dxa"/>
            <w:noWrap/>
            <w:vAlign w:val="bottom"/>
          </w:tcPr>
          <w:p w:rsidR="004E2607" w:rsidRPr="000B5E5D" w:rsidRDefault="004E2607" w:rsidP="00143E1C">
            <w:pPr>
              <w:spacing w:after="0" w:line="240" w:lineRule="auto"/>
              <w:jc w:val="right"/>
              <w:rPr>
                <w:rFonts w:ascii="StobiSerif Regular" w:eastAsia="Times New Roman" w:hAnsi="StobiSerif Regular" w:cs="Arial"/>
                <w:sz w:val="18"/>
                <w:szCs w:val="18"/>
                <w:lang w:val="en-GB"/>
              </w:rPr>
            </w:pPr>
            <w:r w:rsidRPr="000B5E5D">
              <w:rPr>
                <w:rFonts w:ascii="StobiSerif Regular" w:eastAsia="Times New Roman" w:hAnsi="StobiSerif Regular" w:cs="Arial"/>
                <w:sz w:val="18"/>
                <w:szCs w:val="18"/>
                <w:lang w:val="en-GB"/>
              </w:rPr>
              <w:t>8.596.022</w:t>
            </w:r>
          </w:p>
        </w:tc>
        <w:tc>
          <w:tcPr>
            <w:tcW w:w="1701" w:type="dxa"/>
            <w:noWrap/>
            <w:vAlign w:val="bottom"/>
          </w:tcPr>
          <w:p w:rsidR="004E2607" w:rsidRPr="000B5E5D" w:rsidRDefault="004E2607" w:rsidP="00143E1C">
            <w:pPr>
              <w:spacing w:after="0" w:line="240" w:lineRule="auto"/>
              <w:jc w:val="right"/>
              <w:rPr>
                <w:rFonts w:ascii="StobiSerif Regular" w:eastAsia="Times New Roman" w:hAnsi="StobiSerif Regular" w:cs="Arial"/>
                <w:sz w:val="18"/>
                <w:szCs w:val="18"/>
                <w:lang w:val="en-GB"/>
              </w:rPr>
            </w:pPr>
            <w:r w:rsidRPr="000B5E5D">
              <w:rPr>
                <w:rFonts w:ascii="StobiSerif Regular" w:eastAsia="Times New Roman" w:hAnsi="StobiSerif Regular" w:cs="Arial"/>
                <w:sz w:val="18"/>
                <w:szCs w:val="18"/>
                <w:lang w:val="en-GB"/>
              </w:rPr>
              <w:t>17.192.044</w:t>
            </w:r>
          </w:p>
        </w:tc>
      </w:tr>
      <w:tr w:rsidR="004E2607" w:rsidRPr="000B5E5D" w:rsidTr="008B7A30">
        <w:trPr>
          <w:trHeight w:val="255"/>
        </w:trPr>
        <w:tc>
          <w:tcPr>
            <w:tcW w:w="4820" w:type="dxa"/>
            <w:noWrap/>
          </w:tcPr>
          <w:p w:rsidR="004E2607" w:rsidRPr="004E2607" w:rsidRDefault="004E2607" w:rsidP="004E2607">
            <w:pPr>
              <w:spacing w:after="0" w:line="240" w:lineRule="auto"/>
              <w:rPr>
                <w:rFonts w:ascii="StobiSerif Regular" w:eastAsia="Times New Roman" w:hAnsi="StobiSerif Regular" w:cs="Arial"/>
                <w:bCs/>
                <w:sz w:val="18"/>
                <w:szCs w:val="18"/>
                <w:lang w:val="en-GB"/>
              </w:rPr>
            </w:pPr>
            <w:r w:rsidRPr="004E2607">
              <w:rPr>
                <w:rFonts w:ascii="StobiSerif Regular" w:eastAsia="Times New Roman" w:hAnsi="StobiSerif Regular" w:cs="Arial"/>
                <w:bCs/>
                <w:sz w:val="18"/>
                <w:szCs w:val="18"/>
                <w:lang w:val="en-GB"/>
              </w:rPr>
              <w:t>Приоритетна оска 3 - Развој на рурална економија</w:t>
            </w:r>
          </w:p>
        </w:tc>
        <w:tc>
          <w:tcPr>
            <w:tcW w:w="1276" w:type="dxa"/>
            <w:noWrap/>
            <w:vAlign w:val="bottom"/>
          </w:tcPr>
          <w:p w:rsidR="004E2607" w:rsidRPr="000B5E5D" w:rsidRDefault="004E2607"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1.984.375</w:t>
            </w:r>
          </w:p>
        </w:tc>
        <w:tc>
          <w:tcPr>
            <w:tcW w:w="1417" w:type="dxa"/>
            <w:noWrap/>
            <w:vAlign w:val="bottom"/>
          </w:tcPr>
          <w:p w:rsidR="004E2607" w:rsidRPr="000B5E5D" w:rsidRDefault="004E2607"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1.984.375</w:t>
            </w:r>
          </w:p>
        </w:tc>
        <w:tc>
          <w:tcPr>
            <w:tcW w:w="1701" w:type="dxa"/>
            <w:noWrap/>
            <w:vAlign w:val="bottom"/>
          </w:tcPr>
          <w:p w:rsidR="004E2607" w:rsidRPr="000B5E5D" w:rsidRDefault="004E2607"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3.968.750</w:t>
            </w:r>
          </w:p>
        </w:tc>
      </w:tr>
      <w:tr w:rsidR="004E2607" w:rsidRPr="000B5E5D" w:rsidTr="008B7A30">
        <w:trPr>
          <w:trHeight w:val="255"/>
        </w:trPr>
        <w:tc>
          <w:tcPr>
            <w:tcW w:w="4820" w:type="dxa"/>
            <w:noWrap/>
          </w:tcPr>
          <w:p w:rsidR="004E2607" w:rsidRPr="004E2607" w:rsidRDefault="004E2607" w:rsidP="004E2607">
            <w:pPr>
              <w:spacing w:after="0" w:line="240" w:lineRule="auto"/>
              <w:rPr>
                <w:rFonts w:ascii="StobiSerif Regular" w:eastAsia="Times New Roman" w:hAnsi="StobiSerif Regular" w:cs="Arial"/>
                <w:bCs/>
                <w:sz w:val="18"/>
                <w:szCs w:val="18"/>
                <w:lang w:val="en-GB"/>
              </w:rPr>
            </w:pPr>
            <w:r w:rsidRPr="004E2607">
              <w:rPr>
                <w:rFonts w:ascii="StobiSerif Regular" w:eastAsia="Times New Roman" w:hAnsi="StobiSerif Regular" w:cs="Arial"/>
                <w:bCs/>
                <w:sz w:val="18"/>
                <w:szCs w:val="18"/>
                <w:lang w:val="en-GB"/>
              </w:rPr>
              <w:t>М302: Диверзификација и развој на рурални економски активности</w:t>
            </w:r>
          </w:p>
        </w:tc>
        <w:tc>
          <w:tcPr>
            <w:tcW w:w="1276" w:type="dxa"/>
            <w:noWrap/>
            <w:vAlign w:val="bottom"/>
          </w:tcPr>
          <w:p w:rsidR="004E2607" w:rsidRPr="000B5E5D" w:rsidRDefault="004E2607" w:rsidP="00143E1C">
            <w:pPr>
              <w:spacing w:after="0" w:line="240" w:lineRule="auto"/>
              <w:jc w:val="right"/>
              <w:rPr>
                <w:rFonts w:ascii="StobiSerif Regular" w:eastAsia="Times New Roman" w:hAnsi="StobiSerif Regular" w:cs="Arial"/>
                <w:sz w:val="18"/>
                <w:szCs w:val="18"/>
                <w:lang w:val="en-GB"/>
              </w:rPr>
            </w:pPr>
            <w:r w:rsidRPr="000B5E5D">
              <w:rPr>
                <w:rFonts w:ascii="StobiSerif Regular" w:eastAsia="Times New Roman" w:hAnsi="StobiSerif Regular" w:cs="Arial"/>
                <w:sz w:val="18"/>
                <w:szCs w:val="18"/>
                <w:lang w:val="en-GB"/>
              </w:rPr>
              <w:t>1.984.375</w:t>
            </w:r>
          </w:p>
        </w:tc>
        <w:tc>
          <w:tcPr>
            <w:tcW w:w="1417" w:type="dxa"/>
            <w:noWrap/>
            <w:vAlign w:val="bottom"/>
          </w:tcPr>
          <w:p w:rsidR="004E2607" w:rsidRPr="000B5E5D" w:rsidRDefault="004E2607" w:rsidP="00143E1C">
            <w:pPr>
              <w:spacing w:after="0" w:line="240" w:lineRule="auto"/>
              <w:jc w:val="right"/>
              <w:rPr>
                <w:rFonts w:ascii="StobiSerif Regular" w:eastAsia="Times New Roman" w:hAnsi="StobiSerif Regular" w:cs="Arial"/>
                <w:sz w:val="18"/>
                <w:szCs w:val="18"/>
                <w:lang w:val="en-GB"/>
              </w:rPr>
            </w:pPr>
            <w:r w:rsidRPr="000B5E5D">
              <w:rPr>
                <w:rFonts w:ascii="StobiSerif Regular" w:eastAsia="Times New Roman" w:hAnsi="StobiSerif Regular" w:cs="Arial"/>
                <w:sz w:val="18"/>
                <w:szCs w:val="18"/>
                <w:lang w:val="en-GB"/>
              </w:rPr>
              <w:t>1.984.375</w:t>
            </w:r>
          </w:p>
        </w:tc>
        <w:tc>
          <w:tcPr>
            <w:tcW w:w="1701" w:type="dxa"/>
            <w:noWrap/>
            <w:vAlign w:val="bottom"/>
          </w:tcPr>
          <w:p w:rsidR="004E2607" w:rsidRPr="000B5E5D" w:rsidRDefault="004E2607" w:rsidP="00143E1C">
            <w:pPr>
              <w:spacing w:after="0" w:line="240" w:lineRule="auto"/>
              <w:jc w:val="right"/>
              <w:rPr>
                <w:rFonts w:ascii="StobiSerif Regular" w:eastAsia="Times New Roman" w:hAnsi="StobiSerif Regular" w:cs="Arial"/>
                <w:sz w:val="18"/>
                <w:szCs w:val="18"/>
                <w:lang w:val="en-GB"/>
              </w:rPr>
            </w:pPr>
            <w:r w:rsidRPr="000B5E5D">
              <w:rPr>
                <w:rFonts w:ascii="StobiSerif Regular" w:eastAsia="Times New Roman" w:hAnsi="StobiSerif Regular" w:cs="Arial"/>
                <w:sz w:val="18"/>
                <w:szCs w:val="18"/>
                <w:lang w:val="en-GB"/>
              </w:rPr>
              <w:t>3.968.750</w:t>
            </w:r>
          </w:p>
        </w:tc>
      </w:tr>
      <w:tr w:rsidR="004E2607" w:rsidRPr="000B5E5D" w:rsidTr="008B7A30">
        <w:trPr>
          <w:trHeight w:val="270"/>
        </w:trPr>
        <w:tc>
          <w:tcPr>
            <w:tcW w:w="4820" w:type="dxa"/>
            <w:noWrap/>
          </w:tcPr>
          <w:p w:rsidR="004E2607" w:rsidRPr="004E2607" w:rsidRDefault="004E2607" w:rsidP="004E2607">
            <w:pPr>
              <w:spacing w:after="0" w:line="240" w:lineRule="auto"/>
              <w:rPr>
                <w:rFonts w:ascii="StobiSerif Regular" w:eastAsia="Times New Roman" w:hAnsi="StobiSerif Regular" w:cs="Arial"/>
                <w:bCs/>
                <w:sz w:val="18"/>
                <w:szCs w:val="18"/>
                <w:lang w:val="en-GB"/>
              </w:rPr>
            </w:pPr>
            <w:r w:rsidRPr="004E2607">
              <w:rPr>
                <w:rFonts w:ascii="StobiSerif Regular" w:eastAsia="Times New Roman" w:hAnsi="StobiSerif Regular" w:cs="Arial"/>
                <w:bCs/>
                <w:sz w:val="18"/>
                <w:szCs w:val="18"/>
                <w:lang w:val="en-GB"/>
              </w:rPr>
              <w:t>Мерка 501: Техничка помош</w:t>
            </w:r>
          </w:p>
        </w:tc>
        <w:tc>
          <w:tcPr>
            <w:tcW w:w="1276" w:type="dxa"/>
            <w:noWrap/>
            <w:vAlign w:val="bottom"/>
          </w:tcPr>
          <w:p w:rsidR="004E2607" w:rsidRPr="000B5E5D" w:rsidRDefault="004E2607"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272.500</w:t>
            </w:r>
          </w:p>
        </w:tc>
        <w:tc>
          <w:tcPr>
            <w:tcW w:w="1417" w:type="dxa"/>
            <w:noWrap/>
            <w:vAlign w:val="bottom"/>
          </w:tcPr>
          <w:p w:rsidR="004E2607" w:rsidRPr="000B5E5D" w:rsidRDefault="004E2607"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0</w:t>
            </w:r>
          </w:p>
        </w:tc>
        <w:tc>
          <w:tcPr>
            <w:tcW w:w="1701" w:type="dxa"/>
            <w:noWrap/>
            <w:vAlign w:val="bottom"/>
          </w:tcPr>
          <w:p w:rsidR="004E2607" w:rsidRPr="000B5E5D" w:rsidRDefault="004E2607"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272.500</w:t>
            </w:r>
          </w:p>
        </w:tc>
      </w:tr>
      <w:tr w:rsidR="004E2607" w:rsidRPr="000B5E5D" w:rsidTr="008B7A30">
        <w:trPr>
          <w:trHeight w:val="270"/>
        </w:trPr>
        <w:tc>
          <w:tcPr>
            <w:tcW w:w="4820" w:type="dxa"/>
            <w:shd w:val="clear" w:color="auto" w:fill="E6E6E6"/>
            <w:noWrap/>
          </w:tcPr>
          <w:p w:rsidR="004E2607" w:rsidRPr="004E2607" w:rsidRDefault="004E2607" w:rsidP="004E2607">
            <w:pPr>
              <w:spacing w:after="0" w:line="240" w:lineRule="auto"/>
              <w:rPr>
                <w:rFonts w:ascii="StobiSerif Regular" w:eastAsia="Times New Roman" w:hAnsi="StobiSerif Regular" w:cs="Arial"/>
                <w:bCs/>
                <w:sz w:val="18"/>
                <w:szCs w:val="18"/>
                <w:lang w:val="en-GB"/>
              </w:rPr>
            </w:pPr>
            <w:r w:rsidRPr="004E2607">
              <w:rPr>
                <w:rFonts w:ascii="StobiSerif Regular" w:eastAsia="Times New Roman" w:hAnsi="StobiSerif Regular" w:cs="Arial"/>
                <w:bCs/>
                <w:sz w:val="18"/>
                <w:szCs w:val="18"/>
                <w:lang w:val="en-GB"/>
              </w:rPr>
              <w:t>Вкупно</w:t>
            </w:r>
          </w:p>
        </w:tc>
        <w:tc>
          <w:tcPr>
            <w:tcW w:w="1276" w:type="dxa"/>
            <w:shd w:val="clear" w:color="auto" w:fill="E6E6E6"/>
            <w:noWrap/>
            <w:vAlign w:val="bottom"/>
          </w:tcPr>
          <w:p w:rsidR="004E2607" w:rsidRPr="000B5E5D" w:rsidRDefault="004E2607"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21.064.340</w:t>
            </w:r>
          </w:p>
        </w:tc>
        <w:tc>
          <w:tcPr>
            <w:tcW w:w="1417" w:type="dxa"/>
            <w:shd w:val="clear" w:color="auto" w:fill="E6E6E6"/>
            <w:noWrap/>
            <w:vAlign w:val="bottom"/>
          </w:tcPr>
          <w:p w:rsidR="004E2607" w:rsidRPr="000B5E5D" w:rsidRDefault="004E2607"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16.742.220</w:t>
            </w:r>
          </w:p>
        </w:tc>
        <w:tc>
          <w:tcPr>
            <w:tcW w:w="1701" w:type="dxa"/>
            <w:shd w:val="clear" w:color="auto" w:fill="E6E6E6"/>
            <w:noWrap/>
            <w:vAlign w:val="bottom"/>
          </w:tcPr>
          <w:p w:rsidR="004E2607" w:rsidRPr="000B5E5D" w:rsidRDefault="004E2607" w:rsidP="00143E1C">
            <w:pPr>
              <w:spacing w:after="0" w:line="240" w:lineRule="auto"/>
              <w:jc w:val="right"/>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37.806.560</w:t>
            </w:r>
          </w:p>
        </w:tc>
      </w:tr>
    </w:tbl>
    <w:p w:rsidR="00143E1C" w:rsidRPr="000B5E5D" w:rsidRDefault="004E2607" w:rsidP="00143E1C">
      <w:pPr>
        <w:autoSpaceDE w:val="0"/>
        <w:autoSpaceDN w:val="0"/>
        <w:adjustRightInd w:val="0"/>
        <w:spacing w:after="120"/>
        <w:jc w:val="both"/>
        <w:rPr>
          <w:rFonts w:ascii="StobiSerif Regular" w:hAnsi="StobiSerif Regular"/>
          <w:sz w:val="16"/>
          <w:szCs w:val="16"/>
          <w:lang w:val="en-GB"/>
        </w:rPr>
      </w:pPr>
      <w:r w:rsidRPr="004E2607">
        <w:rPr>
          <w:rFonts w:ascii="StobiSerif Regular" w:hAnsi="StobiSerif Regular"/>
          <w:sz w:val="16"/>
          <w:szCs w:val="16"/>
          <w:lang w:val="en-GB"/>
        </w:rPr>
        <w:t>Извор: ИПАРД Програма 2007-2013</w:t>
      </w:r>
    </w:p>
    <w:p w:rsidR="00C50AB5" w:rsidRPr="00721C77" w:rsidRDefault="00C50AB5" w:rsidP="00721C77">
      <w:pPr>
        <w:autoSpaceDE w:val="0"/>
        <w:autoSpaceDN w:val="0"/>
        <w:adjustRightInd w:val="0"/>
        <w:spacing w:before="120" w:after="120"/>
        <w:ind w:firstLine="284"/>
        <w:jc w:val="both"/>
        <w:rPr>
          <w:rFonts w:ascii="StobiSerif Regular" w:hAnsi="StobiSerif Regular"/>
          <w:lang w:val="en-GB"/>
        </w:rPr>
      </w:pPr>
      <w:r>
        <w:rPr>
          <w:rFonts w:ascii="StobiSerif Regular" w:hAnsi="StobiSerif Regular"/>
        </w:rPr>
        <w:t>Оваа година е последна за с</w:t>
      </w:r>
      <w:r w:rsidR="004E2607">
        <w:rPr>
          <w:rFonts w:ascii="StobiSerif Regular" w:hAnsi="StobiSerif Regular"/>
        </w:rPr>
        <w:t xml:space="preserve">проведување на ИПАРД 2007-2013 и </w:t>
      </w:r>
      <w:r>
        <w:rPr>
          <w:rFonts w:ascii="StobiSerif Regular" w:hAnsi="StobiSerif Regular"/>
        </w:rPr>
        <w:t xml:space="preserve">од 12 јавни повици сеуште се активни уште 4  јавни повици. </w:t>
      </w:r>
      <w:r w:rsidR="00721C77">
        <w:rPr>
          <w:rFonts w:ascii="StobiSerif Regular" w:hAnsi="StobiSerif Regular"/>
        </w:rPr>
        <w:t>А</w:t>
      </w:r>
      <w:r>
        <w:rPr>
          <w:rFonts w:ascii="StobiSerif Regular" w:hAnsi="StobiSerif Regular"/>
        </w:rPr>
        <w:t>дминистративната проверка</w:t>
      </w:r>
      <w:r w:rsidR="00721C77">
        <w:rPr>
          <w:rFonts w:ascii="StobiSerif Regular" w:hAnsi="StobiSerif Regular"/>
        </w:rPr>
        <w:t xml:space="preserve"> за сите примени апликации </w:t>
      </w:r>
      <w:r>
        <w:rPr>
          <w:rFonts w:ascii="StobiSerif Regular" w:hAnsi="StobiSerif Regular"/>
        </w:rPr>
        <w:t xml:space="preserve"> е завршена.  </w:t>
      </w:r>
      <w:r w:rsidRPr="00C50AB5">
        <w:rPr>
          <w:rFonts w:ascii="StobiSerif Regular" w:hAnsi="StobiSerif Regular"/>
        </w:rPr>
        <w:t xml:space="preserve">Од почетокот на спроведување на Прогрмата, </w:t>
      </w:r>
      <w:r w:rsidR="00721C77">
        <w:rPr>
          <w:rFonts w:ascii="StobiSerif Regular" w:hAnsi="StobiSerif Regular"/>
        </w:rPr>
        <w:t>на</w:t>
      </w:r>
      <w:r w:rsidRPr="00C50AB5">
        <w:rPr>
          <w:rFonts w:ascii="StobiSerif Regular" w:hAnsi="StobiSerif Regular"/>
        </w:rPr>
        <w:t xml:space="preserve"> 12 објавени јавни повици, до Агенцијата </w:t>
      </w:r>
      <w:r>
        <w:rPr>
          <w:rFonts w:ascii="StobiSerif Regular" w:hAnsi="StobiSerif Regular"/>
        </w:rPr>
        <w:t>пристигнати се вкупно 3087</w:t>
      </w:r>
      <w:r w:rsidR="00721C77">
        <w:rPr>
          <w:rFonts w:ascii="StobiSerif Regular" w:hAnsi="StobiSerif Regular"/>
        </w:rPr>
        <w:t xml:space="preserve"> апликации</w:t>
      </w:r>
      <w:r>
        <w:rPr>
          <w:rFonts w:ascii="StobiSerif Regular" w:hAnsi="StobiSerif Regular"/>
        </w:rPr>
        <w:t>.  З</w:t>
      </w:r>
      <w:r w:rsidRPr="00C50AB5">
        <w:rPr>
          <w:rFonts w:ascii="StobiSerif Regular" w:hAnsi="StobiSerif Regular"/>
        </w:rPr>
        <w:t xml:space="preserve">аклучно со </w:t>
      </w:r>
      <w:r>
        <w:rPr>
          <w:rFonts w:ascii="StobiSerif Regular" w:hAnsi="StobiSerif Regular"/>
        </w:rPr>
        <w:t>31.12.2016</w:t>
      </w:r>
      <w:r w:rsidRPr="00C50AB5">
        <w:rPr>
          <w:rFonts w:ascii="StobiSerif Regular" w:hAnsi="StobiSerif Regular"/>
        </w:rPr>
        <w:t xml:space="preserve">, беа  доставени вкупно 3087 </w:t>
      </w:r>
      <w:r w:rsidR="00B67C75">
        <w:rPr>
          <w:rFonts w:ascii="StobiSerif Regular" w:hAnsi="StobiSerif Regular"/>
        </w:rPr>
        <w:t>апликации, кои резултираа со 1369</w:t>
      </w:r>
      <w:r w:rsidRPr="00C50AB5">
        <w:rPr>
          <w:rFonts w:ascii="StobiSerif Regular" w:hAnsi="StobiSerif Regular"/>
        </w:rPr>
        <w:t xml:space="preserve"> склучени договори, </w:t>
      </w:r>
      <w:r w:rsidR="00B67C75">
        <w:rPr>
          <w:rFonts w:ascii="StobiSerif Regular" w:hAnsi="StobiSerif Regular"/>
        </w:rPr>
        <w:t>1718</w:t>
      </w:r>
      <w:r w:rsidRPr="00C50AB5">
        <w:rPr>
          <w:rFonts w:ascii="StobiSerif Regular" w:hAnsi="StobiSerif Regular"/>
        </w:rPr>
        <w:t xml:space="preserve"> одбиени, </w:t>
      </w:r>
      <w:r w:rsidR="00B67C75" w:rsidRPr="000B5E5D">
        <w:rPr>
          <w:rFonts w:ascii="StobiSerif Regular" w:hAnsi="StobiSerif Regular"/>
          <w:lang w:val="en-GB"/>
        </w:rPr>
        <w:t>738</w:t>
      </w:r>
      <w:r w:rsidRPr="00C50AB5">
        <w:rPr>
          <w:rFonts w:ascii="StobiSerif Regular" w:hAnsi="StobiSerif Regular"/>
        </w:rPr>
        <w:t xml:space="preserve"> исплатени, </w:t>
      </w:r>
      <w:r w:rsidR="00B67C75" w:rsidRPr="000B5E5D">
        <w:rPr>
          <w:rFonts w:ascii="StobiSerif Regular" w:hAnsi="StobiSerif Regular"/>
          <w:lang w:val="en-GB"/>
        </w:rPr>
        <w:t>176</w:t>
      </w:r>
      <w:r w:rsidR="00B67C75">
        <w:rPr>
          <w:rFonts w:ascii="StobiSerif Regular" w:hAnsi="StobiSerif Regular"/>
        </w:rPr>
        <w:t xml:space="preserve"> </w:t>
      </w:r>
      <w:r w:rsidRPr="00C50AB5">
        <w:rPr>
          <w:rFonts w:ascii="StobiSerif Regular" w:hAnsi="StobiSerif Regular"/>
        </w:rPr>
        <w:t xml:space="preserve">раскинати. </w:t>
      </w:r>
    </w:p>
    <w:p w:rsidR="00734B0B" w:rsidRPr="00181541" w:rsidRDefault="00B67C75" w:rsidP="00051E02">
      <w:pPr>
        <w:spacing w:after="0"/>
        <w:rPr>
          <w:rFonts w:ascii="StobiSerif Regular" w:eastAsia="Times New Roman" w:hAnsi="StobiSerif Regular" w:cs="Times New Roman"/>
          <w:b/>
          <w:bCs/>
          <w:lang w:val="en-US"/>
        </w:rPr>
      </w:pPr>
      <w:bookmarkStart w:id="17" w:name="_Toc421370553"/>
      <w:bookmarkStart w:id="18" w:name="_Toc485394895"/>
      <w:r w:rsidRPr="00181541">
        <w:rPr>
          <w:rFonts w:ascii="StobiSerif Regular" w:eastAsia="Times New Roman" w:hAnsi="StobiSerif Regular" w:cs="Times New Roman"/>
          <w:b/>
          <w:bCs/>
        </w:rPr>
        <w:t xml:space="preserve">Табела </w:t>
      </w:r>
      <w:r w:rsidR="00734B0B" w:rsidRPr="00181541">
        <w:rPr>
          <w:rFonts w:ascii="StobiSerif Regular" w:eastAsia="Times New Roman" w:hAnsi="StobiSerif Regular" w:cs="Times New Roman"/>
          <w:b/>
          <w:bCs/>
          <w:lang w:val="en-US"/>
        </w:rPr>
        <w:t xml:space="preserve"> </w:t>
      </w:r>
      <w:r w:rsidR="00734B0B" w:rsidRPr="00181541">
        <w:rPr>
          <w:rFonts w:ascii="StobiSerif Regular" w:eastAsia="Times New Roman" w:hAnsi="StobiSerif Regular" w:cs="Times New Roman"/>
          <w:b/>
          <w:bCs/>
          <w:lang w:val="en-US"/>
        </w:rPr>
        <w:fldChar w:fldCharType="begin"/>
      </w:r>
      <w:r w:rsidR="00734B0B" w:rsidRPr="00181541">
        <w:rPr>
          <w:rFonts w:ascii="StobiSerif Regular" w:eastAsia="Times New Roman" w:hAnsi="StobiSerif Regular" w:cs="Times New Roman"/>
          <w:b/>
          <w:bCs/>
          <w:lang w:val="en-US"/>
        </w:rPr>
        <w:instrText xml:space="preserve"> SEQ Table \* ARABIC </w:instrText>
      </w:r>
      <w:r w:rsidR="00734B0B" w:rsidRPr="00181541">
        <w:rPr>
          <w:rFonts w:ascii="StobiSerif Regular" w:eastAsia="Times New Roman" w:hAnsi="StobiSerif Regular" w:cs="Times New Roman"/>
          <w:b/>
          <w:bCs/>
          <w:lang w:val="en-US"/>
        </w:rPr>
        <w:fldChar w:fldCharType="separate"/>
      </w:r>
      <w:r w:rsidR="00067F8B" w:rsidRPr="00181541">
        <w:rPr>
          <w:rFonts w:ascii="StobiSerif Regular" w:eastAsia="Times New Roman" w:hAnsi="StobiSerif Regular" w:cs="Times New Roman"/>
          <w:b/>
          <w:bCs/>
          <w:noProof/>
          <w:lang w:val="en-US"/>
        </w:rPr>
        <w:t>3</w:t>
      </w:r>
      <w:r w:rsidR="00734B0B" w:rsidRPr="00181541">
        <w:rPr>
          <w:rFonts w:ascii="StobiSerif Regular" w:eastAsia="Times New Roman" w:hAnsi="StobiSerif Regular" w:cs="Times New Roman"/>
          <w:b/>
          <w:bCs/>
          <w:lang w:val="en-US"/>
        </w:rPr>
        <w:fldChar w:fldCharType="end"/>
      </w:r>
      <w:r w:rsidR="00734B0B" w:rsidRPr="00181541">
        <w:rPr>
          <w:rFonts w:ascii="StobiSerif Regular" w:eastAsia="Times New Roman" w:hAnsi="StobiSerif Regular" w:cs="Times New Roman"/>
          <w:b/>
          <w:bCs/>
          <w:lang w:val="en-US"/>
        </w:rPr>
        <w:t xml:space="preserve">:  </w:t>
      </w:r>
      <w:bookmarkEnd w:id="17"/>
      <w:r w:rsidRPr="00181541">
        <w:rPr>
          <w:rFonts w:ascii="StobiSerif Regular" w:eastAsia="Times New Roman" w:hAnsi="StobiSerif Regular" w:cs="Times New Roman"/>
          <w:b/>
          <w:bCs/>
        </w:rPr>
        <w:t>Преглед на спроведување на јавни повици по ИПАРД во евра</w:t>
      </w:r>
      <w:bookmarkEnd w:id="18"/>
      <w:r w:rsidRPr="00181541">
        <w:rPr>
          <w:rFonts w:ascii="StobiSerif Regular" w:eastAsia="Times New Roman" w:hAnsi="StobiSerif Regular" w:cs="Times New Roman"/>
          <w:b/>
          <w:bCs/>
        </w:rPr>
        <w:t xml:space="preserve">  </w:t>
      </w:r>
    </w:p>
    <w:tbl>
      <w:tblPr>
        <w:tblpPr w:leftFromText="180" w:rightFromText="180" w:vertAnchor="text" w:horzAnchor="margin" w:tblpY="20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813"/>
        <w:gridCol w:w="567"/>
        <w:gridCol w:w="1134"/>
        <w:gridCol w:w="709"/>
        <w:gridCol w:w="1276"/>
        <w:gridCol w:w="709"/>
        <w:gridCol w:w="992"/>
        <w:gridCol w:w="567"/>
        <w:gridCol w:w="992"/>
        <w:gridCol w:w="567"/>
        <w:gridCol w:w="992"/>
      </w:tblGrid>
      <w:tr w:rsidR="00FC5AA7" w:rsidRPr="000B5E5D" w:rsidTr="00FC5AA7">
        <w:trPr>
          <w:trHeight w:val="275"/>
        </w:trPr>
        <w:tc>
          <w:tcPr>
            <w:tcW w:w="4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5AA7" w:rsidRPr="000B5E5D" w:rsidRDefault="00FC5AA7" w:rsidP="00FC5AA7">
            <w:pPr>
              <w:tabs>
                <w:tab w:val="left" w:pos="720"/>
              </w:tabs>
              <w:spacing w:after="0" w:line="240" w:lineRule="auto"/>
              <w:jc w:val="center"/>
              <w:rPr>
                <w:rFonts w:ascii="StobiSerif Regular" w:eastAsia="Times New Roman" w:hAnsi="StobiSerif Regular" w:cs="Arial"/>
                <w:b/>
                <w:sz w:val="16"/>
                <w:szCs w:val="16"/>
                <w:lang w:val="en-US" w:eastAsia="zh-CN"/>
              </w:rPr>
            </w:pPr>
          </w:p>
        </w:tc>
        <w:tc>
          <w:tcPr>
            <w:tcW w:w="8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B67C75" w:rsidRDefault="00B67C75" w:rsidP="00FC5AA7">
            <w:pPr>
              <w:tabs>
                <w:tab w:val="left" w:pos="720"/>
              </w:tabs>
              <w:spacing w:after="0" w:line="240" w:lineRule="auto"/>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Јавен повик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5AA7" w:rsidRPr="006941AB" w:rsidRDefault="006941AB" w:rsidP="00FC5AA7">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 xml:space="preserve">Примени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6941AB" w:rsidRDefault="006941AB" w:rsidP="00FC5AA7">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 xml:space="preserve">Склучени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6941AB" w:rsidRDefault="006941AB" w:rsidP="00FC5AA7">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 xml:space="preserve">Исплатени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6941AB" w:rsidRDefault="006941AB" w:rsidP="00FC5AA7">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 xml:space="preserve">Раскинати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5AA7" w:rsidRPr="006941AB" w:rsidRDefault="006941AB" w:rsidP="00FC5AA7">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 xml:space="preserve">Тековни </w:t>
            </w:r>
          </w:p>
        </w:tc>
      </w:tr>
      <w:tr w:rsidR="006941AB" w:rsidRPr="000B5E5D" w:rsidTr="00FC5AA7">
        <w:trPr>
          <w:trHeight w:val="251"/>
        </w:trPr>
        <w:tc>
          <w:tcPr>
            <w:tcW w:w="42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41AB" w:rsidRPr="000B5E5D" w:rsidRDefault="006941AB" w:rsidP="006941AB">
            <w:pPr>
              <w:spacing w:after="0" w:line="240" w:lineRule="auto"/>
              <w:rPr>
                <w:rFonts w:ascii="StobiSerif Regular" w:eastAsia="Times New Roman" w:hAnsi="StobiSerif Regular" w:cs="Arial"/>
                <w:b/>
                <w:sz w:val="16"/>
                <w:szCs w:val="16"/>
                <w:lang w:val="en-US" w:eastAsia="zh-CN"/>
              </w:rPr>
            </w:pPr>
          </w:p>
        </w:tc>
        <w:tc>
          <w:tcPr>
            <w:tcW w:w="8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41AB" w:rsidRPr="000B5E5D" w:rsidRDefault="006941AB" w:rsidP="006941AB">
            <w:pPr>
              <w:spacing w:after="0" w:line="240" w:lineRule="auto"/>
              <w:rPr>
                <w:rFonts w:ascii="StobiSerif Regular" w:eastAsia="Times New Roman" w:hAnsi="StobiSerif Regular" w:cs="Arial"/>
                <w:b/>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41AB" w:rsidRPr="006941AB" w:rsidRDefault="006941AB" w:rsidP="006941AB">
            <w:pPr>
              <w:tabs>
                <w:tab w:val="left" w:pos="720"/>
              </w:tabs>
              <w:spacing w:after="0" w:line="240" w:lineRule="auto"/>
              <w:ind w:right="-108"/>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Бр.</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41AB" w:rsidRPr="006941AB" w:rsidRDefault="006941AB" w:rsidP="006941AB">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Times New Roman"/>
                <w:b/>
                <w:bCs/>
                <w:sz w:val="16"/>
                <w:szCs w:val="16"/>
                <w:lang w:eastAsia="mk-MK"/>
              </w:rPr>
              <w:t>ЕУдел</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41AB" w:rsidRPr="006941AB" w:rsidRDefault="006941AB" w:rsidP="006941AB">
            <w:pPr>
              <w:tabs>
                <w:tab w:val="left" w:pos="720"/>
              </w:tabs>
              <w:spacing w:after="0" w:line="240" w:lineRule="auto"/>
              <w:ind w:right="-108"/>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Бр.</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41AB" w:rsidRPr="006941AB" w:rsidRDefault="006941AB" w:rsidP="006941AB">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Times New Roman"/>
                <w:b/>
                <w:bCs/>
                <w:sz w:val="16"/>
                <w:szCs w:val="16"/>
                <w:lang w:eastAsia="mk-MK"/>
              </w:rPr>
              <w:t>ЕУдел</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41AB" w:rsidRPr="006941AB" w:rsidRDefault="006941AB" w:rsidP="006941AB">
            <w:pPr>
              <w:tabs>
                <w:tab w:val="left" w:pos="720"/>
              </w:tabs>
              <w:spacing w:after="0" w:line="240" w:lineRule="auto"/>
              <w:ind w:right="-108"/>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Бр.</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41AB" w:rsidRPr="006941AB" w:rsidRDefault="006941AB" w:rsidP="006941AB">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Times New Roman"/>
                <w:b/>
                <w:bCs/>
                <w:sz w:val="16"/>
                <w:szCs w:val="16"/>
                <w:lang w:eastAsia="mk-MK"/>
              </w:rPr>
              <w:t>ЕУдел</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41AB" w:rsidRPr="006941AB" w:rsidRDefault="006941AB" w:rsidP="006941AB">
            <w:pPr>
              <w:tabs>
                <w:tab w:val="left" w:pos="720"/>
              </w:tabs>
              <w:spacing w:after="0" w:line="240" w:lineRule="auto"/>
              <w:ind w:right="-108"/>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Бр.</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41AB" w:rsidRPr="006941AB" w:rsidRDefault="006941AB" w:rsidP="006941AB">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Times New Roman"/>
                <w:b/>
                <w:bCs/>
                <w:sz w:val="16"/>
                <w:szCs w:val="16"/>
                <w:lang w:eastAsia="mk-MK"/>
              </w:rPr>
              <w:t>ЕУдел</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41AB" w:rsidRPr="006941AB" w:rsidRDefault="006941AB" w:rsidP="006941AB">
            <w:pPr>
              <w:tabs>
                <w:tab w:val="left" w:pos="720"/>
              </w:tabs>
              <w:spacing w:after="0" w:line="240" w:lineRule="auto"/>
              <w:ind w:right="-108"/>
              <w:jc w:val="center"/>
              <w:rPr>
                <w:rFonts w:ascii="StobiSerif Regular" w:eastAsia="Times New Roman" w:hAnsi="StobiSerif Regular" w:cs="Arial"/>
                <w:b/>
                <w:sz w:val="16"/>
                <w:szCs w:val="16"/>
                <w:lang w:eastAsia="zh-CN"/>
              </w:rPr>
            </w:pPr>
            <w:r>
              <w:rPr>
                <w:rFonts w:ascii="StobiSerif Regular" w:eastAsia="Times New Roman" w:hAnsi="StobiSerif Regular" w:cs="Arial"/>
                <w:b/>
                <w:sz w:val="16"/>
                <w:szCs w:val="16"/>
                <w:lang w:eastAsia="zh-CN"/>
              </w:rPr>
              <w:t>Бр.</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41AB" w:rsidRPr="006941AB" w:rsidRDefault="006941AB" w:rsidP="006941AB">
            <w:pPr>
              <w:tabs>
                <w:tab w:val="left" w:pos="720"/>
              </w:tabs>
              <w:spacing w:after="0" w:line="240" w:lineRule="auto"/>
              <w:jc w:val="center"/>
              <w:rPr>
                <w:rFonts w:ascii="StobiSerif Regular" w:eastAsia="Times New Roman" w:hAnsi="StobiSerif Regular" w:cs="Arial"/>
                <w:b/>
                <w:sz w:val="16"/>
                <w:szCs w:val="16"/>
                <w:lang w:eastAsia="zh-CN"/>
              </w:rPr>
            </w:pPr>
            <w:r>
              <w:rPr>
                <w:rFonts w:ascii="StobiSerif Regular" w:eastAsia="Times New Roman" w:hAnsi="StobiSerif Regular" w:cs="Times New Roman"/>
                <w:b/>
                <w:bCs/>
                <w:sz w:val="16"/>
                <w:szCs w:val="16"/>
                <w:lang w:eastAsia="mk-MK"/>
              </w:rPr>
              <w:t>ЕУдел</w:t>
            </w:r>
          </w:p>
        </w:tc>
      </w:tr>
      <w:tr w:rsidR="00FC5AA7" w:rsidRPr="000B5E5D" w:rsidTr="00FC5AA7">
        <w:trPr>
          <w:trHeight w:val="365"/>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01/2009</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133</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 xml:space="preserve">6.940.020 </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1.478.341</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19</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876.509</w:t>
            </w:r>
          </w:p>
        </w:tc>
        <w:tc>
          <w:tcPr>
            <w:tcW w:w="567"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381.714</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r>
      <w:tr w:rsidR="00FC5AA7" w:rsidRPr="000B5E5D" w:rsidTr="00FC5AA7">
        <w:trPr>
          <w:trHeight w:val="426"/>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01/2010</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112</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4.812.189</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1.566.754</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687.296</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773.866</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r>
      <w:tr w:rsidR="00FC5AA7" w:rsidRPr="000B5E5D" w:rsidTr="00FC5AA7">
        <w:trPr>
          <w:trHeight w:val="433"/>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01/2011</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74</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2.839.450</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1.626.633</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301.919</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1.305.607</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r>
      <w:tr w:rsidR="00FC5AA7" w:rsidRPr="000B5E5D" w:rsidTr="00FC5AA7">
        <w:trPr>
          <w:trHeight w:val="425"/>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02/2011</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60</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2.107.178</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727.257</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444.875</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269.476</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r>
      <w:tr w:rsidR="00FC5AA7" w:rsidRPr="000B5E5D" w:rsidTr="00FC5AA7">
        <w:trPr>
          <w:trHeight w:val="425"/>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5</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03/2011</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92</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3.337.185</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196.766</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138.527</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50.151</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r>
      <w:tr w:rsidR="00FC5AA7" w:rsidRPr="000B5E5D" w:rsidTr="00FC5AA7">
        <w:trPr>
          <w:trHeight w:val="425"/>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6</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01/2012</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67</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2.905.494</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242.288</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216.498</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17.638</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r>
      <w:tr w:rsidR="00FC5AA7" w:rsidRPr="000B5E5D" w:rsidTr="00FC5AA7">
        <w:trPr>
          <w:trHeight w:val="425"/>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7</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02/2012</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61</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2.155.157</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51.777</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22.916</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28.663</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r>
      <w:tr w:rsidR="00FC5AA7" w:rsidRPr="000B5E5D" w:rsidTr="00FC5AA7">
        <w:trPr>
          <w:trHeight w:val="425"/>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8</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01/2013</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401</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7.125.268</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1.770.218</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157</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1216100</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496.922</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p>
        </w:tc>
      </w:tr>
      <w:tr w:rsidR="00FC5AA7" w:rsidRPr="000B5E5D" w:rsidTr="00FC5AA7">
        <w:trPr>
          <w:trHeight w:val="403"/>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9</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01/2014</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394</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7.476.340</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2.236.985</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172</w:t>
            </w:r>
          </w:p>
        </w:tc>
        <w:tc>
          <w:tcPr>
            <w:tcW w:w="992"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1576582</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38</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299.610</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360</w:t>
            </w:r>
            <w:r w:rsidRPr="000B5E5D">
              <w:rPr>
                <w:rFonts w:ascii="StobiSerif Regular" w:eastAsia="Times New Roman" w:hAnsi="StobiSerif Regular" w:cs="Times New Roman"/>
                <w:b/>
                <w:bCs/>
                <w:sz w:val="16"/>
                <w:szCs w:val="16"/>
                <w:lang w:val="en-US" w:eastAsia="mk-MK"/>
              </w:rPr>
              <w:t>.</w:t>
            </w:r>
            <w:r w:rsidRPr="000B5E5D">
              <w:rPr>
                <w:rFonts w:ascii="StobiSerif Regular" w:eastAsia="Times New Roman" w:hAnsi="StobiSerif Regular" w:cs="Times New Roman"/>
                <w:b/>
                <w:bCs/>
                <w:sz w:val="16"/>
                <w:szCs w:val="16"/>
                <w:lang w:eastAsia="mk-MK"/>
              </w:rPr>
              <w:t>793</w:t>
            </w:r>
          </w:p>
        </w:tc>
      </w:tr>
      <w:tr w:rsidR="00FC5AA7" w:rsidRPr="000B5E5D" w:rsidTr="00FC5AA7">
        <w:trPr>
          <w:trHeight w:val="403"/>
        </w:trPr>
        <w:tc>
          <w:tcPr>
            <w:tcW w:w="42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10</w:t>
            </w:r>
          </w:p>
        </w:tc>
        <w:tc>
          <w:tcPr>
            <w:tcW w:w="813"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02/2014</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439</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5.789.381</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3.125.440</w:t>
            </w:r>
          </w:p>
        </w:tc>
        <w:tc>
          <w:tcPr>
            <w:tcW w:w="709" w:type="dxa"/>
            <w:tcBorders>
              <w:top w:val="single" w:sz="4" w:space="0" w:color="auto"/>
              <w:left w:val="single" w:sz="4" w:space="0" w:color="auto"/>
              <w:bottom w:val="single" w:sz="4" w:space="0" w:color="auto"/>
              <w:right w:val="single" w:sz="4" w:space="0" w:color="auto"/>
            </w:tcBorders>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186</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1403383</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47</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205175</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11</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w:t>
            </w:r>
            <w:r w:rsidRPr="000B5E5D">
              <w:rPr>
                <w:rFonts w:ascii="StobiSerif Regular" w:eastAsia="Times New Roman" w:hAnsi="StobiSerif Regular" w:cs="Times New Roman"/>
                <w:b/>
                <w:bCs/>
                <w:sz w:val="16"/>
                <w:szCs w:val="16"/>
                <w:lang w:val="en-US" w:eastAsia="mk-MK"/>
              </w:rPr>
              <w:t>.</w:t>
            </w:r>
            <w:r w:rsidRPr="000B5E5D">
              <w:rPr>
                <w:rFonts w:ascii="StobiSerif Regular" w:eastAsia="Times New Roman" w:hAnsi="StobiSerif Regular" w:cs="Times New Roman"/>
                <w:b/>
                <w:bCs/>
                <w:sz w:val="16"/>
                <w:szCs w:val="16"/>
                <w:lang w:eastAsia="mk-MK"/>
              </w:rPr>
              <w:t>516</w:t>
            </w:r>
            <w:r w:rsidRPr="000B5E5D">
              <w:rPr>
                <w:rFonts w:ascii="StobiSerif Regular" w:eastAsia="Times New Roman" w:hAnsi="StobiSerif Regular" w:cs="Times New Roman"/>
                <w:b/>
                <w:bCs/>
                <w:sz w:val="16"/>
                <w:szCs w:val="16"/>
                <w:lang w:val="en-US" w:eastAsia="mk-MK"/>
              </w:rPr>
              <w:t>.</w:t>
            </w:r>
            <w:r w:rsidRPr="000B5E5D">
              <w:rPr>
                <w:rFonts w:ascii="StobiSerif Regular" w:eastAsia="Times New Roman" w:hAnsi="StobiSerif Regular" w:cs="Times New Roman"/>
                <w:b/>
                <w:bCs/>
                <w:sz w:val="16"/>
                <w:szCs w:val="16"/>
                <w:lang w:eastAsia="mk-MK"/>
              </w:rPr>
              <w:t>882</w:t>
            </w:r>
          </w:p>
        </w:tc>
      </w:tr>
      <w:tr w:rsidR="00FC5AA7" w:rsidRPr="000B5E5D" w:rsidTr="00FC5AA7">
        <w:trPr>
          <w:trHeight w:val="403"/>
        </w:trPr>
        <w:tc>
          <w:tcPr>
            <w:tcW w:w="42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11</w:t>
            </w:r>
          </w:p>
        </w:tc>
        <w:tc>
          <w:tcPr>
            <w:tcW w:w="813"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01/2015</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833</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7.517.601</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418</w:t>
            </w:r>
          </w:p>
        </w:tc>
        <w:tc>
          <w:tcPr>
            <w:tcW w:w="1276"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4.088.909</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113</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843227</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14015</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301</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w:t>
            </w:r>
            <w:r w:rsidRPr="000B5E5D">
              <w:rPr>
                <w:rFonts w:ascii="StobiSerif Regular" w:eastAsia="Times New Roman" w:hAnsi="StobiSerif Regular" w:cs="Times New Roman"/>
                <w:b/>
                <w:bCs/>
                <w:sz w:val="16"/>
                <w:szCs w:val="16"/>
                <w:lang w:val="en-US" w:eastAsia="mk-MK"/>
              </w:rPr>
              <w:t>.</w:t>
            </w:r>
            <w:r w:rsidRPr="000B5E5D">
              <w:rPr>
                <w:rFonts w:ascii="StobiSerif Regular" w:eastAsia="Times New Roman" w:hAnsi="StobiSerif Regular" w:cs="Times New Roman"/>
                <w:b/>
                <w:bCs/>
                <w:sz w:val="16"/>
                <w:szCs w:val="16"/>
                <w:lang w:eastAsia="mk-MK"/>
              </w:rPr>
              <w:t>231</w:t>
            </w:r>
            <w:r w:rsidRPr="000B5E5D">
              <w:rPr>
                <w:rFonts w:ascii="StobiSerif Regular" w:eastAsia="Times New Roman" w:hAnsi="StobiSerif Regular" w:cs="Times New Roman"/>
                <w:b/>
                <w:bCs/>
                <w:sz w:val="16"/>
                <w:szCs w:val="16"/>
                <w:lang w:val="en-US" w:eastAsia="mk-MK"/>
              </w:rPr>
              <w:t>.</w:t>
            </w:r>
            <w:r w:rsidRPr="000B5E5D">
              <w:rPr>
                <w:rFonts w:ascii="StobiSerif Regular" w:eastAsia="Times New Roman" w:hAnsi="StobiSerif Regular" w:cs="Times New Roman"/>
                <w:b/>
                <w:bCs/>
                <w:sz w:val="16"/>
                <w:szCs w:val="16"/>
                <w:lang w:eastAsia="mk-MK"/>
              </w:rPr>
              <w:t>667</w:t>
            </w:r>
          </w:p>
        </w:tc>
      </w:tr>
      <w:tr w:rsidR="00FC5AA7" w:rsidRPr="000B5E5D" w:rsidTr="00FC5AA7">
        <w:trPr>
          <w:trHeight w:val="403"/>
        </w:trPr>
        <w:tc>
          <w:tcPr>
            <w:tcW w:w="42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12</w:t>
            </w:r>
          </w:p>
        </w:tc>
        <w:tc>
          <w:tcPr>
            <w:tcW w:w="813"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02/2015</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421</w:t>
            </w:r>
          </w:p>
        </w:tc>
        <w:tc>
          <w:tcPr>
            <w:tcW w:w="1134"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5.661.281</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143</w:t>
            </w:r>
          </w:p>
        </w:tc>
        <w:tc>
          <w:tcPr>
            <w:tcW w:w="1276"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2.054.636</w:t>
            </w:r>
          </w:p>
        </w:tc>
        <w:tc>
          <w:tcPr>
            <w:tcW w:w="709"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229634</w:t>
            </w: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p>
        </w:tc>
        <w:tc>
          <w:tcPr>
            <w:tcW w:w="567"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140</w:t>
            </w:r>
          </w:p>
        </w:tc>
        <w:tc>
          <w:tcPr>
            <w:tcW w:w="992" w:type="dxa"/>
            <w:tcBorders>
              <w:top w:val="single" w:sz="4" w:space="0" w:color="auto"/>
              <w:left w:val="single" w:sz="4" w:space="0" w:color="auto"/>
              <w:bottom w:val="single" w:sz="4" w:space="0" w:color="auto"/>
              <w:right w:val="single" w:sz="4" w:space="0" w:color="auto"/>
            </w:tcBorders>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1.825.002</w:t>
            </w:r>
          </w:p>
        </w:tc>
      </w:tr>
      <w:tr w:rsidR="00FC5AA7" w:rsidRPr="000B5E5D" w:rsidTr="00FC5AA7">
        <w:trPr>
          <w:trHeight w:val="403"/>
        </w:trPr>
        <w:tc>
          <w:tcPr>
            <w:tcW w:w="12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5AA7" w:rsidRPr="000B5E5D" w:rsidRDefault="006941AB" w:rsidP="00FC5AA7">
            <w:pPr>
              <w:spacing w:after="0" w:line="240" w:lineRule="auto"/>
              <w:ind w:right="-108"/>
              <w:rPr>
                <w:rFonts w:ascii="StobiSerif Regular" w:eastAsia="Times New Roman" w:hAnsi="StobiSerif Regular" w:cs="Times New Roman"/>
                <w:b/>
                <w:bCs/>
                <w:sz w:val="16"/>
                <w:szCs w:val="16"/>
                <w:lang w:eastAsia="mk-MK"/>
              </w:rPr>
            </w:pPr>
            <w:r>
              <w:rPr>
                <w:rFonts w:ascii="StobiSerif Regular" w:eastAsia="Times New Roman" w:hAnsi="StobiSerif Regular" w:cs="Times New Roman"/>
                <w:b/>
                <w:bCs/>
                <w:sz w:val="16"/>
                <w:szCs w:val="16"/>
                <w:lang w:eastAsia="mk-MK"/>
              </w:rPr>
              <w:t xml:space="preserve">Вкупно </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3.087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58.666.543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1.369</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19.166.004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738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6.892.894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176</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3.842.837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5AA7" w:rsidRPr="000B5E5D" w:rsidRDefault="00FC5AA7" w:rsidP="00FC5AA7">
            <w:pPr>
              <w:spacing w:after="0" w:line="240" w:lineRule="auto"/>
              <w:ind w:right="-108"/>
              <w:jc w:val="center"/>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455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5AA7" w:rsidRPr="000B5E5D" w:rsidRDefault="00FC5AA7" w:rsidP="00FC5AA7">
            <w:pPr>
              <w:spacing w:after="0" w:line="240" w:lineRule="auto"/>
              <w:jc w:val="right"/>
              <w:rPr>
                <w:rFonts w:ascii="StobiSerif Regular" w:eastAsia="Times New Roman" w:hAnsi="StobiSerif Regular" w:cs="Times New Roman"/>
                <w:b/>
                <w:bCs/>
                <w:sz w:val="16"/>
                <w:szCs w:val="16"/>
                <w:lang w:eastAsia="mk-MK"/>
              </w:rPr>
            </w:pPr>
            <w:r w:rsidRPr="000B5E5D">
              <w:rPr>
                <w:rFonts w:ascii="StobiSerif Regular" w:eastAsia="Times New Roman" w:hAnsi="StobiSerif Regular" w:cs="Times New Roman"/>
                <w:b/>
                <w:bCs/>
                <w:sz w:val="16"/>
                <w:szCs w:val="16"/>
                <w:lang w:eastAsia="mk-MK"/>
              </w:rPr>
              <w:t>6.934.344</w:t>
            </w:r>
          </w:p>
        </w:tc>
      </w:tr>
    </w:tbl>
    <w:p w:rsidR="00734B0B" w:rsidRPr="006941AB" w:rsidRDefault="006941AB" w:rsidP="00734B0B">
      <w:pPr>
        <w:tabs>
          <w:tab w:val="left" w:pos="720"/>
        </w:tabs>
        <w:spacing w:after="0" w:line="240" w:lineRule="auto"/>
        <w:jc w:val="both"/>
        <w:rPr>
          <w:rFonts w:ascii="StobiSerif Regular" w:hAnsi="StobiSerif Regular"/>
          <w:sz w:val="16"/>
          <w:szCs w:val="16"/>
        </w:rPr>
      </w:pPr>
      <w:r>
        <w:rPr>
          <w:rFonts w:ascii="StobiSerif Regular" w:hAnsi="StobiSerif Regular"/>
          <w:sz w:val="16"/>
          <w:szCs w:val="16"/>
        </w:rPr>
        <w:t>Извор: Мониторинг систем</w:t>
      </w:r>
    </w:p>
    <w:p w:rsidR="00E66CF9" w:rsidRDefault="00BC5CEB" w:rsidP="00E66CF9">
      <w:pPr>
        <w:autoSpaceDE w:val="0"/>
        <w:autoSpaceDN w:val="0"/>
        <w:adjustRightInd w:val="0"/>
        <w:spacing w:before="120" w:after="120"/>
        <w:jc w:val="both"/>
        <w:rPr>
          <w:rFonts w:ascii="StobiSerif Regular" w:hAnsi="StobiSerif Regular"/>
        </w:rPr>
      </w:pPr>
      <w:r w:rsidRPr="00BC5CEB">
        <w:rPr>
          <w:rFonts w:ascii="StobiSerif Regular" w:hAnsi="StobiSerif Regular"/>
        </w:rPr>
        <w:t xml:space="preserve">Како и на јавниот повик 01/2013 бројот на апликации се зголеми драстично како резултат на воведување на четвртата модификација, </w:t>
      </w:r>
      <w:r>
        <w:rPr>
          <w:rFonts w:ascii="StobiSerif Regular" w:hAnsi="StobiSerif Regular"/>
        </w:rPr>
        <w:t xml:space="preserve"> во мин</w:t>
      </w:r>
      <w:r>
        <w:rPr>
          <w:rFonts w:ascii="StobiSerif Regular" w:hAnsi="StobiSerif Regular"/>
          <w:lang w:val="en-US"/>
        </w:rPr>
        <w:t>a</w:t>
      </w:r>
      <w:r>
        <w:rPr>
          <w:rFonts w:ascii="StobiSerif Regular" w:hAnsi="StobiSerif Regular"/>
        </w:rPr>
        <w:t xml:space="preserve">тите </w:t>
      </w:r>
      <w:r w:rsidRPr="00BC5CEB">
        <w:rPr>
          <w:rFonts w:ascii="StobiSerif Regular" w:hAnsi="StobiSerif Regular"/>
        </w:rPr>
        <w:t>пет јавни повици се поднесени 2.488 барања, од кои 1.446 се за трактори (според податоците на Агенцијата).</w:t>
      </w:r>
      <w:r w:rsidR="00E66CF9">
        <w:rPr>
          <w:rFonts w:ascii="StobiSerif Regular" w:hAnsi="StobiSerif Regular"/>
        </w:rPr>
        <w:t xml:space="preserve"> </w:t>
      </w:r>
      <w:r w:rsidR="002A5FD9" w:rsidRPr="002A5FD9">
        <w:rPr>
          <w:rFonts w:ascii="StobiSerif Regular" w:hAnsi="StobiSerif Regular"/>
        </w:rPr>
        <w:t>Сепак, останатите 1042 поднесени барања за другите видови на инвестиции во овие пет повици се речиси тројно од 321 апликации, поднесени во претходните седум повици</w:t>
      </w:r>
      <w:r w:rsidR="002A5FD9">
        <w:rPr>
          <w:rFonts w:ascii="StobiSerif Regular" w:hAnsi="StobiSerif Regular"/>
        </w:rPr>
        <w:t>,</w:t>
      </w:r>
      <w:r w:rsidR="002A5FD9" w:rsidRPr="002A5FD9">
        <w:rPr>
          <w:rFonts w:ascii="StobiSerif Regular" w:hAnsi="StobiSerif Regular"/>
        </w:rPr>
        <w:t xml:space="preserve"> кога трактори не се</w:t>
      </w:r>
      <w:r w:rsidR="002A5FD9">
        <w:rPr>
          <w:rFonts w:ascii="StobiSerif Regular" w:hAnsi="StobiSerif Regular"/>
        </w:rPr>
        <w:t xml:space="preserve"> поддржани во</w:t>
      </w:r>
      <w:r w:rsidR="002A5FD9" w:rsidRPr="002A5FD9">
        <w:rPr>
          <w:rFonts w:ascii="StobiSerif Regular" w:hAnsi="StobiSerif Regular"/>
        </w:rPr>
        <w:t xml:space="preserve"> Програм</w:t>
      </w:r>
      <w:bookmarkStart w:id="19" w:name="_Toc421370552"/>
      <w:r w:rsidR="00E66CF9">
        <w:rPr>
          <w:rFonts w:ascii="StobiSerif Regular" w:hAnsi="StobiSerif Regular"/>
        </w:rPr>
        <w:t>ата. Можеме да заклучиме дека генерално е зголемен  интересот за М101</w:t>
      </w:r>
    </w:p>
    <w:p w:rsidR="00EA41B5" w:rsidRPr="00E66CF9" w:rsidRDefault="00E66CF9" w:rsidP="00677FC7">
      <w:pPr>
        <w:autoSpaceDE w:val="0"/>
        <w:autoSpaceDN w:val="0"/>
        <w:adjustRightInd w:val="0"/>
        <w:spacing w:before="120" w:after="120"/>
        <w:jc w:val="both"/>
        <w:rPr>
          <w:rFonts w:ascii="StobiSerif Regular" w:eastAsia="Times New Roman" w:hAnsi="StobiSerif Regular" w:cs="Times New Roman"/>
          <w:b/>
          <w:bCs/>
        </w:rPr>
      </w:pPr>
      <w:bookmarkStart w:id="20" w:name="_Toc485394896"/>
      <w:r w:rsidRPr="00E66CF9">
        <w:rPr>
          <w:rFonts w:ascii="StobiSerif Regular" w:hAnsi="StobiSerif Regular"/>
          <w:b/>
        </w:rPr>
        <w:t>Та</w:t>
      </w:r>
      <w:r w:rsidR="006941AB" w:rsidRPr="00E66CF9">
        <w:rPr>
          <w:rFonts w:ascii="StobiSerif Regular" w:eastAsia="Times New Roman" w:hAnsi="StobiSerif Regular" w:cs="Times New Roman"/>
          <w:b/>
          <w:bCs/>
        </w:rPr>
        <w:t>бела</w:t>
      </w:r>
      <w:r w:rsidR="00EA41B5" w:rsidRPr="00E66CF9">
        <w:rPr>
          <w:rFonts w:ascii="StobiSerif Regular" w:eastAsia="Times New Roman" w:hAnsi="StobiSerif Regular" w:cs="Times New Roman"/>
          <w:b/>
          <w:bCs/>
          <w:lang w:val="en-US"/>
        </w:rPr>
        <w:t xml:space="preserve"> </w:t>
      </w:r>
      <w:r w:rsidR="00EA41B5" w:rsidRPr="00E66CF9">
        <w:rPr>
          <w:b/>
        </w:rPr>
        <w:fldChar w:fldCharType="begin"/>
      </w:r>
      <w:r w:rsidR="00EA41B5" w:rsidRPr="00E66CF9">
        <w:rPr>
          <w:rFonts w:ascii="StobiSerif Regular" w:eastAsia="Times New Roman" w:hAnsi="StobiSerif Regular" w:cs="Times New Roman"/>
          <w:b/>
          <w:bCs/>
          <w:lang w:val="en-US"/>
        </w:rPr>
        <w:instrText xml:space="preserve"> SEQ Table \* ARABIC </w:instrText>
      </w:r>
      <w:r w:rsidR="00EA41B5" w:rsidRPr="00E66CF9">
        <w:rPr>
          <w:b/>
        </w:rPr>
        <w:fldChar w:fldCharType="separate"/>
      </w:r>
      <w:r w:rsidR="00067F8B" w:rsidRPr="00E66CF9">
        <w:rPr>
          <w:rFonts w:ascii="StobiSerif Regular" w:eastAsia="Times New Roman" w:hAnsi="StobiSerif Regular" w:cs="Times New Roman"/>
          <w:b/>
          <w:bCs/>
          <w:noProof/>
          <w:lang w:val="en-US"/>
        </w:rPr>
        <w:t>4</w:t>
      </w:r>
      <w:r w:rsidR="00EA41B5" w:rsidRPr="00E66CF9">
        <w:rPr>
          <w:b/>
        </w:rPr>
        <w:fldChar w:fldCharType="end"/>
      </w:r>
      <w:r w:rsidR="00EA41B5" w:rsidRPr="00E66CF9">
        <w:rPr>
          <w:rFonts w:ascii="StobiSerif Regular" w:eastAsia="Times New Roman" w:hAnsi="StobiSerif Regular" w:cs="Times New Roman"/>
          <w:b/>
          <w:bCs/>
          <w:lang w:val="en-US"/>
        </w:rPr>
        <w:t xml:space="preserve">: </w:t>
      </w:r>
      <w:bookmarkEnd w:id="19"/>
      <w:r w:rsidR="006941AB" w:rsidRPr="00E66CF9">
        <w:rPr>
          <w:rFonts w:ascii="StobiSerif Regular" w:eastAsia="Times New Roman" w:hAnsi="StobiSerif Regular" w:cs="Times New Roman"/>
          <w:b/>
          <w:bCs/>
        </w:rPr>
        <w:t>Преглед на апликации по мерки</w:t>
      </w:r>
      <w:bookmarkEnd w:id="20"/>
    </w:p>
    <w:tbl>
      <w:tblPr>
        <w:tblW w:w="8647"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45"/>
        <w:gridCol w:w="1099"/>
        <w:gridCol w:w="149"/>
        <w:gridCol w:w="1131"/>
        <w:gridCol w:w="1275"/>
        <w:gridCol w:w="1133"/>
        <w:gridCol w:w="1139"/>
        <w:gridCol w:w="1276"/>
      </w:tblGrid>
      <w:tr w:rsidR="008B3322" w:rsidRPr="00E66CF9" w:rsidTr="00E66CF9">
        <w:trPr>
          <w:trHeight w:val="139"/>
        </w:trPr>
        <w:tc>
          <w:tcPr>
            <w:tcW w:w="1445" w:type="dxa"/>
            <w:vMerge w:val="restart"/>
            <w:vAlign w:val="center"/>
            <w:hideMark/>
          </w:tcPr>
          <w:p w:rsidR="008B3322" w:rsidRPr="00E66CF9" w:rsidRDefault="00FA1B5E">
            <w:pPr>
              <w:pStyle w:val="NoSpacing"/>
              <w:spacing w:line="276" w:lineRule="auto"/>
              <w:rPr>
                <w:rFonts w:ascii="StobiSerif Regular" w:hAnsi="StobiSerif Regular"/>
                <w:sz w:val="16"/>
                <w:szCs w:val="16"/>
              </w:rPr>
            </w:pPr>
            <w:r w:rsidRPr="00E66CF9">
              <w:rPr>
                <w:rFonts w:ascii="StobiSerif Regular" w:hAnsi="StobiSerif Regular"/>
                <w:sz w:val="16"/>
                <w:szCs w:val="16"/>
              </w:rPr>
              <w:t xml:space="preserve">Мерки </w:t>
            </w:r>
          </w:p>
        </w:tc>
        <w:tc>
          <w:tcPr>
            <w:tcW w:w="1248" w:type="dxa"/>
            <w:gridSpan w:val="2"/>
            <w:shd w:val="clear" w:color="auto" w:fill="D9D9D9" w:themeFill="background1" w:themeFillShade="D9"/>
            <w:vAlign w:val="center"/>
            <w:hideMark/>
          </w:tcPr>
          <w:p w:rsidR="008B3322" w:rsidRPr="00E66CF9" w:rsidRDefault="00FA1B5E">
            <w:pPr>
              <w:pStyle w:val="NoSpacing"/>
              <w:spacing w:line="276" w:lineRule="auto"/>
              <w:jc w:val="center"/>
              <w:rPr>
                <w:rFonts w:ascii="StobiSerif Regular" w:hAnsi="StobiSerif Regular"/>
                <w:b/>
                <w:sz w:val="16"/>
                <w:szCs w:val="16"/>
              </w:rPr>
            </w:pPr>
            <w:r w:rsidRPr="00E66CF9">
              <w:rPr>
                <w:rFonts w:ascii="StobiSerif Regular" w:hAnsi="StobiSerif Regular"/>
                <w:b/>
                <w:sz w:val="16"/>
                <w:szCs w:val="16"/>
              </w:rPr>
              <w:t xml:space="preserve">Поднесени </w:t>
            </w:r>
          </w:p>
        </w:tc>
        <w:tc>
          <w:tcPr>
            <w:tcW w:w="1131" w:type="dxa"/>
            <w:shd w:val="clear" w:color="auto" w:fill="D9D9D9" w:themeFill="background1" w:themeFillShade="D9"/>
            <w:vAlign w:val="center"/>
          </w:tcPr>
          <w:p w:rsidR="008B3322" w:rsidRPr="00E66CF9" w:rsidRDefault="00FA1B5E">
            <w:pPr>
              <w:pStyle w:val="NoSpacing"/>
              <w:spacing w:line="276" w:lineRule="auto"/>
              <w:jc w:val="center"/>
              <w:rPr>
                <w:rFonts w:ascii="StobiSerif Regular" w:hAnsi="StobiSerif Regular"/>
                <w:b/>
                <w:sz w:val="16"/>
                <w:szCs w:val="16"/>
              </w:rPr>
            </w:pPr>
            <w:r w:rsidRPr="00E66CF9">
              <w:rPr>
                <w:rFonts w:ascii="StobiSerif Regular" w:hAnsi="StobiSerif Regular"/>
                <w:b/>
                <w:sz w:val="16"/>
                <w:szCs w:val="16"/>
              </w:rPr>
              <w:t xml:space="preserve">Одбиени </w:t>
            </w:r>
          </w:p>
        </w:tc>
        <w:tc>
          <w:tcPr>
            <w:tcW w:w="1275" w:type="dxa"/>
            <w:shd w:val="clear" w:color="auto" w:fill="D9D9D9" w:themeFill="background1" w:themeFillShade="D9"/>
            <w:vAlign w:val="center"/>
          </w:tcPr>
          <w:p w:rsidR="008B3322" w:rsidRPr="00E66CF9" w:rsidRDefault="00FA1B5E">
            <w:pPr>
              <w:pStyle w:val="NoSpacing"/>
              <w:spacing w:line="276" w:lineRule="auto"/>
              <w:jc w:val="center"/>
              <w:rPr>
                <w:rFonts w:ascii="StobiSerif Regular" w:hAnsi="StobiSerif Regular"/>
                <w:b/>
                <w:sz w:val="16"/>
                <w:szCs w:val="16"/>
              </w:rPr>
            </w:pPr>
            <w:r w:rsidRPr="00E66CF9">
              <w:rPr>
                <w:rFonts w:ascii="StobiSerif Regular" w:hAnsi="StobiSerif Regular"/>
                <w:b/>
                <w:sz w:val="16"/>
                <w:szCs w:val="16"/>
              </w:rPr>
              <w:t xml:space="preserve">Одобрени </w:t>
            </w:r>
          </w:p>
        </w:tc>
        <w:tc>
          <w:tcPr>
            <w:tcW w:w="1133" w:type="dxa"/>
            <w:shd w:val="clear" w:color="auto" w:fill="D9D9D9" w:themeFill="background1" w:themeFillShade="D9"/>
            <w:vAlign w:val="center"/>
          </w:tcPr>
          <w:p w:rsidR="008B3322" w:rsidRPr="00E66CF9" w:rsidRDefault="00FA1B5E">
            <w:pPr>
              <w:pStyle w:val="NoSpacing"/>
              <w:spacing w:line="276" w:lineRule="auto"/>
              <w:jc w:val="center"/>
              <w:rPr>
                <w:rFonts w:ascii="StobiSerif Regular" w:hAnsi="StobiSerif Regular"/>
                <w:b/>
                <w:sz w:val="16"/>
                <w:szCs w:val="16"/>
              </w:rPr>
            </w:pPr>
            <w:r w:rsidRPr="00E66CF9">
              <w:rPr>
                <w:rFonts w:ascii="StobiSerif Regular" w:hAnsi="StobiSerif Regular"/>
                <w:b/>
                <w:sz w:val="16"/>
                <w:szCs w:val="16"/>
              </w:rPr>
              <w:t xml:space="preserve">Раскинати </w:t>
            </w:r>
          </w:p>
        </w:tc>
        <w:tc>
          <w:tcPr>
            <w:tcW w:w="1139" w:type="dxa"/>
            <w:shd w:val="clear" w:color="auto" w:fill="D9D9D9" w:themeFill="background1" w:themeFillShade="D9"/>
            <w:vAlign w:val="center"/>
          </w:tcPr>
          <w:p w:rsidR="008B3322" w:rsidRPr="00E66CF9" w:rsidRDefault="00FA1B5E">
            <w:pPr>
              <w:pStyle w:val="NoSpacing"/>
              <w:spacing w:line="276" w:lineRule="auto"/>
              <w:jc w:val="center"/>
              <w:rPr>
                <w:rFonts w:ascii="StobiSerif Regular" w:hAnsi="StobiSerif Regular"/>
                <w:b/>
                <w:sz w:val="16"/>
                <w:szCs w:val="16"/>
              </w:rPr>
            </w:pPr>
            <w:r w:rsidRPr="00E66CF9">
              <w:rPr>
                <w:rFonts w:ascii="StobiSerif Regular" w:hAnsi="StobiSerif Regular"/>
                <w:b/>
                <w:sz w:val="16"/>
                <w:szCs w:val="16"/>
              </w:rPr>
              <w:t xml:space="preserve">Исплатени </w:t>
            </w:r>
          </w:p>
        </w:tc>
        <w:tc>
          <w:tcPr>
            <w:tcW w:w="1276" w:type="dxa"/>
            <w:shd w:val="clear" w:color="auto" w:fill="D9D9D9" w:themeFill="background1" w:themeFillShade="D9"/>
            <w:vAlign w:val="center"/>
          </w:tcPr>
          <w:p w:rsidR="008B3322" w:rsidRPr="00E66CF9" w:rsidRDefault="008B3322" w:rsidP="00FA1B5E">
            <w:pPr>
              <w:pStyle w:val="NoSpacing"/>
              <w:spacing w:line="276" w:lineRule="auto"/>
              <w:jc w:val="center"/>
              <w:rPr>
                <w:rFonts w:ascii="StobiSerif Regular" w:hAnsi="StobiSerif Regular"/>
                <w:b/>
                <w:sz w:val="16"/>
                <w:szCs w:val="16"/>
              </w:rPr>
            </w:pPr>
            <w:r w:rsidRPr="00E66CF9">
              <w:rPr>
                <w:rFonts w:ascii="StobiSerif Regular" w:hAnsi="StobiSerif Regular"/>
                <w:b/>
                <w:sz w:val="16"/>
                <w:szCs w:val="16"/>
                <w:lang w:val="en-US"/>
              </w:rPr>
              <w:t xml:space="preserve">% </w:t>
            </w:r>
            <w:r w:rsidR="00FA1B5E" w:rsidRPr="00E66CF9">
              <w:rPr>
                <w:rFonts w:ascii="StobiSerif Regular" w:hAnsi="StobiSerif Regular"/>
                <w:b/>
                <w:sz w:val="16"/>
                <w:szCs w:val="16"/>
              </w:rPr>
              <w:t>на исплата</w:t>
            </w:r>
          </w:p>
        </w:tc>
      </w:tr>
      <w:tr w:rsidR="008B3322" w:rsidRPr="000B5E5D" w:rsidTr="00FA1B5E">
        <w:trPr>
          <w:trHeight w:val="156"/>
        </w:trPr>
        <w:tc>
          <w:tcPr>
            <w:tcW w:w="1445" w:type="dxa"/>
            <w:vMerge/>
            <w:vAlign w:val="center"/>
            <w:hideMark/>
          </w:tcPr>
          <w:p w:rsidR="00D66B68" w:rsidRPr="00E66CF9" w:rsidRDefault="00D66B68">
            <w:pPr>
              <w:spacing w:after="0" w:line="240" w:lineRule="auto"/>
              <w:rPr>
                <w:rFonts w:ascii="StobiSerif Regular" w:hAnsi="StobiSerif Regular"/>
                <w:b/>
                <w:sz w:val="16"/>
                <w:szCs w:val="16"/>
                <w:lang w:val="en-GB"/>
              </w:rPr>
            </w:pPr>
          </w:p>
        </w:tc>
        <w:tc>
          <w:tcPr>
            <w:tcW w:w="1099" w:type="dxa"/>
            <w:vAlign w:val="center"/>
            <w:hideMark/>
          </w:tcPr>
          <w:p w:rsidR="00D66B68" w:rsidRPr="000B5E5D" w:rsidRDefault="008B3322" w:rsidP="003F19F0">
            <w:pPr>
              <w:pStyle w:val="NoSpacing"/>
              <w:spacing w:line="276" w:lineRule="auto"/>
              <w:jc w:val="center"/>
              <w:rPr>
                <w:rFonts w:ascii="StobiSerif Regular" w:hAnsi="StobiSerif Regular"/>
                <w:sz w:val="10"/>
                <w:szCs w:val="10"/>
                <w:lang w:val="en-US"/>
              </w:rPr>
            </w:pPr>
            <w:r w:rsidRPr="000B5E5D">
              <w:rPr>
                <w:rFonts w:ascii="StobiSerif Regular" w:hAnsi="StobiSerif Regular"/>
                <w:sz w:val="10"/>
                <w:szCs w:val="10"/>
                <w:lang w:val="en-US"/>
              </w:rPr>
              <w:t>1</w:t>
            </w:r>
          </w:p>
        </w:tc>
        <w:tc>
          <w:tcPr>
            <w:tcW w:w="1280" w:type="dxa"/>
            <w:gridSpan w:val="2"/>
            <w:vAlign w:val="center"/>
            <w:hideMark/>
          </w:tcPr>
          <w:p w:rsidR="00D66B68" w:rsidRPr="000B5E5D" w:rsidRDefault="008B3322" w:rsidP="003F19F0">
            <w:pPr>
              <w:pStyle w:val="NoSpacing"/>
              <w:spacing w:line="276" w:lineRule="auto"/>
              <w:jc w:val="center"/>
              <w:rPr>
                <w:rFonts w:ascii="StobiSerif Regular" w:hAnsi="StobiSerif Regular"/>
                <w:sz w:val="10"/>
                <w:szCs w:val="10"/>
                <w:lang w:val="en-US"/>
              </w:rPr>
            </w:pPr>
            <w:r w:rsidRPr="000B5E5D">
              <w:rPr>
                <w:rFonts w:ascii="StobiSerif Regular" w:hAnsi="StobiSerif Regular"/>
                <w:sz w:val="10"/>
                <w:szCs w:val="10"/>
                <w:lang w:val="en-US"/>
              </w:rPr>
              <w:t>2</w:t>
            </w:r>
          </w:p>
        </w:tc>
        <w:tc>
          <w:tcPr>
            <w:tcW w:w="1275" w:type="dxa"/>
            <w:vAlign w:val="center"/>
            <w:hideMark/>
          </w:tcPr>
          <w:p w:rsidR="00D66B68" w:rsidRPr="000B5E5D" w:rsidRDefault="008B3322" w:rsidP="003F19F0">
            <w:pPr>
              <w:pStyle w:val="NoSpacing"/>
              <w:spacing w:line="276" w:lineRule="auto"/>
              <w:jc w:val="center"/>
              <w:rPr>
                <w:rFonts w:ascii="StobiSerif Regular" w:hAnsi="StobiSerif Regular"/>
                <w:sz w:val="10"/>
                <w:szCs w:val="10"/>
                <w:lang w:val="en-GB"/>
              </w:rPr>
            </w:pPr>
            <w:r w:rsidRPr="000B5E5D">
              <w:rPr>
                <w:rFonts w:ascii="StobiSerif Regular" w:hAnsi="StobiSerif Regular"/>
                <w:sz w:val="10"/>
                <w:szCs w:val="10"/>
                <w:lang w:val="en-GB"/>
              </w:rPr>
              <w:t>3</w:t>
            </w:r>
          </w:p>
        </w:tc>
        <w:tc>
          <w:tcPr>
            <w:tcW w:w="1133" w:type="dxa"/>
            <w:vAlign w:val="center"/>
            <w:hideMark/>
          </w:tcPr>
          <w:p w:rsidR="00D66B68" w:rsidRPr="000B5E5D" w:rsidRDefault="008B3322" w:rsidP="003F19F0">
            <w:pPr>
              <w:pStyle w:val="NoSpacing"/>
              <w:spacing w:line="276" w:lineRule="auto"/>
              <w:jc w:val="center"/>
              <w:rPr>
                <w:rFonts w:ascii="StobiSerif Regular" w:hAnsi="StobiSerif Regular"/>
                <w:sz w:val="10"/>
                <w:szCs w:val="10"/>
                <w:lang w:val="en-GB"/>
              </w:rPr>
            </w:pPr>
            <w:r w:rsidRPr="000B5E5D">
              <w:rPr>
                <w:rFonts w:ascii="StobiSerif Regular" w:hAnsi="StobiSerif Regular"/>
                <w:sz w:val="10"/>
                <w:szCs w:val="10"/>
                <w:lang w:val="en-GB"/>
              </w:rPr>
              <w:t>4</w:t>
            </w:r>
          </w:p>
        </w:tc>
        <w:tc>
          <w:tcPr>
            <w:tcW w:w="1139" w:type="dxa"/>
            <w:vAlign w:val="center"/>
            <w:hideMark/>
          </w:tcPr>
          <w:p w:rsidR="00D66B68" w:rsidRPr="000B5E5D" w:rsidRDefault="008B3322" w:rsidP="003F19F0">
            <w:pPr>
              <w:pStyle w:val="NoSpacing"/>
              <w:spacing w:line="276" w:lineRule="auto"/>
              <w:jc w:val="center"/>
              <w:rPr>
                <w:rFonts w:ascii="StobiSerif Regular" w:hAnsi="StobiSerif Regular"/>
                <w:sz w:val="10"/>
                <w:szCs w:val="10"/>
                <w:lang w:val="en-US"/>
              </w:rPr>
            </w:pPr>
            <w:r w:rsidRPr="000B5E5D">
              <w:rPr>
                <w:rFonts w:ascii="StobiSerif Regular" w:hAnsi="StobiSerif Regular"/>
                <w:sz w:val="10"/>
                <w:szCs w:val="10"/>
                <w:lang w:val="en-US"/>
              </w:rPr>
              <w:t>5</w:t>
            </w:r>
          </w:p>
        </w:tc>
        <w:tc>
          <w:tcPr>
            <w:tcW w:w="1276" w:type="dxa"/>
            <w:vAlign w:val="center"/>
          </w:tcPr>
          <w:p w:rsidR="00D66B68" w:rsidRPr="000B5E5D" w:rsidRDefault="008B3322" w:rsidP="003F19F0">
            <w:pPr>
              <w:pStyle w:val="NoSpacing"/>
              <w:spacing w:line="276" w:lineRule="auto"/>
              <w:jc w:val="center"/>
              <w:rPr>
                <w:rFonts w:ascii="StobiSerif Regular" w:hAnsi="StobiSerif Regular"/>
                <w:sz w:val="10"/>
                <w:szCs w:val="10"/>
                <w:lang w:val="en-US"/>
              </w:rPr>
            </w:pPr>
            <w:r w:rsidRPr="000B5E5D">
              <w:rPr>
                <w:rFonts w:ascii="StobiSerif Regular" w:hAnsi="StobiSerif Regular"/>
                <w:sz w:val="10"/>
                <w:szCs w:val="10"/>
                <w:lang w:val="en-US"/>
              </w:rPr>
              <w:t>5/1</w:t>
            </w:r>
          </w:p>
        </w:tc>
      </w:tr>
      <w:tr w:rsidR="008B3322" w:rsidRPr="000B5E5D" w:rsidTr="00FA1B5E">
        <w:tc>
          <w:tcPr>
            <w:tcW w:w="1445" w:type="dxa"/>
            <w:vAlign w:val="center"/>
            <w:hideMark/>
          </w:tcPr>
          <w:p w:rsidR="00D66B68" w:rsidRPr="00E66CF9" w:rsidRDefault="00D66B68">
            <w:pPr>
              <w:pStyle w:val="NoSpacing"/>
              <w:spacing w:line="276" w:lineRule="auto"/>
              <w:rPr>
                <w:rFonts w:ascii="StobiSerif Regular" w:hAnsi="StobiSerif Regular"/>
                <w:b/>
                <w:sz w:val="16"/>
                <w:szCs w:val="16"/>
                <w:lang w:val="en-GB"/>
              </w:rPr>
            </w:pPr>
            <w:r w:rsidRPr="00E66CF9">
              <w:rPr>
                <w:rFonts w:ascii="StobiSerif Regular" w:hAnsi="StobiSerif Regular"/>
                <w:b/>
                <w:sz w:val="16"/>
                <w:szCs w:val="16"/>
                <w:lang w:val="en-GB"/>
              </w:rPr>
              <w:t>М101</w:t>
            </w:r>
          </w:p>
        </w:tc>
        <w:tc>
          <w:tcPr>
            <w:tcW w:w="1099" w:type="dxa"/>
            <w:vAlign w:val="center"/>
            <w:hideMark/>
          </w:tcPr>
          <w:p w:rsidR="00D66B68" w:rsidRPr="000B5E5D" w:rsidRDefault="00D66B68" w:rsidP="003F19F0">
            <w:pPr>
              <w:pStyle w:val="NoSpacing"/>
              <w:spacing w:line="276" w:lineRule="auto"/>
              <w:jc w:val="center"/>
              <w:rPr>
                <w:rFonts w:ascii="StobiSerif Regular" w:hAnsi="StobiSerif Regular"/>
                <w:sz w:val="16"/>
                <w:szCs w:val="16"/>
                <w:lang w:val="en-US"/>
              </w:rPr>
            </w:pPr>
            <w:r w:rsidRPr="000B5E5D">
              <w:rPr>
                <w:rFonts w:ascii="StobiSerif Regular" w:hAnsi="StobiSerif Regular"/>
                <w:sz w:val="16"/>
                <w:szCs w:val="16"/>
              </w:rPr>
              <w:t>2532</w:t>
            </w:r>
          </w:p>
        </w:tc>
        <w:tc>
          <w:tcPr>
            <w:tcW w:w="1280" w:type="dxa"/>
            <w:gridSpan w:val="2"/>
            <w:vAlign w:val="center"/>
            <w:hideMark/>
          </w:tcPr>
          <w:p w:rsidR="00D66B68" w:rsidRPr="000B5E5D" w:rsidRDefault="00D66B68" w:rsidP="003F19F0">
            <w:pPr>
              <w:pStyle w:val="NoSpacing"/>
              <w:spacing w:line="276" w:lineRule="auto"/>
              <w:jc w:val="center"/>
              <w:rPr>
                <w:rFonts w:ascii="StobiSerif Regular" w:hAnsi="StobiSerif Regular"/>
                <w:sz w:val="16"/>
                <w:szCs w:val="16"/>
                <w:lang w:val="en-US"/>
              </w:rPr>
            </w:pPr>
            <w:r w:rsidRPr="000B5E5D">
              <w:rPr>
                <w:rFonts w:ascii="StobiSerif Regular" w:hAnsi="StobiSerif Regular"/>
                <w:sz w:val="16"/>
                <w:szCs w:val="16"/>
                <w:lang w:val="en-US"/>
              </w:rPr>
              <w:t>1266</w:t>
            </w:r>
          </w:p>
        </w:tc>
        <w:tc>
          <w:tcPr>
            <w:tcW w:w="1275" w:type="dxa"/>
            <w:vAlign w:val="center"/>
            <w:hideMark/>
          </w:tcPr>
          <w:p w:rsidR="00D66B68" w:rsidRPr="000B5E5D" w:rsidRDefault="00D66B68" w:rsidP="003F19F0">
            <w:pPr>
              <w:pStyle w:val="NoSpacing"/>
              <w:spacing w:line="276" w:lineRule="auto"/>
              <w:jc w:val="center"/>
              <w:rPr>
                <w:rFonts w:ascii="StobiSerif Regular" w:hAnsi="StobiSerif Regular" w:cs="Arial"/>
                <w:sz w:val="16"/>
                <w:szCs w:val="16"/>
              </w:rPr>
            </w:pPr>
            <w:r w:rsidRPr="000B5E5D">
              <w:rPr>
                <w:rFonts w:ascii="StobiSerif Regular" w:hAnsi="StobiSerif Regular" w:cs="Arial"/>
                <w:sz w:val="16"/>
                <w:szCs w:val="16"/>
              </w:rPr>
              <w:t>1266</w:t>
            </w:r>
          </w:p>
        </w:tc>
        <w:tc>
          <w:tcPr>
            <w:tcW w:w="1133" w:type="dxa"/>
            <w:vAlign w:val="center"/>
            <w:hideMark/>
          </w:tcPr>
          <w:p w:rsidR="00D66B68" w:rsidRPr="000B5E5D" w:rsidRDefault="00D66B68" w:rsidP="003F19F0">
            <w:pPr>
              <w:pStyle w:val="NoSpacing"/>
              <w:spacing w:line="276" w:lineRule="auto"/>
              <w:jc w:val="center"/>
              <w:rPr>
                <w:rFonts w:ascii="StobiSerif Regular" w:hAnsi="StobiSerif Regular"/>
                <w:sz w:val="16"/>
                <w:szCs w:val="16"/>
              </w:rPr>
            </w:pPr>
            <w:r w:rsidRPr="000B5E5D">
              <w:rPr>
                <w:rFonts w:ascii="StobiSerif Regular" w:hAnsi="StobiSerif Regular"/>
                <w:sz w:val="16"/>
                <w:szCs w:val="16"/>
              </w:rPr>
              <w:t>141</w:t>
            </w:r>
          </w:p>
        </w:tc>
        <w:tc>
          <w:tcPr>
            <w:tcW w:w="1139" w:type="dxa"/>
            <w:vAlign w:val="center"/>
            <w:hideMark/>
          </w:tcPr>
          <w:p w:rsidR="00D66B68" w:rsidRPr="000B5E5D" w:rsidRDefault="00D66B68" w:rsidP="003F19F0">
            <w:pPr>
              <w:pStyle w:val="NoSpacing"/>
              <w:spacing w:line="276" w:lineRule="auto"/>
              <w:jc w:val="center"/>
              <w:rPr>
                <w:rFonts w:ascii="StobiSerif Regular" w:hAnsi="StobiSerif Regular" w:cs="Arial"/>
                <w:sz w:val="16"/>
                <w:szCs w:val="16"/>
              </w:rPr>
            </w:pPr>
            <w:r w:rsidRPr="000B5E5D">
              <w:rPr>
                <w:rFonts w:ascii="StobiSerif Regular" w:hAnsi="StobiSerif Regular" w:cs="Arial"/>
                <w:sz w:val="16"/>
                <w:szCs w:val="16"/>
              </w:rPr>
              <w:t>693</w:t>
            </w:r>
          </w:p>
        </w:tc>
        <w:tc>
          <w:tcPr>
            <w:tcW w:w="1276" w:type="dxa"/>
            <w:vAlign w:val="center"/>
          </w:tcPr>
          <w:p w:rsidR="00D66B68" w:rsidRPr="000B5E5D" w:rsidRDefault="00D66B68" w:rsidP="003F19F0">
            <w:pPr>
              <w:pStyle w:val="NoSpacing"/>
              <w:spacing w:line="276" w:lineRule="auto"/>
              <w:jc w:val="center"/>
              <w:rPr>
                <w:rFonts w:ascii="StobiSerif Regular" w:hAnsi="StobiSerif Regular" w:cs="Arial"/>
                <w:sz w:val="16"/>
                <w:szCs w:val="16"/>
                <w:lang w:val="en-US"/>
              </w:rPr>
            </w:pPr>
            <w:r w:rsidRPr="000B5E5D">
              <w:rPr>
                <w:rFonts w:ascii="StobiSerif Regular" w:hAnsi="StobiSerif Regular" w:cs="Arial"/>
                <w:sz w:val="16"/>
                <w:szCs w:val="16"/>
                <w:lang w:val="en-US"/>
              </w:rPr>
              <w:t>27.3</w:t>
            </w:r>
            <w:r w:rsidR="008B3322" w:rsidRPr="000B5E5D">
              <w:rPr>
                <w:rFonts w:ascii="StobiSerif Regular" w:hAnsi="StobiSerif Regular" w:cs="Arial"/>
                <w:sz w:val="16"/>
                <w:szCs w:val="16"/>
                <w:lang w:val="en-US"/>
              </w:rPr>
              <w:t>%</w:t>
            </w:r>
          </w:p>
        </w:tc>
      </w:tr>
      <w:tr w:rsidR="008B3322" w:rsidRPr="000B5E5D" w:rsidTr="00FA1B5E">
        <w:tc>
          <w:tcPr>
            <w:tcW w:w="1445" w:type="dxa"/>
            <w:vAlign w:val="center"/>
            <w:hideMark/>
          </w:tcPr>
          <w:p w:rsidR="00D66B68" w:rsidRPr="00E66CF9" w:rsidRDefault="00D66B68">
            <w:pPr>
              <w:pStyle w:val="NoSpacing"/>
              <w:spacing w:line="276" w:lineRule="auto"/>
              <w:rPr>
                <w:rFonts w:ascii="StobiSerif Regular" w:hAnsi="StobiSerif Regular"/>
                <w:b/>
                <w:sz w:val="16"/>
                <w:szCs w:val="16"/>
                <w:lang w:val="en-GB"/>
              </w:rPr>
            </w:pPr>
            <w:r w:rsidRPr="00E66CF9">
              <w:rPr>
                <w:rFonts w:ascii="StobiSerif Regular" w:hAnsi="StobiSerif Regular"/>
                <w:b/>
                <w:sz w:val="16"/>
                <w:szCs w:val="16"/>
                <w:lang w:val="en-GB"/>
              </w:rPr>
              <w:t>М103</w:t>
            </w:r>
          </w:p>
        </w:tc>
        <w:tc>
          <w:tcPr>
            <w:tcW w:w="1099" w:type="dxa"/>
            <w:vAlign w:val="center"/>
            <w:hideMark/>
          </w:tcPr>
          <w:p w:rsidR="00D66B68" w:rsidRPr="000B5E5D" w:rsidRDefault="00D66B68" w:rsidP="003F19F0">
            <w:pPr>
              <w:pStyle w:val="NoSpacing"/>
              <w:spacing w:line="276" w:lineRule="auto"/>
              <w:jc w:val="center"/>
              <w:rPr>
                <w:rFonts w:ascii="StobiSerif Regular" w:hAnsi="StobiSerif Regular"/>
                <w:sz w:val="16"/>
                <w:szCs w:val="16"/>
                <w:lang w:val="en-US"/>
              </w:rPr>
            </w:pPr>
            <w:r w:rsidRPr="000B5E5D">
              <w:rPr>
                <w:rFonts w:ascii="StobiSerif Regular" w:hAnsi="StobiSerif Regular"/>
                <w:sz w:val="16"/>
                <w:szCs w:val="16"/>
              </w:rPr>
              <w:t>193</w:t>
            </w:r>
          </w:p>
        </w:tc>
        <w:tc>
          <w:tcPr>
            <w:tcW w:w="1280" w:type="dxa"/>
            <w:gridSpan w:val="2"/>
            <w:vAlign w:val="center"/>
            <w:hideMark/>
          </w:tcPr>
          <w:p w:rsidR="00D66B68" w:rsidRPr="000B5E5D" w:rsidRDefault="00D66B68" w:rsidP="003F19F0">
            <w:pPr>
              <w:pStyle w:val="NoSpacing"/>
              <w:spacing w:line="276" w:lineRule="auto"/>
              <w:jc w:val="center"/>
              <w:rPr>
                <w:rFonts w:ascii="StobiSerif Regular" w:hAnsi="StobiSerif Regular"/>
                <w:sz w:val="16"/>
                <w:szCs w:val="16"/>
                <w:lang w:val="en-US"/>
              </w:rPr>
            </w:pPr>
            <w:r w:rsidRPr="000B5E5D">
              <w:rPr>
                <w:rFonts w:ascii="StobiSerif Regular" w:hAnsi="StobiSerif Regular"/>
                <w:sz w:val="16"/>
                <w:szCs w:val="16"/>
                <w:lang w:val="en-US"/>
              </w:rPr>
              <w:t>128</w:t>
            </w:r>
          </w:p>
        </w:tc>
        <w:tc>
          <w:tcPr>
            <w:tcW w:w="1275" w:type="dxa"/>
            <w:vAlign w:val="center"/>
            <w:hideMark/>
          </w:tcPr>
          <w:p w:rsidR="00D66B68" w:rsidRPr="000B5E5D" w:rsidRDefault="00D66B68" w:rsidP="003F19F0">
            <w:pPr>
              <w:pStyle w:val="NoSpacing"/>
              <w:spacing w:line="276" w:lineRule="auto"/>
              <w:jc w:val="center"/>
              <w:rPr>
                <w:rFonts w:ascii="StobiSerif Regular" w:hAnsi="StobiSerif Regular" w:cs="Arial"/>
                <w:sz w:val="16"/>
                <w:szCs w:val="16"/>
              </w:rPr>
            </w:pPr>
            <w:r w:rsidRPr="000B5E5D">
              <w:rPr>
                <w:rFonts w:ascii="StobiSerif Regular" w:hAnsi="StobiSerif Regular" w:cs="Arial"/>
                <w:sz w:val="16"/>
                <w:szCs w:val="16"/>
              </w:rPr>
              <w:t>65</w:t>
            </w:r>
          </w:p>
        </w:tc>
        <w:tc>
          <w:tcPr>
            <w:tcW w:w="1133" w:type="dxa"/>
            <w:vAlign w:val="center"/>
            <w:hideMark/>
          </w:tcPr>
          <w:p w:rsidR="00D66B68" w:rsidRPr="000B5E5D" w:rsidRDefault="00D66B68" w:rsidP="003F19F0">
            <w:pPr>
              <w:pStyle w:val="NoSpacing"/>
              <w:spacing w:line="276" w:lineRule="auto"/>
              <w:jc w:val="center"/>
              <w:rPr>
                <w:rFonts w:ascii="StobiSerif Regular" w:hAnsi="StobiSerif Regular"/>
                <w:sz w:val="16"/>
                <w:szCs w:val="16"/>
              </w:rPr>
            </w:pPr>
            <w:r w:rsidRPr="000B5E5D">
              <w:rPr>
                <w:rFonts w:ascii="StobiSerif Regular" w:hAnsi="StobiSerif Regular"/>
                <w:sz w:val="16"/>
                <w:szCs w:val="16"/>
              </w:rPr>
              <w:t>22</w:t>
            </w:r>
          </w:p>
        </w:tc>
        <w:tc>
          <w:tcPr>
            <w:tcW w:w="1139" w:type="dxa"/>
            <w:vAlign w:val="center"/>
            <w:hideMark/>
          </w:tcPr>
          <w:p w:rsidR="00D66B68" w:rsidRPr="000B5E5D" w:rsidRDefault="00D66B68" w:rsidP="003F19F0">
            <w:pPr>
              <w:pStyle w:val="NoSpacing"/>
              <w:spacing w:line="276" w:lineRule="auto"/>
              <w:jc w:val="center"/>
              <w:rPr>
                <w:rFonts w:ascii="StobiSerif Regular" w:hAnsi="StobiSerif Regular" w:cs="Arial"/>
                <w:sz w:val="16"/>
                <w:szCs w:val="16"/>
              </w:rPr>
            </w:pPr>
            <w:r w:rsidRPr="000B5E5D">
              <w:rPr>
                <w:rFonts w:ascii="StobiSerif Regular" w:hAnsi="StobiSerif Regular" w:cs="Arial"/>
                <w:sz w:val="16"/>
                <w:szCs w:val="16"/>
              </w:rPr>
              <w:t>37</w:t>
            </w:r>
          </w:p>
        </w:tc>
        <w:tc>
          <w:tcPr>
            <w:tcW w:w="1276" w:type="dxa"/>
            <w:vAlign w:val="center"/>
          </w:tcPr>
          <w:p w:rsidR="00D66B68" w:rsidRPr="000B5E5D" w:rsidRDefault="00D66B68" w:rsidP="003F19F0">
            <w:pPr>
              <w:pStyle w:val="NoSpacing"/>
              <w:spacing w:line="276" w:lineRule="auto"/>
              <w:jc w:val="center"/>
              <w:rPr>
                <w:rFonts w:ascii="StobiSerif Regular" w:hAnsi="StobiSerif Regular" w:cs="Arial"/>
                <w:sz w:val="16"/>
                <w:szCs w:val="16"/>
                <w:lang w:val="en-US"/>
              </w:rPr>
            </w:pPr>
            <w:r w:rsidRPr="000B5E5D">
              <w:rPr>
                <w:rFonts w:ascii="StobiSerif Regular" w:hAnsi="StobiSerif Regular" w:cs="Arial"/>
                <w:sz w:val="16"/>
                <w:szCs w:val="16"/>
                <w:lang w:val="en-US"/>
              </w:rPr>
              <w:t>19.1</w:t>
            </w:r>
            <w:r w:rsidR="008B3322" w:rsidRPr="000B5E5D">
              <w:rPr>
                <w:rFonts w:ascii="StobiSerif Regular" w:hAnsi="StobiSerif Regular" w:cs="Arial"/>
                <w:sz w:val="16"/>
                <w:szCs w:val="16"/>
                <w:lang w:val="en-US"/>
              </w:rPr>
              <w:t>%</w:t>
            </w:r>
          </w:p>
        </w:tc>
      </w:tr>
      <w:tr w:rsidR="008B3322" w:rsidRPr="000B5E5D" w:rsidTr="00FA1B5E">
        <w:tc>
          <w:tcPr>
            <w:tcW w:w="1445" w:type="dxa"/>
            <w:vAlign w:val="center"/>
            <w:hideMark/>
          </w:tcPr>
          <w:p w:rsidR="00D66B68" w:rsidRPr="00E66CF9" w:rsidRDefault="00D66B68">
            <w:pPr>
              <w:pStyle w:val="NoSpacing"/>
              <w:spacing w:line="276" w:lineRule="auto"/>
              <w:rPr>
                <w:rFonts w:ascii="StobiSerif Regular" w:hAnsi="StobiSerif Regular"/>
                <w:b/>
                <w:sz w:val="16"/>
                <w:szCs w:val="16"/>
                <w:lang w:val="en-GB"/>
              </w:rPr>
            </w:pPr>
            <w:r w:rsidRPr="00E66CF9">
              <w:rPr>
                <w:rFonts w:ascii="StobiSerif Regular" w:hAnsi="StobiSerif Regular"/>
                <w:b/>
                <w:sz w:val="16"/>
                <w:szCs w:val="16"/>
                <w:lang w:val="en-GB"/>
              </w:rPr>
              <w:t>М302</w:t>
            </w:r>
          </w:p>
        </w:tc>
        <w:tc>
          <w:tcPr>
            <w:tcW w:w="1099" w:type="dxa"/>
            <w:vAlign w:val="center"/>
            <w:hideMark/>
          </w:tcPr>
          <w:p w:rsidR="00D66B68" w:rsidRPr="000B5E5D" w:rsidRDefault="00D66B68" w:rsidP="003F19F0">
            <w:pPr>
              <w:pStyle w:val="NoSpacing"/>
              <w:spacing w:line="276" w:lineRule="auto"/>
              <w:jc w:val="center"/>
              <w:rPr>
                <w:rFonts w:ascii="StobiSerif Regular" w:hAnsi="StobiSerif Regular"/>
                <w:sz w:val="16"/>
                <w:szCs w:val="16"/>
                <w:lang w:val="en-US"/>
              </w:rPr>
            </w:pPr>
            <w:r w:rsidRPr="000B5E5D">
              <w:rPr>
                <w:rFonts w:ascii="StobiSerif Regular" w:hAnsi="StobiSerif Regular"/>
                <w:sz w:val="16"/>
                <w:szCs w:val="16"/>
              </w:rPr>
              <w:t>362</w:t>
            </w:r>
          </w:p>
        </w:tc>
        <w:tc>
          <w:tcPr>
            <w:tcW w:w="1280" w:type="dxa"/>
            <w:gridSpan w:val="2"/>
            <w:vAlign w:val="center"/>
            <w:hideMark/>
          </w:tcPr>
          <w:p w:rsidR="00D66B68" w:rsidRPr="000B5E5D" w:rsidRDefault="00D66B68" w:rsidP="003F19F0">
            <w:pPr>
              <w:pStyle w:val="NoSpacing"/>
              <w:spacing w:line="276" w:lineRule="auto"/>
              <w:jc w:val="center"/>
              <w:rPr>
                <w:rFonts w:ascii="StobiSerif Regular" w:hAnsi="StobiSerif Regular"/>
                <w:sz w:val="16"/>
                <w:szCs w:val="16"/>
                <w:lang w:val="en-US"/>
              </w:rPr>
            </w:pPr>
            <w:r w:rsidRPr="000B5E5D">
              <w:rPr>
                <w:rFonts w:ascii="StobiSerif Regular" w:hAnsi="StobiSerif Regular"/>
                <w:sz w:val="16"/>
                <w:szCs w:val="16"/>
                <w:lang w:val="en-US"/>
              </w:rPr>
              <w:t>324</w:t>
            </w:r>
          </w:p>
        </w:tc>
        <w:tc>
          <w:tcPr>
            <w:tcW w:w="1275" w:type="dxa"/>
            <w:vAlign w:val="center"/>
            <w:hideMark/>
          </w:tcPr>
          <w:p w:rsidR="00D66B68" w:rsidRPr="000B5E5D" w:rsidRDefault="00D66B68" w:rsidP="003F19F0">
            <w:pPr>
              <w:pStyle w:val="NoSpacing"/>
              <w:spacing w:line="276" w:lineRule="auto"/>
              <w:jc w:val="center"/>
              <w:rPr>
                <w:rFonts w:ascii="StobiSerif Regular" w:hAnsi="StobiSerif Regular" w:cs="Arial"/>
                <w:sz w:val="16"/>
                <w:szCs w:val="16"/>
              </w:rPr>
            </w:pPr>
            <w:r w:rsidRPr="000B5E5D">
              <w:rPr>
                <w:rFonts w:ascii="StobiSerif Regular" w:hAnsi="StobiSerif Regular" w:cs="Arial"/>
                <w:sz w:val="16"/>
                <w:szCs w:val="16"/>
              </w:rPr>
              <w:t>38</w:t>
            </w:r>
          </w:p>
        </w:tc>
        <w:tc>
          <w:tcPr>
            <w:tcW w:w="1133" w:type="dxa"/>
            <w:vAlign w:val="center"/>
            <w:hideMark/>
          </w:tcPr>
          <w:p w:rsidR="00D66B68" w:rsidRPr="000B5E5D" w:rsidRDefault="00D66B68" w:rsidP="003F19F0">
            <w:pPr>
              <w:pStyle w:val="NoSpacing"/>
              <w:spacing w:line="276" w:lineRule="auto"/>
              <w:jc w:val="center"/>
              <w:rPr>
                <w:rFonts w:ascii="StobiSerif Regular" w:hAnsi="StobiSerif Regular"/>
                <w:sz w:val="16"/>
                <w:szCs w:val="16"/>
              </w:rPr>
            </w:pPr>
            <w:r w:rsidRPr="000B5E5D">
              <w:rPr>
                <w:rFonts w:ascii="StobiSerif Regular" w:hAnsi="StobiSerif Regular"/>
                <w:sz w:val="16"/>
                <w:szCs w:val="16"/>
              </w:rPr>
              <w:t>13</w:t>
            </w:r>
          </w:p>
        </w:tc>
        <w:tc>
          <w:tcPr>
            <w:tcW w:w="1139" w:type="dxa"/>
            <w:vAlign w:val="center"/>
            <w:hideMark/>
          </w:tcPr>
          <w:p w:rsidR="00D66B68" w:rsidRPr="000B5E5D" w:rsidRDefault="00D66B68" w:rsidP="003F19F0">
            <w:pPr>
              <w:pStyle w:val="NoSpacing"/>
              <w:spacing w:line="276" w:lineRule="auto"/>
              <w:jc w:val="center"/>
              <w:rPr>
                <w:rFonts w:ascii="StobiSerif Regular" w:hAnsi="StobiSerif Regular" w:cs="Arial"/>
                <w:sz w:val="16"/>
                <w:szCs w:val="16"/>
              </w:rPr>
            </w:pPr>
            <w:r w:rsidRPr="000B5E5D">
              <w:rPr>
                <w:rFonts w:ascii="StobiSerif Regular" w:hAnsi="StobiSerif Regular" w:cs="Arial"/>
                <w:sz w:val="16"/>
                <w:szCs w:val="16"/>
              </w:rPr>
              <w:t>8</w:t>
            </w:r>
          </w:p>
        </w:tc>
        <w:tc>
          <w:tcPr>
            <w:tcW w:w="1276" w:type="dxa"/>
            <w:vAlign w:val="center"/>
          </w:tcPr>
          <w:p w:rsidR="00D66B68" w:rsidRPr="000B5E5D" w:rsidRDefault="00D66B68" w:rsidP="003F19F0">
            <w:pPr>
              <w:pStyle w:val="NoSpacing"/>
              <w:spacing w:line="276" w:lineRule="auto"/>
              <w:jc w:val="center"/>
              <w:rPr>
                <w:rFonts w:ascii="StobiSerif Regular" w:hAnsi="StobiSerif Regular" w:cs="Arial"/>
                <w:sz w:val="16"/>
                <w:szCs w:val="16"/>
                <w:lang w:val="en-US"/>
              </w:rPr>
            </w:pPr>
            <w:r w:rsidRPr="000B5E5D">
              <w:rPr>
                <w:rFonts w:ascii="StobiSerif Regular" w:hAnsi="StobiSerif Regular" w:cs="Arial"/>
                <w:sz w:val="16"/>
                <w:szCs w:val="16"/>
                <w:lang w:val="en-US"/>
              </w:rPr>
              <w:t>2.2</w:t>
            </w:r>
            <w:r w:rsidR="008B3322" w:rsidRPr="000B5E5D">
              <w:rPr>
                <w:rFonts w:ascii="StobiSerif Regular" w:hAnsi="StobiSerif Regular" w:cs="Arial"/>
                <w:sz w:val="16"/>
                <w:szCs w:val="16"/>
                <w:lang w:val="en-US"/>
              </w:rPr>
              <w:t>%</w:t>
            </w:r>
          </w:p>
        </w:tc>
      </w:tr>
      <w:tr w:rsidR="008B3322" w:rsidRPr="000B5E5D" w:rsidTr="00FA1B5E">
        <w:tc>
          <w:tcPr>
            <w:tcW w:w="1445" w:type="dxa"/>
            <w:shd w:val="clear" w:color="auto" w:fill="D9D9D9" w:themeFill="background1" w:themeFillShade="D9"/>
            <w:vAlign w:val="center"/>
            <w:hideMark/>
          </w:tcPr>
          <w:p w:rsidR="00D66B68" w:rsidRPr="00E66CF9" w:rsidRDefault="00FA1B5E">
            <w:pPr>
              <w:pStyle w:val="NoSpacing"/>
              <w:spacing w:line="276" w:lineRule="auto"/>
              <w:rPr>
                <w:rFonts w:ascii="StobiSerif Regular" w:hAnsi="StobiSerif Regular"/>
                <w:b/>
                <w:sz w:val="16"/>
                <w:szCs w:val="16"/>
              </w:rPr>
            </w:pPr>
            <w:r w:rsidRPr="00E66CF9">
              <w:rPr>
                <w:rFonts w:ascii="StobiSerif Regular" w:hAnsi="StobiSerif Regular"/>
                <w:b/>
                <w:sz w:val="16"/>
                <w:szCs w:val="16"/>
              </w:rPr>
              <w:t xml:space="preserve">Вкупно </w:t>
            </w:r>
          </w:p>
        </w:tc>
        <w:tc>
          <w:tcPr>
            <w:tcW w:w="1099" w:type="dxa"/>
            <w:shd w:val="clear" w:color="auto" w:fill="D9D9D9" w:themeFill="background1" w:themeFillShade="D9"/>
            <w:vAlign w:val="center"/>
            <w:hideMark/>
          </w:tcPr>
          <w:p w:rsidR="00D66B68" w:rsidRPr="000B5E5D" w:rsidRDefault="00D66B68" w:rsidP="003F19F0">
            <w:pPr>
              <w:pStyle w:val="NoSpacing"/>
              <w:spacing w:line="276" w:lineRule="auto"/>
              <w:jc w:val="center"/>
              <w:rPr>
                <w:rFonts w:ascii="StobiSerif Regular" w:hAnsi="StobiSerif Regular"/>
                <w:sz w:val="16"/>
                <w:szCs w:val="16"/>
                <w:lang w:val="en-US"/>
              </w:rPr>
            </w:pPr>
            <w:r w:rsidRPr="000B5E5D">
              <w:rPr>
                <w:rFonts w:ascii="StobiSerif Regular" w:hAnsi="StobiSerif Regular"/>
                <w:sz w:val="16"/>
                <w:szCs w:val="16"/>
              </w:rPr>
              <w:t>3087</w:t>
            </w:r>
          </w:p>
        </w:tc>
        <w:tc>
          <w:tcPr>
            <w:tcW w:w="1280" w:type="dxa"/>
            <w:gridSpan w:val="2"/>
            <w:shd w:val="clear" w:color="auto" w:fill="D9D9D9" w:themeFill="background1" w:themeFillShade="D9"/>
            <w:vAlign w:val="center"/>
            <w:hideMark/>
          </w:tcPr>
          <w:p w:rsidR="00D66B68" w:rsidRPr="000B5E5D" w:rsidRDefault="00D66B68" w:rsidP="003F19F0">
            <w:pPr>
              <w:pStyle w:val="NoSpacing"/>
              <w:spacing w:line="276" w:lineRule="auto"/>
              <w:jc w:val="center"/>
              <w:rPr>
                <w:rFonts w:ascii="StobiSerif Regular" w:hAnsi="StobiSerif Regular"/>
                <w:sz w:val="16"/>
                <w:szCs w:val="16"/>
                <w:lang w:val="en-US"/>
              </w:rPr>
            </w:pPr>
            <w:r w:rsidRPr="000B5E5D">
              <w:rPr>
                <w:rFonts w:ascii="StobiSerif Regular" w:hAnsi="StobiSerif Regular"/>
                <w:sz w:val="16"/>
                <w:szCs w:val="16"/>
                <w:lang w:val="en-US"/>
              </w:rPr>
              <w:t>1718</w:t>
            </w:r>
          </w:p>
        </w:tc>
        <w:tc>
          <w:tcPr>
            <w:tcW w:w="1275" w:type="dxa"/>
            <w:shd w:val="clear" w:color="auto" w:fill="D9D9D9" w:themeFill="background1" w:themeFillShade="D9"/>
            <w:vAlign w:val="center"/>
            <w:hideMark/>
          </w:tcPr>
          <w:p w:rsidR="00D66B68" w:rsidRPr="000B5E5D" w:rsidRDefault="00D66B68" w:rsidP="003F19F0">
            <w:pPr>
              <w:pStyle w:val="NoSpacing"/>
              <w:spacing w:line="276" w:lineRule="auto"/>
              <w:jc w:val="center"/>
              <w:rPr>
                <w:rFonts w:ascii="StobiSerif Regular" w:hAnsi="StobiSerif Regular" w:cs="Arial"/>
                <w:sz w:val="16"/>
                <w:szCs w:val="16"/>
              </w:rPr>
            </w:pPr>
            <w:r w:rsidRPr="000B5E5D">
              <w:rPr>
                <w:rFonts w:ascii="StobiSerif Regular" w:hAnsi="StobiSerif Regular" w:cs="Arial"/>
                <w:sz w:val="16"/>
                <w:szCs w:val="16"/>
              </w:rPr>
              <w:t>1369</w:t>
            </w:r>
          </w:p>
        </w:tc>
        <w:tc>
          <w:tcPr>
            <w:tcW w:w="1133" w:type="dxa"/>
            <w:shd w:val="clear" w:color="auto" w:fill="D9D9D9" w:themeFill="background1" w:themeFillShade="D9"/>
            <w:vAlign w:val="center"/>
            <w:hideMark/>
          </w:tcPr>
          <w:p w:rsidR="00D66B68" w:rsidRPr="000B5E5D" w:rsidRDefault="00D66B68" w:rsidP="003F19F0">
            <w:pPr>
              <w:pStyle w:val="NoSpacing"/>
              <w:spacing w:line="276" w:lineRule="auto"/>
              <w:jc w:val="center"/>
              <w:rPr>
                <w:rFonts w:ascii="StobiSerif Regular" w:hAnsi="StobiSerif Regular"/>
                <w:sz w:val="16"/>
                <w:szCs w:val="16"/>
              </w:rPr>
            </w:pPr>
            <w:r w:rsidRPr="000B5E5D">
              <w:rPr>
                <w:rFonts w:ascii="StobiSerif Regular" w:hAnsi="StobiSerif Regular"/>
                <w:sz w:val="16"/>
                <w:szCs w:val="16"/>
              </w:rPr>
              <w:t>176</w:t>
            </w:r>
          </w:p>
        </w:tc>
        <w:tc>
          <w:tcPr>
            <w:tcW w:w="1139" w:type="dxa"/>
            <w:shd w:val="clear" w:color="auto" w:fill="D9D9D9" w:themeFill="background1" w:themeFillShade="D9"/>
            <w:vAlign w:val="center"/>
            <w:hideMark/>
          </w:tcPr>
          <w:p w:rsidR="00D66B68" w:rsidRPr="000B5E5D" w:rsidRDefault="00D66B68" w:rsidP="003F19F0">
            <w:pPr>
              <w:pStyle w:val="NoSpacing"/>
              <w:spacing w:line="276" w:lineRule="auto"/>
              <w:jc w:val="center"/>
              <w:rPr>
                <w:rFonts w:ascii="StobiSerif Regular" w:hAnsi="StobiSerif Regular" w:cs="Arial"/>
                <w:sz w:val="16"/>
                <w:szCs w:val="16"/>
              </w:rPr>
            </w:pPr>
            <w:r w:rsidRPr="000B5E5D">
              <w:rPr>
                <w:rFonts w:ascii="StobiSerif Regular" w:hAnsi="StobiSerif Regular" w:cs="Arial"/>
                <w:sz w:val="16"/>
                <w:szCs w:val="16"/>
              </w:rPr>
              <w:t>738</w:t>
            </w:r>
          </w:p>
        </w:tc>
        <w:tc>
          <w:tcPr>
            <w:tcW w:w="1276" w:type="dxa"/>
            <w:shd w:val="clear" w:color="auto" w:fill="D9D9D9" w:themeFill="background1" w:themeFillShade="D9"/>
            <w:vAlign w:val="center"/>
          </w:tcPr>
          <w:p w:rsidR="00D66B68" w:rsidRPr="000B5E5D" w:rsidRDefault="003F19F0" w:rsidP="003F19F0">
            <w:pPr>
              <w:pStyle w:val="NoSpacing"/>
              <w:spacing w:line="276" w:lineRule="auto"/>
              <w:jc w:val="center"/>
              <w:rPr>
                <w:rFonts w:ascii="StobiSerif Regular" w:hAnsi="StobiSerif Regular" w:cs="Arial"/>
                <w:sz w:val="16"/>
                <w:szCs w:val="16"/>
                <w:lang w:val="en-US"/>
              </w:rPr>
            </w:pPr>
            <w:r w:rsidRPr="000B5E5D">
              <w:rPr>
                <w:rFonts w:ascii="StobiSerif Regular" w:hAnsi="StobiSerif Regular" w:cs="Arial"/>
                <w:sz w:val="16"/>
                <w:szCs w:val="16"/>
                <w:lang w:val="en-US"/>
              </w:rPr>
              <w:t>23.9</w:t>
            </w:r>
            <w:r w:rsidR="008B3322" w:rsidRPr="000B5E5D">
              <w:rPr>
                <w:rFonts w:ascii="StobiSerif Regular" w:hAnsi="StobiSerif Regular" w:cs="Arial"/>
                <w:sz w:val="16"/>
                <w:szCs w:val="16"/>
                <w:lang w:val="en-US"/>
              </w:rPr>
              <w:t>%</w:t>
            </w:r>
          </w:p>
        </w:tc>
      </w:tr>
    </w:tbl>
    <w:p w:rsidR="00EA41B5" w:rsidRPr="000B5E5D" w:rsidRDefault="006941AB" w:rsidP="00EA41B5">
      <w:pPr>
        <w:autoSpaceDE w:val="0"/>
        <w:autoSpaceDN w:val="0"/>
        <w:adjustRightInd w:val="0"/>
        <w:spacing w:after="0"/>
        <w:jc w:val="both"/>
        <w:rPr>
          <w:rFonts w:ascii="StobiSerif Regular" w:hAnsi="StobiSerif Regular"/>
          <w:sz w:val="24"/>
          <w:szCs w:val="24"/>
          <w:lang w:val="en-US"/>
        </w:rPr>
      </w:pPr>
      <w:r>
        <w:rPr>
          <w:rFonts w:ascii="StobiSerif Regular" w:hAnsi="StobiSerif Regular"/>
          <w:sz w:val="16"/>
          <w:szCs w:val="16"/>
        </w:rPr>
        <w:t>Извор: Мониторинг систем</w:t>
      </w:r>
    </w:p>
    <w:p w:rsidR="00EA41B5" w:rsidRPr="000B5E5D" w:rsidRDefault="00721C77" w:rsidP="000359E3">
      <w:pPr>
        <w:spacing w:before="120" w:after="120"/>
        <w:ind w:firstLine="284"/>
        <w:jc w:val="both"/>
        <w:rPr>
          <w:rFonts w:ascii="StobiSerif Regular" w:hAnsi="StobiSerif Regular"/>
          <w:lang w:val="en-US"/>
        </w:rPr>
      </w:pPr>
      <w:r>
        <w:rPr>
          <w:rFonts w:ascii="StobiSerif Regular" w:hAnsi="StobiSerif Regular"/>
        </w:rPr>
        <w:t>Најголемиот интерес има</w:t>
      </w:r>
      <w:r w:rsidR="00CE0FA7" w:rsidRPr="00CE0FA7">
        <w:rPr>
          <w:rFonts w:ascii="StobiSerif Regular" w:hAnsi="StobiSerif Regular"/>
        </w:rPr>
        <w:t xml:space="preserve"> за мерката 101, во која </w:t>
      </w:r>
      <w:r>
        <w:rPr>
          <w:rFonts w:ascii="StobiSerif Regular" w:hAnsi="StobiSerif Regular"/>
        </w:rPr>
        <w:t>се</w:t>
      </w:r>
      <w:r w:rsidR="00CE0FA7" w:rsidRPr="00CE0FA7">
        <w:rPr>
          <w:rFonts w:ascii="StobiSerif Regular" w:hAnsi="StobiSerif Regular"/>
        </w:rPr>
        <w:t xml:space="preserve"> поднесени 2532 апликации. 27, 3% од доставените апликации беа успешни и платени. Покрај огромниот напор што </w:t>
      </w:r>
      <w:r w:rsidR="00CE0FA7">
        <w:rPr>
          <w:rFonts w:ascii="StobiSerif Regular" w:hAnsi="StobiSerif Regular"/>
        </w:rPr>
        <w:t>ТУ</w:t>
      </w:r>
      <w:r w:rsidR="00CE0FA7" w:rsidRPr="00CE0FA7">
        <w:rPr>
          <w:rFonts w:ascii="StobiSerif Regular" w:hAnsi="StobiSerif Regular"/>
        </w:rPr>
        <w:t xml:space="preserve"> го направи за подобрување на квалитетот на апликациите, само 23,9% од вкупните примени апликации беа реализирани.</w:t>
      </w:r>
      <w:r w:rsidR="00EA41B5" w:rsidRPr="000B5E5D">
        <w:rPr>
          <w:rFonts w:ascii="StobiSerif Regular" w:hAnsi="StobiSerif Regular"/>
          <w:lang w:val="en-US"/>
        </w:rPr>
        <w:t xml:space="preserve"> </w:t>
      </w:r>
    </w:p>
    <w:p w:rsidR="00734B0B" w:rsidRPr="00677FC7" w:rsidRDefault="00CE0FA7" w:rsidP="00734B0B">
      <w:pPr>
        <w:tabs>
          <w:tab w:val="left" w:pos="720"/>
        </w:tabs>
        <w:spacing w:after="120" w:line="240" w:lineRule="auto"/>
        <w:jc w:val="both"/>
        <w:rPr>
          <w:rFonts w:ascii="StobiSerif Regular" w:hAnsi="StobiSerif Regular"/>
          <w:b/>
          <w:lang w:val="en-GB"/>
        </w:rPr>
      </w:pPr>
      <w:bookmarkStart w:id="21" w:name="_Toc485394897"/>
      <w:r w:rsidRPr="00677FC7">
        <w:rPr>
          <w:rFonts w:ascii="StobiSerif Regular" w:eastAsia="Times New Roman" w:hAnsi="StobiSerif Regular" w:cs="Times New Roman"/>
          <w:b/>
          <w:lang w:eastAsia="zh-CN"/>
        </w:rPr>
        <w:t>Табела</w:t>
      </w:r>
      <w:r w:rsidR="00734B0B" w:rsidRPr="00677FC7">
        <w:rPr>
          <w:rFonts w:ascii="StobiSerif Regular" w:eastAsia="Times New Roman" w:hAnsi="StobiSerif Regular" w:cs="Times New Roman"/>
          <w:b/>
          <w:lang w:val="en-GB" w:eastAsia="zh-CN"/>
        </w:rPr>
        <w:t xml:space="preserve"> </w:t>
      </w:r>
      <w:r w:rsidR="00734B0B" w:rsidRPr="00677FC7">
        <w:rPr>
          <w:rFonts w:ascii="StobiSerif Regular" w:eastAsia="Times New Roman" w:hAnsi="StobiSerif Regular" w:cs="Times New Roman"/>
          <w:b/>
          <w:lang w:val="en-GB" w:eastAsia="zh-CN"/>
        </w:rPr>
        <w:fldChar w:fldCharType="begin"/>
      </w:r>
      <w:r w:rsidR="00734B0B" w:rsidRPr="00677FC7">
        <w:rPr>
          <w:rFonts w:ascii="StobiSerif Regular" w:eastAsia="Times New Roman" w:hAnsi="StobiSerif Regular" w:cs="Times New Roman"/>
          <w:b/>
          <w:lang w:val="en-GB" w:eastAsia="zh-CN"/>
        </w:rPr>
        <w:instrText xml:space="preserve"> SEQ Table \* ARABIC </w:instrText>
      </w:r>
      <w:r w:rsidR="00734B0B" w:rsidRPr="00677FC7">
        <w:rPr>
          <w:rFonts w:ascii="StobiSerif Regular" w:eastAsia="Times New Roman" w:hAnsi="StobiSerif Regular" w:cs="Times New Roman"/>
          <w:b/>
          <w:lang w:val="en-GB" w:eastAsia="zh-CN"/>
        </w:rPr>
        <w:fldChar w:fldCharType="separate"/>
      </w:r>
      <w:r w:rsidR="00067F8B" w:rsidRPr="00677FC7">
        <w:rPr>
          <w:rFonts w:ascii="StobiSerif Regular" w:eastAsia="Times New Roman" w:hAnsi="StobiSerif Regular" w:cs="Times New Roman"/>
          <w:b/>
          <w:noProof/>
          <w:lang w:val="en-GB" w:eastAsia="zh-CN"/>
        </w:rPr>
        <w:t>5</w:t>
      </w:r>
      <w:r w:rsidR="00734B0B" w:rsidRPr="00677FC7">
        <w:rPr>
          <w:rFonts w:ascii="StobiSerif Regular" w:eastAsia="Times New Roman" w:hAnsi="StobiSerif Regular" w:cs="Times New Roman"/>
          <w:b/>
          <w:lang w:val="en-GB" w:eastAsia="zh-CN"/>
        </w:rPr>
        <w:fldChar w:fldCharType="end"/>
      </w:r>
      <w:r w:rsidR="00734B0B" w:rsidRPr="00677FC7">
        <w:rPr>
          <w:rFonts w:ascii="StobiSerif Regular" w:eastAsia="Times New Roman" w:hAnsi="StobiSerif Regular" w:cs="Times New Roman"/>
          <w:b/>
          <w:lang w:val="en-GB" w:eastAsia="zh-CN"/>
        </w:rPr>
        <w:t xml:space="preserve">: </w:t>
      </w:r>
      <w:r w:rsidRPr="00677FC7">
        <w:rPr>
          <w:rFonts w:ascii="StobiSerif Regular" w:eastAsia="Times New Roman" w:hAnsi="StobiSerif Regular" w:cs="Times New Roman"/>
          <w:b/>
          <w:lang w:val="en-GB" w:eastAsia="zh-CN"/>
        </w:rPr>
        <w:t>Показатели на квалитет на апликации</w:t>
      </w:r>
      <w:bookmarkEnd w:id="21"/>
    </w:p>
    <w:tbl>
      <w:tblPr>
        <w:tblW w:w="0" w:type="auto"/>
        <w:tblInd w:w="108" w:type="dxa"/>
        <w:tblCellMar>
          <w:left w:w="0" w:type="dxa"/>
          <w:right w:w="0" w:type="dxa"/>
        </w:tblCellMar>
        <w:tblLook w:val="04A0" w:firstRow="1" w:lastRow="0" w:firstColumn="1" w:lastColumn="0" w:noHBand="0" w:noVBand="1"/>
      </w:tblPr>
      <w:tblGrid>
        <w:gridCol w:w="5664"/>
        <w:gridCol w:w="3470"/>
      </w:tblGrid>
      <w:tr w:rsidR="00067F8B" w:rsidRPr="000B5E5D" w:rsidTr="00D66B68">
        <w:trPr>
          <w:trHeight w:val="260"/>
        </w:trPr>
        <w:tc>
          <w:tcPr>
            <w:tcW w:w="913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734B0B" w:rsidRPr="000B5E5D" w:rsidRDefault="00734B0B" w:rsidP="00734B0B">
            <w:pPr>
              <w:spacing w:after="0" w:line="240" w:lineRule="auto"/>
              <w:jc w:val="center"/>
              <w:rPr>
                <w:rFonts w:ascii="StobiSerif Regular" w:eastAsia="Times New Roman" w:hAnsi="StobiSerif Regular" w:cs="Times New Roman"/>
                <w:b/>
                <w:bCs/>
                <w:sz w:val="20"/>
                <w:szCs w:val="20"/>
              </w:rPr>
            </w:pPr>
            <w:r w:rsidRPr="000B5E5D">
              <w:rPr>
                <w:rFonts w:ascii="StobiSerif Regular" w:eastAsia="Times New Roman" w:hAnsi="StobiSerif Regular" w:cs="Times New Roman"/>
                <w:sz w:val="20"/>
                <w:szCs w:val="20"/>
                <w:lang w:val="en-GB" w:eastAsia="en-GB"/>
              </w:rPr>
              <w:br w:type="page"/>
            </w:r>
            <w:r w:rsidRPr="000B5E5D">
              <w:rPr>
                <w:rFonts w:ascii="StobiSerif Regular" w:eastAsia="Times New Roman" w:hAnsi="StobiSerif Regular" w:cs="Times New Roman"/>
                <w:sz w:val="20"/>
                <w:szCs w:val="20"/>
                <w:lang w:val="en-GB" w:eastAsia="en-GB"/>
              </w:rPr>
              <w:br w:type="page"/>
            </w:r>
            <w:r w:rsidRPr="000B5E5D">
              <w:rPr>
                <w:rFonts w:ascii="StobiSerif Regular" w:eastAsia="Times New Roman" w:hAnsi="StobiSerif Regular" w:cs="Times New Roman"/>
                <w:sz w:val="20"/>
                <w:szCs w:val="20"/>
                <w:lang w:val="en-GB" w:eastAsia="en-GB"/>
              </w:rPr>
              <w:br w:type="page"/>
            </w:r>
          </w:p>
        </w:tc>
      </w:tr>
      <w:tr w:rsidR="00CE0FA7" w:rsidRPr="000B5E5D" w:rsidTr="001E2FAB">
        <w:trPr>
          <w:trHeight w:val="350"/>
        </w:trPr>
        <w:tc>
          <w:tcPr>
            <w:tcW w:w="5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0FA7" w:rsidRPr="00E02730" w:rsidRDefault="00CE0FA7" w:rsidP="001E2FAB">
            <w:pPr>
              <w:spacing w:after="0" w:line="240" w:lineRule="auto"/>
              <w:rPr>
                <w:rFonts w:ascii="StobiSerif Regular" w:eastAsia="Times New Roman" w:hAnsi="StobiSerif Regular" w:cs="Arial"/>
                <w:lang w:val="en-US"/>
              </w:rPr>
            </w:pPr>
            <w:r w:rsidRPr="00E02730">
              <w:rPr>
                <w:rFonts w:ascii="StobiSerif Regular" w:eastAsia="Times New Roman" w:hAnsi="StobiSerif Regular" w:cs="Arial"/>
                <w:sz w:val="20"/>
                <w:szCs w:val="20"/>
              </w:rPr>
              <w:t>Вкупен број на поднесени барања</w:t>
            </w:r>
          </w:p>
        </w:tc>
        <w:tc>
          <w:tcPr>
            <w:tcW w:w="3470" w:type="dxa"/>
            <w:tcBorders>
              <w:top w:val="nil"/>
              <w:left w:val="nil"/>
              <w:bottom w:val="single" w:sz="8" w:space="0" w:color="auto"/>
              <w:right w:val="single" w:sz="8" w:space="0" w:color="auto"/>
            </w:tcBorders>
            <w:tcMar>
              <w:top w:w="0" w:type="dxa"/>
              <w:left w:w="108" w:type="dxa"/>
              <w:bottom w:w="0" w:type="dxa"/>
              <w:right w:w="108" w:type="dxa"/>
            </w:tcMar>
            <w:hideMark/>
          </w:tcPr>
          <w:p w:rsidR="00CE0FA7" w:rsidRPr="000B5E5D" w:rsidRDefault="00CE0FA7" w:rsidP="00560D8B">
            <w:pPr>
              <w:spacing w:after="0" w:line="240" w:lineRule="auto"/>
              <w:jc w:val="center"/>
              <w:rPr>
                <w:rFonts w:ascii="StobiSerif Regular" w:eastAsia="Times New Roman" w:hAnsi="StobiSerif Regular" w:cs="Arial"/>
                <w:lang w:val="en-US"/>
              </w:rPr>
            </w:pPr>
            <w:r w:rsidRPr="000B5E5D">
              <w:rPr>
                <w:rFonts w:ascii="StobiSerif Regular" w:eastAsia="Times New Roman" w:hAnsi="StobiSerif Regular" w:cs="Arial"/>
                <w:lang w:val="en-US"/>
              </w:rPr>
              <w:t>3087</w:t>
            </w:r>
          </w:p>
        </w:tc>
      </w:tr>
      <w:tr w:rsidR="00CE0FA7" w:rsidRPr="000B5E5D" w:rsidTr="001E2FAB">
        <w:trPr>
          <w:trHeight w:val="350"/>
        </w:trPr>
        <w:tc>
          <w:tcPr>
            <w:tcW w:w="5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0FA7" w:rsidRPr="00E02730" w:rsidRDefault="00CE0FA7" w:rsidP="001E2FAB">
            <w:pPr>
              <w:spacing w:after="0" w:line="240" w:lineRule="auto"/>
              <w:rPr>
                <w:rFonts w:ascii="StobiSerif Regular" w:eastAsia="Times New Roman" w:hAnsi="StobiSerif Regular" w:cs="Arial"/>
                <w:lang w:val="en-US"/>
              </w:rPr>
            </w:pPr>
            <w:r w:rsidRPr="00E02730">
              <w:rPr>
                <w:rFonts w:ascii="StobiSerif Regular" w:eastAsia="Times New Roman" w:hAnsi="StobiSerif Regular" w:cs="Arial"/>
                <w:sz w:val="20"/>
                <w:szCs w:val="20"/>
              </w:rPr>
              <w:t>Број на одобрени договори</w:t>
            </w:r>
          </w:p>
        </w:tc>
        <w:tc>
          <w:tcPr>
            <w:tcW w:w="3470" w:type="dxa"/>
            <w:tcBorders>
              <w:top w:val="nil"/>
              <w:left w:val="nil"/>
              <w:bottom w:val="single" w:sz="8" w:space="0" w:color="auto"/>
              <w:right w:val="single" w:sz="8" w:space="0" w:color="auto"/>
            </w:tcBorders>
            <w:tcMar>
              <w:top w:w="0" w:type="dxa"/>
              <w:left w:w="108" w:type="dxa"/>
              <w:bottom w:w="0" w:type="dxa"/>
              <w:right w:w="108" w:type="dxa"/>
            </w:tcMar>
            <w:hideMark/>
          </w:tcPr>
          <w:p w:rsidR="00CE0FA7" w:rsidRPr="000B5E5D" w:rsidRDefault="00CE0FA7" w:rsidP="00560D8B">
            <w:pPr>
              <w:spacing w:after="0" w:line="240" w:lineRule="auto"/>
              <w:jc w:val="center"/>
              <w:rPr>
                <w:rFonts w:ascii="StobiSerif Regular" w:eastAsia="Times New Roman" w:hAnsi="StobiSerif Regular" w:cs="Arial"/>
                <w:lang w:val="en-US"/>
              </w:rPr>
            </w:pPr>
            <w:r w:rsidRPr="000B5E5D">
              <w:rPr>
                <w:rFonts w:ascii="StobiSerif Regular" w:eastAsia="Times New Roman" w:hAnsi="StobiSerif Regular" w:cs="Arial"/>
                <w:lang w:val="en-US"/>
              </w:rPr>
              <w:t>1369</w:t>
            </w:r>
          </w:p>
        </w:tc>
      </w:tr>
      <w:tr w:rsidR="00CE0FA7" w:rsidRPr="000B5E5D" w:rsidTr="001E2FAB">
        <w:trPr>
          <w:trHeight w:val="350"/>
        </w:trPr>
        <w:tc>
          <w:tcPr>
            <w:tcW w:w="5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E0FA7" w:rsidRPr="00E02730" w:rsidRDefault="00CE0FA7" w:rsidP="001E2FAB">
            <w:pPr>
              <w:spacing w:after="0" w:line="240" w:lineRule="auto"/>
              <w:rPr>
                <w:rFonts w:ascii="StobiSerif Regular" w:eastAsia="Times New Roman" w:hAnsi="StobiSerif Regular" w:cs="Arial"/>
                <w:lang w:val="en-US"/>
              </w:rPr>
            </w:pPr>
            <w:r w:rsidRPr="00E02730">
              <w:rPr>
                <w:rFonts w:ascii="StobiSerif Regular" w:eastAsia="Times New Roman" w:hAnsi="StobiSerif Regular" w:cs="Arial"/>
                <w:sz w:val="20"/>
                <w:szCs w:val="20"/>
              </w:rPr>
              <w:t>Број на исплатени договори</w:t>
            </w:r>
          </w:p>
        </w:tc>
        <w:tc>
          <w:tcPr>
            <w:tcW w:w="3470" w:type="dxa"/>
            <w:tcBorders>
              <w:top w:val="nil"/>
              <w:left w:val="nil"/>
              <w:bottom w:val="single" w:sz="8" w:space="0" w:color="auto"/>
              <w:right w:val="single" w:sz="8" w:space="0" w:color="auto"/>
            </w:tcBorders>
            <w:tcMar>
              <w:top w:w="0" w:type="dxa"/>
              <w:left w:w="108" w:type="dxa"/>
              <w:bottom w:w="0" w:type="dxa"/>
              <w:right w:w="108" w:type="dxa"/>
            </w:tcMar>
          </w:tcPr>
          <w:p w:rsidR="00CE0FA7" w:rsidRPr="000B5E5D" w:rsidRDefault="00CE0FA7" w:rsidP="00560D8B">
            <w:pPr>
              <w:spacing w:after="0" w:line="240" w:lineRule="auto"/>
              <w:jc w:val="center"/>
              <w:rPr>
                <w:rFonts w:ascii="StobiSerif Regular" w:eastAsia="Times New Roman" w:hAnsi="StobiSerif Regular" w:cs="Arial"/>
                <w:lang w:val="en-US"/>
              </w:rPr>
            </w:pPr>
            <w:r w:rsidRPr="000B5E5D">
              <w:rPr>
                <w:rFonts w:ascii="StobiSerif Regular" w:eastAsia="Times New Roman" w:hAnsi="StobiSerif Regular" w:cs="Arial"/>
                <w:lang w:val="en-US"/>
              </w:rPr>
              <w:t>738</w:t>
            </w:r>
          </w:p>
        </w:tc>
      </w:tr>
      <w:tr w:rsidR="00CE0FA7" w:rsidRPr="000B5E5D" w:rsidTr="001E2FAB">
        <w:trPr>
          <w:trHeight w:val="350"/>
        </w:trPr>
        <w:tc>
          <w:tcPr>
            <w:tcW w:w="5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0FA7" w:rsidRPr="00E02730" w:rsidRDefault="00CE0FA7" w:rsidP="001E2FAB">
            <w:pPr>
              <w:spacing w:after="0" w:line="240" w:lineRule="auto"/>
              <w:rPr>
                <w:rFonts w:ascii="StobiSerif Regular" w:eastAsia="Times New Roman" w:hAnsi="StobiSerif Regular" w:cs="Arial"/>
                <w:sz w:val="20"/>
                <w:szCs w:val="20"/>
                <w:lang w:eastAsia="en-GB"/>
              </w:rPr>
            </w:pPr>
            <w:r w:rsidRPr="00E02730">
              <w:rPr>
                <w:rFonts w:ascii="StobiSerif Regular" w:eastAsia="Times New Roman" w:hAnsi="StobiSerif Regular" w:cs="Arial"/>
                <w:sz w:val="20"/>
                <w:szCs w:val="20"/>
                <w:lang w:eastAsia="en-GB"/>
              </w:rPr>
              <w:t xml:space="preserve">Број на раскинати договори </w:t>
            </w:r>
          </w:p>
        </w:tc>
        <w:tc>
          <w:tcPr>
            <w:tcW w:w="3470" w:type="dxa"/>
            <w:tcBorders>
              <w:top w:val="nil"/>
              <w:left w:val="nil"/>
              <w:bottom w:val="single" w:sz="8" w:space="0" w:color="auto"/>
              <w:right w:val="single" w:sz="8" w:space="0" w:color="auto"/>
            </w:tcBorders>
            <w:tcMar>
              <w:top w:w="0" w:type="dxa"/>
              <w:left w:w="108" w:type="dxa"/>
              <w:bottom w:w="0" w:type="dxa"/>
              <w:right w:w="108" w:type="dxa"/>
            </w:tcMar>
            <w:hideMark/>
          </w:tcPr>
          <w:p w:rsidR="00CE0FA7" w:rsidRPr="000B5E5D" w:rsidRDefault="00CE0FA7" w:rsidP="00560D8B">
            <w:pPr>
              <w:spacing w:after="0" w:line="240" w:lineRule="auto"/>
              <w:jc w:val="center"/>
              <w:rPr>
                <w:rFonts w:ascii="StobiSerif Regular" w:eastAsia="Times New Roman" w:hAnsi="StobiSerif Regular" w:cs="Arial"/>
                <w:lang w:val="en-US"/>
              </w:rPr>
            </w:pPr>
            <w:r w:rsidRPr="000B5E5D">
              <w:rPr>
                <w:rFonts w:ascii="StobiSerif Regular" w:eastAsia="Times New Roman" w:hAnsi="StobiSerif Regular" w:cs="Arial"/>
                <w:lang w:val="en-US"/>
              </w:rPr>
              <w:t>176</w:t>
            </w:r>
          </w:p>
        </w:tc>
      </w:tr>
      <w:tr w:rsidR="00CE0FA7" w:rsidRPr="000B5E5D" w:rsidTr="001E2FAB">
        <w:trPr>
          <w:trHeight w:val="454"/>
        </w:trPr>
        <w:tc>
          <w:tcPr>
            <w:tcW w:w="566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E0FA7" w:rsidRPr="00E02730" w:rsidRDefault="00CE0FA7" w:rsidP="001E2FAB">
            <w:pPr>
              <w:spacing w:after="0" w:line="240" w:lineRule="auto"/>
              <w:rPr>
                <w:rFonts w:ascii="StobiSerif Regular" w:eastAsia="Times New Roman" w:hAnsi="StobiSerif Regular" w:cs="Arial"/>
                <w:sz w:val="20"/>
                <w:szCs w:val="20"/>
                <w:lang w:val="en-GB" w:eastAsia="en-GB"/>
              </w:rPr>
            </w:pPr>
            <w:r w:rsidRPr="00E02730">
              <w:rPr>
                <w:rFonts w:ascii="StobiSerif Regular" w:eastAsia="Times New Roman" w:hAnsi="StobiSerif Regular" w:cs="Arial"/>
                <w:sz w:val="20"/>
                <w:szCs w:val="20"/>
                <w:lang w:eastAsia="en-GB"/>
              </w:rPr>
              <w:t>Број на тековни договори</w:t>
            </w:r>
          </w:p>
        </w:tc>
        <w:tc>
          <w:tcPr>
            <w:tcW w:w="34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E0FA7" w:rsidRPr="000B5E5D" w:rsidRDefault="00CE0FA7" w:rsidP="00560D8B">
            <w:pPr>
              <w:spacing w:after="0" w:line="240" w:lineRule="auto"/>
              <w:jc w:val="center"/>
              <w:rPr>
                <w:rFonts w:ascii="StobiSerif Regular" w:eastAsia="Times New Roman" w:hAnsi="StobiSerif Regular" w:cs="Arial"/>
                <w:lang w:val="en-US"/>
              </w:rPr>
            </w:pPr>
            <w:r w:rsidRPr="000B5E5D">
              <w:rPr>
                <w:rFonts w:ascii="StobiSerif Regular" w:eastAsia="Times New Roman" w:hAnsi="StobiSerif Regular" w:cs="Arial"/>
                <w:lang w:val="en-US"/>
              </w:rPr>
              <w:t>455</w:t>
            </w:r>
          </w:p>
        </w:tc>
      </w:tr>
    </w:tbl>
    <w:tbl>
      <w:tblPr>
        <w:tblStyle w:val="TableGrid1"/>
        <w:tblW w:w="0" w:type="auto"/>
        <w:tblInd w:w="108" w:type="dxa"/>
        <w:tblLook w:val="04A0" w:firstRow="1" w:lastRow="0" w:firstColumn="1" w:lastColumn="0" w:noHBand="0" w:noVBand="1"/>
      </w:tblPr>
      <w:tblGrid>
        <w:gridCol w:w="5740"/>
        <w:gridCol w:w="3394"/>
      </w:tblGrid>
      <w:tr w:rsidR="00067F8B" w:rsidRPr="000B5E5D" w:rsidTr="00D66B68">
        <w:trPr>
          <w:trHeight w:val="80"/>
        </w:trPr>
        <w:tc>
          <w:tcPr>
            <w:tcW w:w="9134" w:type="dxa"/>
            <w:gridSpan w:val="2"/>
            <w:shd w:val="clear" w:color="auto" w:fill="92D050"/>
            <w:vAlign w:val="center"/>
          </w:tcPr>
          <w:p w:rsidR="00734B0B" w:rsidRPr="000B5E5D" w:rsidRDefault="00734B0B" w:rsidP="00734B0B">
            <w:pPr>
              <w:spacing w:after="120"/>
              <w:jc w:val="center"/>
              <w:rPr>
                <w:rFonts w:ascii="StobiSerif Regular" w:hAnsi="StobiSerif Regular" w:cs="Arial"/>
              </w:rPr>
            </w:pPr>
          </w:p>
        </w:tc>
      </w:tr>
      <w:tr w:rsidR="00CE0FA7" w:rsidRPr="000B5E5D" w:rsidTr="001E2FAB">
        <w:trPr>
          <w:trHeight w:val="350"/>
        </w:trPr>
        <w:tc>
          <w:tcPr>
            <w:tcW w:w="5740" w:type="dxa"/>
            <w:vAlign w:val="center"/>
          </w:tcPr>
          <w:p w:rsidR="00CE0FA7" w:rsidRPr="00E02730" w:rsidRDefault="00CE0FA7" w:rsidP="00EF0575">
            <w:pPr>
              <w:spacing w:after="120"/>
              <w:rPr>
                <w:rFonts w:ascii="StobiSerif Regular" w:hAnsi="StobiSerif Regular" w:cs="Arial"/>
                <w:lang w:eastAsia="en-GB"/>
              </w:rPr>
            </w:pPr>
            <w:r w:rsidRPr="00E02730">
              <w:rPr>
                <w:rFonts w:ascii="StobiSerif Regular" w:hAnsi="StobiSerif Regular" w:cs="Arial"/>
                <w:lang w:eastAsia="en-GB"/>
              </w:rPr>
              <w:t>%  на одобрување на барањата (одобрени/</w:t>
            </w:r>
            <w:r w:rsidR="00EF0575">
              <w:rPr>
                <w:rFonts w:ascii="StobiSerif Regular" w:hAnsi="StobiSerif Regular" w:cs="Arial"/>
                <w:lang w:val="mk-MK" w:eastAsia="en-GB"/>
              </w:rPr>
              <w:t>поднесени</w:t>
            </w:r>
            <w:r w:rsidRPr="00E02730">
              <w:rPr>
                <w:rFonts w:ascii="StobiSerif Regular" w:hAnsi="StobiSerif Regular" w:cs="Arial"/>
                <w:lang w:eastAsia="en-GB"/>
              </w:rPr>
              <w:t>)</w:t>
            </w:r>
          </w:p>
        </w:tc>
        <w:tc>
          <w:tcPr>
            <w:tcW w:w="3394" w:type="dxa"/>
            <w:vAlign w:val="center"/>
          </w:tcPr>
          <w:p w:rsidR="00CE0FA7" w:rsidRPr="000B5E5D" w:rsidRDefault="00721C77" w:rsidP="00560D8B">
            <w:pPr>
              <w:jc w:val="center"/>
              <w:rPr>
                <w:rFonts w:ascii="StobiSerif Regular" w:hAnsi="StobiSerif Regular" w:cs="Arial"/>
                <w:sz w:val="22"/>
                <w:szCs w:val="22"/>
              </w:rPr>
            </w:pPr>
            <w:r>
              <w:rPr>
                <w:rFonts w:ascii="StobiSerif Regular" w:hAnsi="StobiSerif Regular" w:cs="Arial"/>
                <w:sz w:val="22"/>
                <w:szCs w:val="22"/>
              </w:rPr>
              <w:t>44</w:t>
            </w:r>
            <w:r>
              <w:rPr>
                <w:rFonts w:ascii="StobiSerif Regular" w:hAnsi="StobiSerif Regular" w:cs="Arial"/>
                <w:sz w:val="22"/>
                <w:szCs w:val="22"/>
                <w:lang w:val="mk-MK"/>
              </w:rPr>
              <w:t>,</w:t>
            </w:r>
            <w:r w:rsidR="00CE0FA7" w:rsidRPr="000B5E5D">
              <w:rPr>
                <w:rFonts w:ascii="StobiSerif Regular" w:hAnsi="StobiSerif Regular" w:cs="Arial"/>
                <w:sz w:val="22"/>
                <w:szCs w:val="22"/>
              </w:rPr>
              <w:t>3%</w:t>
            </w:r>
          </w:p>
        </w:tc>
      </w:tr>
      <w:tr w:rsidR="00CE0FA7" w:rsidRPr="000B5E5D" w:rsidTr="001E2FAB">
        <w:trPr>
          <w:trHeight w:val="350"/>
        </w:trPr>
        <w:tc>
          <w:tcPr>
            <w:tcW w:w="5740" w:type="dxa"/>
            <w:vAlign w:val="center"/>
          </w:tcPr>
          <w:p w:rsidR="00CE0FA7" w:rsidRPr="00E02730" w:rsidRDefault="00CE0FA7" w:rsidP="001E2FAB">
            <w:pPr>
              <w:spacing w:after="120"/>
              <w:rPr>
                <w:rFonts w:ascii="StobiSerif Regular" w:hAnsi="StobiSerif Regular" w:cs="Arial"/>
                <w:lang w:eastAsia="en-GB"/>
              </w:rPr>
            </w:pPr>
            <w:r w:rsidRPr="00E02730">
              <w:rPr>
                <w:rFonts w:ascii="StobiSerif Regular" w:hAnsi="StobiSerif Regular" w:cs="Arial"/>
                <w:lang w:eastAsia="en-GB"/>
              </w:rPr>
              <w:t>%  на раскинување на договори (раскинати/одобрени)</w:t>
            </w:r>
          </w:p>
        </w:tc>
        <w:tc>
          <w:tcPr>
            <w:tcW w:w="3394" w:type="dxa"/>
            <w:vAlign w:val="center"/>
          </w:tcPr>
          <w:p w:rsidR="00CE0FA7" w:rsidRPr="000B5E5D" w:rsidRDefault="00721C77" w:rsidP="00560D8B">
            <w:pPr>
              <w:jc w:val="center"/>
              <w:rPr>
                <w:rFonts w:ascii="StobiSerif Regular" w:hAnsi="StobiSerif Regular" w:cs="Arial"/>
                <w:sz w:val="22"/>
                <w:szCs w:val="22"/>
              </w:rPr>
            </w:pPr>
            <w:r>
              <w:rPr>
                <w:rFonts w:ascii="StobiSerif Regular" w:hAnsi="StobiSerif Regular" w:cs="Arial"/>
                <w:sz w:val="22"/>
                <w:szCs w:val="22"/>
              </w:rPr>
              <w:t>12</w:t>
            </w:r>
            <w:r>
              <w:rPr>
                <w:rFonts w:ascii="StobiSerif Regular" w:hAnsi="StobiSerif Regular" w:cs="Arial"/>
                <w:sz w:val="22"/>
                <w:szCs w:val="22"/>
                <w:lang w:val="mk-MK"/>
              </w:rPr>
              <w:t>,</w:t>
            </w:r>
            <w:r w:rsidR="00CE0FA7" w:rsidRPr="000B5E5D">
              <w:rPr>
                <w:rFonts w:ascii="StobiSerif Regular" w:hAnsi="StobiSerif Regular" w:cs="Arial"/>
                <w:sz w:val="22"/>
                <w:szCs w:val="22"/>
              </w:rPr>
              <w:t>8%</w:t>
            </w:r>
          </w:p>
        </w:tc>
      </w:tr>
      <w:tr w:rsidR="00CE0FA7" w:rsidRPr="000B5E5D" w:rsidTr="001E2FAB">
        <w:trPr>
          <w:trHeight w:val="350"/>
        </w:trPr>
        <w:tc>
          <w:tcPr>
            <w:tcW w:w="5740" w:type="dxa"/>
            <w:vAlign w:val="center"/>
          </w:tcPr>
          <w:p w:rsidR="00CE0FA7" w:rsidRPr="00E02730" w:rsidRDefault="00CE0FA7" w:rsidP="001E2FAB">
            <w:pPr>
              <w:spacing w:after="120"/>
              <w:rPr>
                <w:rFonts w:ascii="StobiSerif Regular" w:hAnsi="StobiSerif Regular" w:cs="Arial"/>
                <w:lang w:eastAsia="en-GB"/>
              </w:rPr>
            </w:pPr>
            <w:r w:rsidRPr="00E02730">
              <w:rPr>
                <w:rFonts w:ascii="StobiSerif Regular" w:hAnsi="StobiSerif Regular" w:cs="Arial"/>
                <w:lang w:eastAsia="en-GB"/>
              </w:rPr>
              <w:t>%  на исплата на договори (исплатени/(одобрени-раскинати)</w:t>
            </w:r>
          </w:p>
        </w:tc>
        <w:tc>
          <w:tcPr>
            <w:tcW w:w="3394" w:type="dxa"/>
            <w:vAlign w:val="center"/>
          </w:tcPr>
          <w:p w:rsidR="00CE0FA7" w:rsidRPr="000B5E5D" w:rsidRDefault="00721C77" w:rsidP="00560D8B">
            <w:pPr>
              <w:jc w:val="center"/>
              <w:rPr>
                <w:rFonts w:ascii="StobiSerif Regular" w:hAnsi="StobiSerif Regular" w:cs="Arial"/>
                <w:sz w:val="22"/>
                <w:szCs w:val="22"/>
              </w:rPr>
            </w:pPr>
            <w:r>
              <w:rPr>
                <w:rFonts w:ascii="StobiSerif Regular" w:hAnsi="StobiSerif Regular" w:cs="Arial"/>
                <w:sz w:val="22"/>
                <w:szCs w:val="22"/>
              </w:rPr>
              <w:t>61</w:t>
            </w:r>
            <w:r>
              <w:rPr>
                <w:rFonts w:ascii="StobiSerif Regular" w:hAnsi="StobiSerif Regular" w:cs="Arial"/>
                <w:sz w:val="22"/>
                <w:szCs w:val="22"/>
                <w:lang w:val="mk-MK"/>
              </w:rPr>
              <w:t>,</w:t>
            </w:r>
            <w:r w:rsidR="00CE0FA7" w:rsidRPr="000B5E5D">
              <w:rPr>
                <w:rFonts w:ascii="StobiSerif Regular" w:hAnsi="StobiSerif Regular" w:cs="Arial"/>
                <w:sz w:val="22"/>
                <w:szCs w:val="22"/>
              </w:rPr>
              <w:t>8%</w:t>
            </w:r>
          </w:p>
        </w:tc>
      </w:tr>
    </w:tbl>
    <w:p w:rsidR="00734B0B" w:rsidRPr="00721C77" w:rsidRDefault="00721C77" w:rsidP="00734B0B">
      <w:pPr>
        <w:tabs>
          <w:tab w:val="left" w:pos="720"/>
        </w:tabs>
        <w:spacing w:after="120" w:line="240" w:lineRule="auto"/>
        <w:jc w:val="both"/>
        <w:rPr>
          <w:rFonts w:ascii="StobiSerif Regular" w:hAnsi="StobiSerif Regular"/>
          <w:sz w:val="16"/>
          <w:szCs w:val="16"/>
        </w:rPr>
      </w:pPr>
      <w:r>
        <w:rPr>
          <w:rFonts w:ascii="StobiSerif Regular" w:hAnsi="StobiSerif Regular"/>
          <w:sz w:val="16"/>
          <w:szCs w:val="16"/>
        </w:rPr>
        <w:t xml:space="preserve">Извор </w:t>
      </w:r>
      <w:r>
        <w:rPr>
          <w:rFonts w:ascii="StobiSerif Regular" w:hAnsi="StobiSerif Regular"/>
          <w:sz w:val="16"/>
          <w:szCs w:val="16"/>
          <w:lang w:val="en-GB"/>
        </w:rPr>
        <w:t xml:space="preserve">: </w:t>
      </w:r>
      <w:r>
        <w:rPr>
          <w:rFonts w:ascii="StobiSerif Regular" w:hAnsi="StobiSerif Regular"/>
          <w:sz w:val="16"/>
          <w:szCs w:val="16"/>
        </w:rPr>
        <w:t>Мониторинг систем</w:t>
      </w:r>
    </w:p>
    <w:p w:rsidR="00067F8B" w:rsidRPr="00EF0575" w:rsidRDefault="008A4251" w:rsidP="00067F8B">
      <w:pPr>
        <w:spacing w:before="120" w:after="120" w:line="240" w:lineRule="auto"/>
        <w:outlineLvl w:val="1"/>
        <w:rPr>
          <w:rFonts w:ascii="StobiSerif Regular" w:hAnsi="StobiSerif Regular"/>
          <w:b/>
        </w:rPr>
      </w:pPr>
      <w:bookmarkStart w:id="22" w:name="_Toc485394808"/>
      <w:r w:rsidRPr="00CA5E8B">
        <w:rPr>
          <w:rFonts w:ascii="StobiSerif Regular" w:hAnsi="StobiSerif Regular"/>
          <w:b/>
          <w:lang w:val="en-US"/>
        </w:rPr>
        <w:t>2</w:t>
      </w:r>
      <w:r w:rsidR="00067F8B" w:rsidRPr="00CA5E8B">
        <w:rPr>
          <w:rFonts w:ascii="StobiSerif Regular" w:hAnsi="StobiSerif Regular"/>
          <w:b/>
          <w:lang w:val="en-US"/>
        </w:rPr>
        <w:t xml:space="preserve">.2 </w:t>
      </w:r>
      <w:r w:rsidR="00721C77">
        <w:rPr>
          <w:rFonts w:ascii="StobiSerif Regular" w:hAnsi="StobiSerif Regular"/>
          <w:b/>
        </w:rPr>
        <w:t>Реализиција на програмата во</w:t>
      </w:r>
      <w:r w:rsidR="00067F8B" w:rsidRPr="00CA5E8B">
        <w:rPr>
          <w:rFonts w:ascii="StobiSerif Regular" w:hAnsi="StobiSerif Regular"/>
          <w:b/>
          <w:lang w:val="en-US"/>
        </w:rPr>
        <w:t xml:space="preserve"> 201</w:t>
      </w:r>
      <w:r w:rsidR="00EF0575">
        <w:rPr>
          <w:rFonts w:ascii="StobiSerif Regular" w:hAnsi="StobiSerif Regular"/>
          <w:b/>
        </w:rPr>
        <w:t>6</w:t>
      </w:r>
      <w:r w:rsidR="00721C77">
        <w:rPr>
          <w:rFonts w:ascii="StobiSerif Regular" w:hAnsi="StobiSerif Regular"/>
          <w:b/>
        </w:rPr>
        <w:t xml:space="preserve"> година</w:t>
      </w:r>
      <w:bookmarkEnd w:id="22"/>
    </w:p>
    <w:p w:rsidR="00CA5E8B" w:rsidRPr="00CA5E8B" w:rsidRDefault="00CA5E8B" w:rsidP="00721C77">
      <w:pPr>
        <w:spacing w:after="160" w:line="259" w:lineRule="auto"/>
        <w:ind w:firstLine="720"/>
        <w:jc w:val="both"/>
        <w:rPr>
          <w:rFonts w:ascii="StobiSerif Regular" w:eastAsia="Calibri" w:hAnsi="StobiSerif Regular" w:cs="Times New Roman"/>
        </w:rPr>
      </w:pPr>
      <w:r w:rsidRPr="00CA5E8B">
        <w:rPr>
          <w:rFonts w:ascii="StobiSerif Regular" w:eastAsia="Calibri" w:hAnsi="StobiSerif Regular" w:cs="Times New Roman"/>
        </w:rPr>
        <w:t xml:space="preserve">Во однос на спроведувањето на ИПАРД Програмата 2007-2013, </w:t>
      </w:r>
      <w:r w:rsidR="00D24B9B">
        <w:rPr>
          <w:rFonts w:ascii="StobiSerif Regular" w:eastAsia="Calibri" w:hAnsi="StobiSerif Regular" w:cs="Times New Roman"/>
        </w:rPr>
        <w:t xml:space="preserve">од почетокот на Програмата, </w:t>
      </w:r>
      <w:r w:rsidRPr="00CA5E8B">
        <w:rPr>
          <w:rFonts w:ascii="StobiSerif Regular" w:eastAsia="Calibri" w:hAnsi="StobiSerif Regular" w:cs="Times New Roman"/>
        </w:rPr>
        <w:t xml:space="preserve">Агенцијата за финансиска поддршка во земјоделството и руралниот развој во 2016 година потпиша </w:t>
      </w:r>
      <w:r w:rsidR="00D24B9B">
        <w:rPr>
          <w:rFonts w:ascii="StobiSerif Regular" w:eastAsia="Calibri" w:hAnsi="StobiSerif Regular" w:cs="Times New Roman"/>
        </w:rPr>
        <w:t xml:space="preserve">најголем број договори во една година, односно потпиша </w:t>
      </w:r>
      <w:r w:rsidRPr="00CA5E8B">
        <w:rPr>
          <w:rFonts w:ascii="StobiSerif Regular" w:eastAsia="Calibri" w:hAnsi="StobiSerif Regular" w:cs="Times New Roman"/>
        </w:rPr>
        <w:t>560 договори во износ од 8.559.820 €</w:t>
      </w:r>
      <w:r w:rsidR="005D36AB">
        <w:rPr>
          <w:rFonts w:ascii="StobiSerif Regular" w:eastAsia="Calibri" w:hAnsi="StobiSerif Regular" w:cs="Times New Roman"/>
        </w:rPr>
        <w:t xml:space="preserve"> сума за ко-финансирање</w:t>
      </w:r>
      <w:r w:rsidRPr="00CA5E8B">
        <w:rPr>
          <w:rFonts w:ascii="StobiSerif Regular" w:eastAsia="Calibri" w:hAnsi="StobiSerif Regular" w:cs="Times New Roman"/>
        </w:rPr>
        <w:t>.</w:t>
      </w:r>
    </w:p>
    <w:p w:rsidR="00CA5E8B" w:rsidRPr="00CA5E8B" w:rsidRDefault="00721C77" w:rsidP="00CA5E8B">
      <w:pPr>
        <w:spacing w:after="160" w:line="259" w:lineRule="auto"/>
        <w:jc w:val="both"/>
        <w:rPr>
          <w:rFonts w:ascii="StobiSerif Regular" w:eastAsia="Calibri" w:hAnsi="StobiSerif Regular" w:cs="Times New Roman"/>
        </w:rPr>
      </w:pPr>
      <w:r>
        <w:rPr>
          <w:rFonts w:ascii="StobiSerif Regular" w:eastAsia="Calibri" w:hAnsi="StobiSerif Regular" w:cs="Times New Roman"/>
        </w:rPr>
        <w:t>По однос на ј</w:t>
      </w:r>
      <w:r w:rsidR="00CA5E8B" w:rsidRPr="00CA5E8B">
        <w:rPr>
          <w:rFonts w:ascii="StobiSerif Regular" w:eastAsia="Calibri" w:hAnsi="StobiSerif Regular" w:cs="Times New Roman"/>
        </w:rPr>
        <w:t>авниот повик 02/2014, Агенцијата за финансиска поддршка во земјоделството и руралниот развој потпиша 1 договор во рамк</w:t>
      </w:r>
      <w:r>
        <w:rPr>
          <w:rFonts w:ascii="StobiSerif Regular" w:eastAsia="Calibri" w:hAnsi="StobiSerif Regular" w:cs="Times New Roman"/>
        </w:rPr>
        <w:t>и на мерката 101 во износ од 62.</w:t>
      </w:r>
      <w:r w:rsidR="00CA5E8B" w:rsidRPr="00CA5E8B">
        <w:rPr>
          <w:rFonts w:ascii="StobiSerif Regular" w:eastAsia="Calibri" w:hAnsi="StobiSerif Regular" w:cs="Times New Roman"/>
        </w:rPr>
        <w:t>838 € и 1 договор во рамки на мерка 103 во износ од 1.350.163 €.</w:t>
      </w:r>
      <w:r w:rsidR="00D24B9B" w:rsidRPr="00D24B9B">
        <w:t xml:space="preserve"> </w:t>
      </w:r>
      <w:r w:rsidR="00D24B9B" w:rsidRPr="00D24B9B">
        <w:rPr>
          <w:rFonts w:ascii="StobiSerif Regular" w:eastAsia="Calibri" w:hAnsi="StobiSerif Regular" w:cs="Times New Roman"/>
        </w:rPr>
        <w:t>Исто така во 2016 година</w:t>
      </w:r>
      <w:r w:rsidR="00191FD9">
        <w:rPr>
          <w:rFonts w:ascii="StobiSerif Regular" w:eastAsia="Calibri" w:hAnsi="StobiSerif Regular" w:cs="Times New Roman"/>
        </w:rPr>
        <w:t>,</w:t>
      </w:r>
      <w:r w:rsidR="00D24B9B" w:rsidRPr="00D24B9B">
        <w:rPr>
          <w:rFonts w:ascii="StobiSerif Regular" w:eastAsia="Calibri" w:hAnsi="StobiSerif Regular" w:cs="Times New Roman"/>
        </w:rPr>
        <w:t xml:space="preserve"> </w:t>
      </w:r>
      <w:r w:rsidR="00191FD9" w:rsidRPr="00D24B9B">
        <w:rPr>
          <w:rFonts w:ascii="StobiSerif Regular" w:eastAsia="Calibri" w:hAnsi="StobiSerif Regular" w:cs="Times New Roman"/>
        </w:rPr>
        <w:t>кон крајните корисници е платен највисок</w:t>
      </w:r>
      <w:r w:rsidR="00191FD9">
        <w:rPr>
          <w:rFonts w:ascii="StobiSerif Regular" w:eastAsia="Calibri" w:hAnsi="StobiSerif Regular" w:cs="Times New Roman"/>
        </w:rPr>
        <w:t xml:space="preserve"> </w:t>
      </w:r>
      <w:r w:rsidR="00D24B9B" w:rsidRPr="00D24B9B">
        <w:rPr>
          <w:rFonts w:ascii="StobiSerif Regular" w:eastAsia="Calibri" w:hAnsi="StobiSerif Regular" w:cs="Times New Roman"/>
        </w:rPr>
        <w:t>износ на</w:t>
      </w:r>
      <w:r w:rsidR="00191FD9">
        <w:rPr>
          <w:rFonts w:ascii="StobiSerif Regular" w:eastAsia="Calibri" w:hAnsi="StobiSerif Regular" w:cs="Times New Roman"/>
        </w:rPr>
        <w:t xml:space="preserve"> кофинансирање (само дел од ЕУ).</w:t>
      </w:r>
    </w:p>
    <w:p w:rsidR="00CA5E8B" w:rsidRPr="00CA5E8B" w:rsidRDefault="00721C77" w:rsidP="00CA5E8B">
      <w:pPr>
        <w:spacing w:after="160" w:line="259" w:lineRule="auto"/>
        <w:jc w:val="both"/>
        <w:rPr>
          <w:rFonts w:ascii="StobiSerif Regular" w:eastAsia="Calibri" w:hAnsi="StobiSerif Regular" w:cs="Times New Roman"/>
        </w:rPr>
      </w:pPr>
      <w:r>
        <w:rPr>
          <w:rFonts w:ascii="StobiSerif Regular" w:eastAsia="Calibri" w:hAnsi="StobiSerif Regular" w:cs="Times New Roman"/>
        </w:rPr>
        <w:t>Од ј</w:t>
      </w:r>
      <w:r w:rsidR="00CA5E8B" w:rsidRPr="00CA5E8B">
        <w:rPr>
          <w:rFonts w:ascii="StobiSerif Regular" w:eastAsia="Calibri" w:hAnsi="StobiSerif Regular" w:cs="Times New Roman"/>
        </w:rPr>
        <w:t>авниот повик 01/2015, Агенцијата за финансиска поддршка во земјоделството и руралниот развој потпиша 412 договори во рамки на мерка 101 во износ од 4.291.295 €, 1 договор во рамки на мер</w:t>
      </w:r>
      <w:r>
        <w:rPr>
          <w:rFonts w:ascii="StobiSerif Regular" w:eastAsia="Calibri" w:hAnsi="StobiSerif Regular" w:cs="Times New Roman"/>
        </w:rPr>
        <w:t>ка мерка 103 во износ од 105.</w:t>
      </w:r>
      <w:r w:rsidR="00CA5E8B" w:rsidRPr="00CA5E8B">
        <w:rPr>
          <w:rFonts w:ascii="StobiSerif Regular" w:eastAsia="Calibri" w:hAnsi="StobiSerif Regular" w:cs="Times New Roman"/>
        </w:rPr>
        <w:t>598 € и 2 договори во ра</w:t>
      </w:r>
      <w:r>
        <w:rPr>
          <w:rFonts w:ascii="StobiSerif Regular" w:eastAsia="Calibri" w:hAnsi="StobiSerif Regular" w:cs="Times New Roman"/>
        </w:rPr>
        <w:t>мки на мерка 302 во износ од 18.</w:t>
      </w:r>
      <w:r w:rsidR="00CA5E8B" w:rsidRPr="00CA5E8B">
        <w:rPr>
          <w:rFonts w:ascii="StobiSerif Regular" w:eastAsia="Calibri" w:hAnsi="StobiSerif Regular" w:cs="Times New Roman"/>
        </w:rPr>
        <w:t>487 €.</w:t>
      </w:r>
    </w:p>
    <w:p w:rsidR="00CA5E8B" w:rsidRPr="00CA5E8B" w:rsidRDefault="00721C77" w:rsidP="00CA5E8B">
      <w:pPr>
        <w:spacing w:after="160" w:line="259" w:lineRule="auto"/>
        <w:jc w:val="both"/>
        <w:rPr>
          <w:rFonts w:ascii="StobiSerif Regular" w:eastAsia="Calibri" w:hAnsi="StobiSerif Regular" w:cs="Times New Roman"/>
        </w:rPr>
      </w:pPr>
      <w:r>
        <w:rPr>
          <w:rFonts w:ascii="StobiSerif Regular" w:eastAsia="Calibri" w:hAnsi="StobiSerif Regular" w:cs="Times New Roman"/>
        </w:rPr>
        <w:t>По однос на ј</w:t>
      </w:r>
      <w:r w:rsidR="00CA5E8B" w:rsidRPr="00CA5E8B">
        <w:rPr>
          <w:rFonts w:ascii="StobiSerif Regular" w:eastAsia="Calibri" w:hAnsi="StobiSerif Regular" w:cs="Times New Roman"/>
        </w:rPr>
        <w:t>авниот повик 02/2015 Агенцијата за финансиска поддршка во земјоделството и руралниот развој потпиша 129 договори во рам</w:t>
      </w:r>
      <w:r>
        <w:rPr>
          <w:rFonts w:ascii="StobiSerif Regular" w:eastAsia="Calibri" w:hAnsi="StobiSerif Regular" w:cs="Times New Roman"/>
        </w:rPr>
        <w:t>ки на мерка 101 во износ од 562.</w:t>
      </w:r>
      <w:r w:rsidR="00CA5E8B" w:rsidRPr="00CA5E8B">
        <w:rPr>
          <w:rFonts w:ascii="StobiSerif Regular" w:eastAsia="Calibri" w:hAnsi="StobiSerif Regular" w:cs="Times New Roman"/>
        </w:rPr>
        <w:t>925€, 6 договори во рамки на мерка 103 во износ од 1.468.402 €, а 8 договори во рам</w:t>
      </w:r>
      <w:r>
        <w:rPr>
          <w:rFonts w:ascii="StobiSerif Regular" w:eastAsia="Calibri" w:hAnsi="StobiSerif Regular" w:cs="Times New Roman"/>
        </w:rPr>
        <w:t>ки на мерка 302 во износ од 700.</w:t>
      </w:r>
      <w:r w:rsidR="00CA5E8B" w:rsidRPr="00CA5E8B">
        <w:rPr>
          <w:rFonts w:ascii="StobiSerif Regular" w:eastAsia="Calibri" w:hAnsi="StobiSerif Regular" w:cs="Times New Roman"/>
        </w:rPr>
        <w:t>113 €.</w:t>
      </w:r>
    </w:p>
    <w:p w:rsidR="00CA5E8B" w:rsidRPr="00CA5E8B" w:rsidRDefault="00CA5E8B" w:rsidP="00CA5E8B">
      <w:p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Во текот на годината, Агенцијата за финансиска поддршка во земјоделството и руралниот развој не објави јавни повици за мерките од ИПАРД Програмата.</w:t>
      </w:r>
    </w:p>
    <w:p w:rsidR="00CA5E8B" w:rsidRPr="00CA5E8B" w:rsidRDefault="00CA5E8B" w:rsidP="00CA5E8B">
      <w:p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Најчести причини за склучување анекси на договорите во 2016 година беа поради промена на типот/моделот на добрата кои се дел од инвестициите и</w:t>
      </w:r>
      <w:r w:rsidR="00C64753">
        <w:rPr>
          <w:rFonts w:ascii="StobiSerif Regular" w:eastAsia="Calibri" w:hAnsi="StobiSerif Regular" w:cs="Times New Roman"/>
        </w:rPr>
        <w:t>/или</w:t>
      </w:r>
      <w:r w:rsidRPr="00CA5E8B">
        <w:rPr>
          <w:rFonts w:ascii="StobiSerif Regular" w:eastAsia="Calibri" w:hAnsi="StobiSerif Regular" w:cs="Times New Roman"/>
        </w:rPr>
        <w:t xml:space="preserve"> промена на понудувачот.</w:t>
      </w:r>
    </w:p>
    <w:p w:rsidR="00CA5E8B" w:rsidRPr="00CA5E8B" w:rsidRDefault="00CA5E8B" w:rsidP="00CA5E8B">
      <w:p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Во текот на 2016 година, Агенцијата за финансиска поддршка во земјоделството и руралниот развој прими 402 барања</w:t>
      </w:r>
      <w:r w:rsidR="00C64753">
        <w:rPr>
          <w:rFonts w:ascii="StobiSerif Regular" w:eastAsia="Calibri" w:hAnsi="StobiSerif Regular" w:cs="Times New Roman"/>
        </w:rPr>
        <w:t xml:space="preserve"> за исплата</w:t>
      </w:r>
      <w:r w:rsidRPr="00CA5E8B">
        <w:rPr>
          <w:rFonts w:ascii="StobiSerif Regular" w:eastAsia="Calibri" w:hAnsi="StobiSerif Regular" w:cs="Times New Roman"/>
        </w:rPr>
        <w:t xml:space="preserve">. </w:t>
      </w:r>
      <w:r w:rsidR="00C64753">
        <w:rPr>
          <w:rFonts w:ascii="StobiSerif Regular" w:eastAsia="Calibri" w:hAnsi="StobiSerif Regular" w:cs="Times New Roman"/>
        </w:rPr>
        <w:t xml:space="preserve">Одобрени се </w:t>
      </w:r>
      <w:r w:rsidRPr="00CA5E8B">
        <w:rPr>
          <w:rFonts w:ascii="StobiSerif Regular" w:eastAsia="Calibri" w:hAnsi="StobiSerif Regular" w:cs="Times New Roman"/>
        </w:rPr>
        <w:t>286 барања за</w:t>
      </w:r>
      <w:r w:rsidR="00C64753">
        <w:rPr>
          <w:rFonts w:ascii="StobiSerif Regular" w:eastAsia="Calibri" w:hAnsi="StobiSerif Regular" w:cs="Times New Roman"/>
        </w:rPr>
        <w:t xml:space="preserve"> исплата, 12 барања за исплата се </w:t>
      </w:r>
      <w:r w:rsidRPr="00CA5E8B">
        <w:rPr>
          <w:rFonts w:ascii="StobiSerif Regular" w:eastAsia="Calibri" w:hAnsi="StobiSerif Regular" w:cs="Times New Roman"/>
        </w:rPr>
        <w:t xml:space="preserve">одбиени и 65 договори </w:t>
      </w:r>
      <w:r w:rsidR="00C64753">
        <w:rPr>
          <w:rFonts w:ascii="StobiSerif Regular" w:eastAsia="Calibri" w:hAnsi="StobiSerif Regular" w:cs="Times New Roman"/>
        </w:rPr>
        <w:t>се</w:t>
      </w:r>
      <w:r w:rsidRPr="00CA5E8B">
        <w:rPr>
          <w:rFonts w:ascii="StobiSerif Regular" w:eastAsia="Calibri" w:hAnsi="StobiSerif Regular" w:cs="Times New Roman"/>
        </w:rPr>
        <w:t xml:space="preserve"> раскинати.</w:t>
      </w:r>
      <w:r w:rsidR="000C5A4B" w:rsidRPr="000C5A4B">
        <w:t xml:space="preserve"> </w:t>
      </w:r>
      <w:r w:rsidR="000C5A4B" w:rsidRPr="000C5A4B">
        <w:rPr>
          <w:rFonts w:ascii="StobiSerif Regular" w:eastAsia="Calibri" w:hAnsi="StobiSerif Regular" w:cs="Times New Roman"/>
        </w:rPr>
        <w:t>Останатиот дел од 402 добиени</w:t>
      </w:r>
      <w:r w:rsidR="000C5A4B">
        <w:rPr>
          <w:rFonts w:ascii="StobiSerif Regular" w:eastAsia="Calibri" w:hAnsi="StobiSerif Regular" w:cs="Times New Roman"/>
        </w:rPr>
        <w:t xml:space="preserve"> побарувања за плаќање се уште </w:t>
      </w:r>
      <w:r w:rsidR="000C5A4B" w:rsidRPr="000C5A4B">
        <w:rPr>
          <w:rFonts w:ascii="StobiSerif Regular" w:eastAsia="Calibri" w:hAnsi="StobiSerif Regular" w:cs="Times New Roman"/>
        </w:rPr>
        <w:t>е во тек.</w:t>
      </w:r>
    </w:p>
    <w:p w:rsidR="00CA5E8B" w:rsidRPr="00CA5E8B" w:rsidRDefault="00CA5E8B" w:rsidP="00CA5E8B">
      <w:p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Исто така, во 2016 година, Агенцијата издаде 3 решенија за поврат на средствата.</w:t>
      </w:r>
    </w:p>
    <w:p w:rsidR="00CA5E8B" w:rsidRPr="00CA5E8B" w:rsidRDefault="00CA5E8B" w:rsidP="00CA5E8B">
      <w:p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Вкупниот</w:t>
      </w:r>
      <w:r w:rsidR="00C64753">
        <w:rPr>
          <w:rFonts w:ascii="StobiSerif Regular" w:eastAsia="Calibri" w:hAnsi="StobiSerif Regular" w:cs="Times New Roman"/>
        </w:rPr>
        <w:t xml:space="preserve"> одобрен</w:t>
      </w:r>
      <w:r w:rsidRPr="00CA5E8B">
        <w:rPr>
          <w:rFonts w:ascii="StobiSerif Regular" w:eastAsia="Calibri" w:hAnsi="StobiSerif Regular" w:cs="Times New Roman"/>
        </w:rPr>
        <w:t xml:space="preserve"> и</w:t>
      </w:r>
      <w:r w:rsidR="00C64753">
        <w:rPr>
          <w:rFonts w:ascii="StobiSerif Regular" w:eastAsia="Calibri" w:hAnsi="StobiSerif Regular" w:cs="Times New Roman"/>
        </w:rPr>
        <w:t>знос за исплата во 2016 година изнесува</w:t>
      </w:r>
      <w:r w:rsidRPr="00CA5E8B">
        <w:rPr>
          <w:rFonts w:ascii="StobiSerif Regular" w:eastAsia="Calibri" w:hAnsi="StobiSerif Regular" w:cs="Times New Roman"/>
        </w:rPr>
        <w:t xml:space="preserve"> 4.117.440 €.</w:t>
      </w:r>
    </w:p>
    <w:p w:rsidR="00CA5E8B" w:rsidRPr="00CA5E8B" w:rsidRDefault="00CA5E8B" w:rsidP="00CA5E8B">
      <w:p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1. Примени барања за исплата во 2016 година</w:t>
      </w:r>
    </w:p>
    <w:p w:rsidR="00CA5E8B" w:rsidRPr="00CA5E8B" w:rsidRDefault="00CA5E8B" w:rsidP="00BA1CE8">
      <w:pPr>
        <w:numPr>
          <w:ilvl w:val="0"/>
          <w:numId w:val="38"/>
        </w:num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за Мерка 101, 386 барања за исплата</w:t>
      </w:r>
    </w:p>
    <w:p w:rsidR="00CA5E8B" w:rsidRPr="00CA5E8B" w:rsidRDefault="00CA5E8B" w:rsidP="00BA1CE8">
      <w:pPr>
        <w:numPr>
          <w:ilvl w:val="0"/>
          <w:numId w:val="38"/>
        </w:num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За мерката 103, 8 барањата за исплата</w:t>
      </w:r>
    </w:p>
    <w:p w:rsidR="00CA5E8B" w:rsidRPr="00CA5E8B" w:rsidRDefault="00CA5E8B" w:rsidP="00BA1CE8">
      <w:pPr>
        <w:numPr>
          <w:ilvl w:val="0"/>
          <w:numId w:val="38"/>
        </w:num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за Мерка 302, 8 барањата за исплата</w:t>
      </w:r>
    </w:p>
    <w:p w:rsidR="00CA5E8B" w:rsidRPr="00CA5E8B" w:rsidRDefault="00CA5E8B" w:rsidP="00CA5E8B">
      <w:p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2. Одобрени барања за плаќање во 2016 година:</w:t>
      </w:r>
    </w:p>
    <w:p w:rsidR="00CA5E8B" w:rsidRPr="00CA5E8B" w:rsidRDefault="00CA5E8B" w:rsidP="00BA1CE8">
      <w:pPr>
        <w:numPr>
          <w:ilvl w:val="0"/>
          <w:numId w:val="39"/>
        </w:num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за Мерка 101, 269 барања за исплата</w:t>
      </w:r>
    </w:p>
    <w:p w:rsidR="00CA5E8B" w:rsidRPr="00CA5E8B" w:rsidRDefault="00CA5E8B" w:rsidP="00BA1CE8">
      <w:pPr>
        <w:numPr>
          <w:ilvl w:val="0"/>
          <w:numId w:val="39"/>
        </w:num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 xml:space="preserve"> за мерка 103, 12 барањата за исплата</w:t>
      </w:r>
    </w:p>
    <w:p w:rsidR="00CA5E8B" w:rsidRPr="00CA5E8B" w:rsidRDefault="00CA5E8B" w:rsidP="00BA1CE8">
      <w:pPr>
        <w:numPr>
          <w:ilvl w:val="0"/>
          <w:numId w:val="39"/>
        </w:num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за Мерка 302, 5 барањата за исплата</w:t>
      </w:r>
    </w:p>
    <w:p w:rsidR="00CA5E8B" w:rsidRPr="00CA5E8B" w:rsidRDefault="00CA5E8B" w:rsidP="00CA5E8B">
      <w:p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3. Вкупен одобрен износ за плаќање:</w:t>
      </w:r>
    </w:p>
    <w:p w:rsidR="00CA5E8B" w:rsidRPr="00CA5E8B" w:rsidRDefault="00CA5E8B" w:rsidP="00BA1CE8">
      <w:pPr>
        <w:numPr>
          <w:ilvl w:val="0"/>
          <w:numId w:val="40"/>
        </w:num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за Мерка 101, 2.400.235 €</w:t>
      </w:r>
    </w:p>
    <w:p w:rsidR="00CA5E8B" w:rsidRPr="00CA5E8B" w:rsidRDefault="00CA5E8B" w:rsidP="00BA1CE8">
      <w:pPr>
        <w:numPr>
          <w:ilvl w:val="0"/>
          <w:numId w:val="40"/>
        </w:num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за Мерка 103, 1.455.758 €.</w:t>
      </w:r>
    </w:p>
    <w:p w:rsidR="00CA5E8B" w:rsidRPr="00CA5E8B" w:rsidRDefault="00CA5E8B" w:rsidP="00BA1CE8">
      <w:pPr>
        <w:numPr>
          <w:ilvl w:val="0"/>
          <w:numId w:val="40"/>
        </w:num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за Мерка 302, 261,447 €</w:t>
      </w:r>
    </w:p>
    <w:p w:rsidR="00CA5E8B" w:rsidRDefault="00CA5E8B" w:rsidP="00CA5E8B">
      <w:pPr>
        <w:spacing w:after="160" w:line="259" w:lineRule="auto"/>
        <w:jc w:val="both"/>
        <w:rPr>
          <w:rFonts w:ascii="StobiSerif Regular" w:eastAsia="Calibri" w:hAnsi="StobiSerif Regular" w:cs="Times New Roman"/>
        </w:rPr>
      </w:pPr>
      <w:r w:rsidRPr="00CA5E8B">
        <w:rPr>
          <w:rFonts w:ascii="StobiSerif Regular" w:eastAsia="Calibri" w:hAnsi="StobiSerif Regular" w:cs="Times New Roman"/>
        </w:rPr>
        <w:t>Вкупно: 4.117.440 €.</w:t>
      </w:r>
    </w:p>
    <w:p w:rsidR="00CD596D" w:rsidRPr="003C68F4" w:rsidRDefault="003A533D" w:rsidP="00CD596D">
      <w:pPr>
        <w:spacing w:after="120"/>
        <w:rPr>
          <w:rFonts w:ascii="StobiSerif Regular" w:eastAsia="Times New Roman" w:hAnsi="StobiSerif Regular" w:cs="Times New Roman"/>
          <w:lang w:eastAsia="en-GB"/>
        </w:rPr>
      </w:pPr>
      <w:r>
        <w:rPr>
          <w:rFonts w:ascii="StobiSerif Regular" w:eastAsia="Times New Roman" w:hAnsi="StobiSerif Regular" w:cs="Times New Roman"/>
          <w:lang w:eastAsia="en-GB"/>
        </w:rPr>
        <w:t>В</w:t>
      </w:r>
      <w:r w:rsidR="00CD596D" w:rsidRPr="003E2AB3">
        <w:rPr>
          <w:rFonts w:ascii="StobiSerif Regular" w:eastAsia="Times New Roman" w:hAnsi="StobiSerif Regular" w:cs="Times New Roman"/>
          <w:lang w:val="en-US" w:eastAsia="en-GB"/>
        </w:rPr>
        <w:t xml:space="preserve">о текот на 2016 година </w:t>
      </w:r>
      <w:r w:rsidR="00CD596D">
        <w:rPr>
          <w:rFonts w:ascii="StobiSerif Regular" w:eastAsia="Times New Roman" w:hAnsi="StobiSerif Regular" w:cs="Times New Roman"/>
          <w:lang w:eastAsia="en-GB"/>
        </w:rPr>
        <w:t xml:space="preserve"> склучени се </w:t>
      </w:r>
      <w:r w:rsidR="00CD596D" w:rsidRPr="003E2AB3">
        <w:rPr>
          <w:rFonts w:ascii="StobiSerif Regular" w:eastAsia="Times New Roman" w:hAnsi="StobiSerif Regular" w:cs="Times New Roman"/>
          <w:lang w:val="en-US" w:eastAsia="en-GB"/>
        </w:rPr>
        <w:t xml:space="preserve"> 560 проекти со вкупен износ од 6.668.186 € ЕУ дел, од кои 71 беа прекинати со износ од 659.054 €. Агенцијата во оваа година </w:t>
      </w:r>
      <w:r w:rsidR="00CD596D">
        <w:rPr>
          <w:rFonts w:ascii="StobiSerif Regular" w:eastAsia="Times New Roman" w:hAnsi="StobiSerif Regular" w:cs="Times New Roman"/>
          <w:lang w:eastAsia="en-GB"/>
        </w:rPr>
        <w:t>ис</w:t>
      </w:r>
      <w:r w:rsidR="00CD596D" w:rsidRPr="003E2AB3">
        <w:rPr>
          <w:rFonts w:ascii="StobiSerif Regular" w:eastAsia="Times New Roman" w:hAnsi="StobiSerif Regular" w:cs="Times New Roman"/>
          <w:lang w:val="en-US" w:eastAsia="en-GB"/>
        </w:rPr>
        <w:t xml:space="preserve">плати 286 проекти во вредност од 3.152.981 евра што е значително повисоко во споредба со спроведувањето </w:t>
      </w:r>
      <w:r w:rsidR="00CD596D">
        <w:rPr>
          <w:rFonts w:ascii="StobiSerif Regular" w:eastAsia="Times New Roman" w:hAnsi="StobiSerif Regular" w:cs="Times New Roman"/>
          <w:lang w:eastAsia="en-GB"/>
        </w:rPr>
        <w:t>во</w:t>
      </w:r>
      <w:r w:rsidR="00CD596D" w:rsidRPr="003E2AB3">
        <w:rPr>
          <w:rFonts w:ascii="StobiSerif Regular" w:eastAsia="Times New Roman" w:hAnsi="StobiSerif Regular" w:cs="Times New Roman"/>
          <w:lang w:val="en-US" w:eastAsia="en-GB"/>
        </w:rPr>
        <w:t xml:space="preserve"> 2015 година, кога 227 договори со вкупен износ од 1.821.247 € ЕУ се </w:t>
      </w:r>
      <w:r w:rsidR="00CD596D" w:rsidRPr="003C68F4">
        <w:rPr>
          <w:rFonts w:ascii="StobiSerif Regular" w:eastAsia="Times New Roman" w:hAnsi="StobiSerif Regular" w:cs="Times New Roman"/>
          <w:lang w:val="en-US" w:eastAsia="en-GB"/>
        </w:rPr>
        <w:t>исплатени кон крајните корисници.</w:t>
      </w:r>
      <w:r w:rsidR="00CD596D" w:rsidRPr="003C68F4">
        <w:rPr>
          <w:rFonts w:ascii="StobiSerif Regular" w:eastAsia="Times New Roman" w:hAnsi="StobiSerif Regular" w:cs="Times New Roman"/>
          <w:lang w:eastAsia="en-GB"/>
        </w:rPr>
        <w:t xml:space="preserve"> </w:t>
      </w:r>
    </w:p>
    <w:p w:rsidR="00CD596D" w:rsidRPr="00677FC7" w:rsidRDefault="00CD596D" w:rsidP="00CD596D">
      <w:pPr>
        <w:spacing w:after="120" w:line="240" w:lineRule="auto"/>
        <w:rPr>
          <w:rFonts w:ascii="StobiSerif Regular" w:eastAsia="Times New Roman" w:hAnsi="StobiSerif Regular" w:cs="Times New Roman"/>
          <w:b/>
          <w:lang w:eastAsia="en-GB"/>
        </w:rPr>
      </w:pPr>
      <w:r w:rsidRPr="00677FC7">
        <w:rPr>
          <w:rFonts w:ascii="StobiSerif Regular" w:eastAsia="Times New Roman" w:hAnsi="StobiSerif Regular" w:cs="Times New Roman"/>
          <w:b/>
          <w:lang w:eastAsia="en-GB"/>
        </w:rPr>
        <w:t>Табела</w:t>
      </w:r>
      <w:r w:rsidRPr="00677FC7">
        <w:rPr>
          <w:rFonts w:ascii="StobiSerif Regular" w:eastAsia="Times New Roman" w:hAnsi="StobiSerif Regular" w:cs="Times New Roman"/>
          <w:b/>
          <w:lang w:val="en-US" w:eastAsia="en-GB"/>
        </w:rPr>
        <w:t xml:space="preserve"> 28: Преглед на спроведување во текот на  2016 (01.2016-10.2016) во €</w:t>
      </w:r>
    </w:p>
    <w:tbl>
      <w:tblPr>
        <w:tblpPr w:leftFromText="180" w:rightFromText="180" w:vertAnchor="text" w:horzAnchor="margin" w:tblpY="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992"/>
        <w:gridCol w:w="1134"/>
        <w:gridCol w:w="567"/>
        <w:gridCol w:w="1134"/>
        <w:gridCol w:w="1134"/>
        <w:gridCol w:w="567"/>
        <w:gridCol w:w="1134"/>
        <w:gridCol w:w="992"/>
      </w:tblGrid>
      <w:tr w:rsidR="00CD596D" w:rsidRPr="005D36AB" w:rsidTr="00C624B5">
        <w:trPr>
          <w:trHeight w:val="288"/>
        </w:trPr>
        <w:tc>
          <w:tcPr>
            <w:tcW w:w="817" w:type="dxa"/>
            <w:vMerge w:val="restart"/>
            <w:tcBorders>
              <w:top w:val="single" w:sz="12" w:space="0" w:color="auto"/>
            </w:tcBorders>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p>
        </w:tc>
        <w:tc>
          <w:tcPr>
            <w:tcW w:w="2835" w:type="dxa"/>
            <w:gridSpan w:val="3"/>
            <w:tcBorders>
              <w:top w:val="single" w:sz="12" w:space="0" w:color="auto"/>
            </w:tcBorders>
          </w:tcPr>
          <w:p w:rsidR="00CD596D" w:rsidRPr="005D36AB" w:rsidRDefault="00C23AE7" w:rsidP="00C624B5">
            <w:pPr>
              <w:spacing w:after="0" w:line="288" w:lineRule="auto"/>
              <w:jc w:val="both"/>
              <w:rPr>
                <w:rFonts w:ascii="StobiSerif Regular" w:hAnsi="StobiSerif Regular"/>
                <w:b/>
                <w:sz w:val="16"/>
                <w:szCs w:val="16"/>
              </w:rPr>
            </w:pPr>
            <w:r>
              <w:rPr>
                <w:rFonts w:ascii="StobiSerif Regular" w:hAnsi="StobiSerif Regular"/>
                <w:b/>
                <w:sz w:val="16"/>
                <w:szCs w:val="16"/>
              </w:rPr>
              <w:t>Склучени договори</w:t>
            </w:r>
          </w:p>
        </w:tc>
        <w:tc>
          <w:tcPr>
            <w:tcW w:w="2835" w:type="dxa"/>
            <w:gridSpan w:val="3"/>
            <w:tcBorders>
              <w:top w:val="single" w:sz="12" w:space="0" w:color="auto"/>
            </w:tcBorders>
          </w:tcPr>
          <w:p w:rsidR="00CD596D" w:rsidRPr="005D36AB" w:rsidRDefault="00C64753" w:rsidP="00C624B5">
            <w:pPr>
              <w:spacing w:after="0" w:line="288" w:lineRule="auto"/>
              <w:jc w:val="both"/>
              <w:rPr>
                <w:rFonts w:ascii="StobiSerif Regular" w:hAnsi="StobiSerif Regular"/>
                <w:b/>
                <w:sz w:val="16"/>
                <w:szCs w:val="16"/>
              </w:rPr>
            </w:pPr>
            <w:r w:rsidRPr="005D36AB">
              <w:rPr>
                <w:rFonts w:ascii="StobiSerif Regular" w:hAnsi="StobiSerif Regular"/>
                <w:b/>
                <w:sz w:val="16"/>
                <w:szCs w:val="16"/>
              </w:rPr>
              <w:t>Раскинати</w:t>
            </w:r>
            <w:r w:rsidR="00C23AE7">
              <w:rPr>
                <w:rFonts w:ascii="StobiSerif Regular" w:hAnsi="StobiSerif Regular"/>
                <w:b/>
                <w:sz w:val="16"/>
                <w:szCs w:val="16"/>
              </w:rPr>
              <w:t xml:space="preserve"> договори</w:t>
            </w:r>
          </w:p>
        </w:tc>
        <w:tc>
          <w:tcPr>
            <w:tcW w:w="2693" w:type="dxa"/>
            <w:gridSpan w:val="3"/>
            <w:tcBorders>
              <w:top w:val="single" w:sz="12" w:space="0" w:color="auto"/>
            </w:tcBorders>
          </w:tcPr>
          <w:p w:rsidR="00CD596D" w:rsidRPr="005D36AB" w:rsidRDefault="00C64753" w:rsidP="00C624B5">
            <w:pPr>
              <w:spacing w:after="0" w:line="288" w:lineRule="auto"/>
              <w:jc w:val="both"/>
              <w:rPr>
                <w:rFonts w:ascii="StobiSerif Regular" w:hAnsi="StobiSerif Regular"/>
                <w:b/>
                <w:sz w:val="16"/>
                <w:szCs w:val="16"/>
              </w:rPr>
            </w:pPr>
            <w:r w:rsidRPr="005D36AB">
              <w:rPr>
                <w:rFonts w:ascii="StobiSerif Regular" w:hAnsi="StobiSerif Regular"/>
                <w:b/>
                <w:sz w:val="16"/>
                <w:szCs w:val="16"/>
              </w:rPr>
              <w:t>Исплатени</w:t>
            </w:r>
            <w:r w:rsidR="00C23AE7">
              <w:rPr>
                <w:rFonts w:ascii="StobiSerif Regular" w:hAnsi="StobiSerif Regular"/>
                <w:b/>
                <w:sz w:val="16"/>
                <w:szCs w:val="16"/>
              </w:rPr>
              <w:t xml:space="preserve"> договори</w:t>
            </w:r>
          </w:p>
        </w:tc>
      </w:tr>
      <w:tr w:rsidR="00CD596D" w:rsidRPr="005D36AB" w:rsidTr="00C624B5">
        <w:trPr>
          <w:trHeight w:val="223"/>
        </w:trPr>
        <w:tc>
          <w:tcPr>
            <w:tcW w:w="817" w:type="dxa"/>
            <w:vMerge/>
            <w:shd w:val="clear" w:color="auto" w:fill="auto"/>
            <w:vAlign w:val="center"/>
            <w:hideMark/>
          </w:tcPr>
          <w:p w:rsidR="00CD596D" w:rsidRPr="005D36AB" w:rsidRDefault="00CD596D" w:rsidP="00C624B5">
            <w:pPr>
              <w:spacing w:after="0" w:line="288" w:lineRule="auto"/>
              <w:jc w:val="both"/>
              <w:rPr>
                <w:rFonts w:ascii="StobiSerif Regular" w:hAnsi="StobiSerif Regular"/>
                <w:sz w:val="16"/>
                <w:szCs w:val="16"/>
                <w:lang w:val="en-US"/>
              </w:rPr>
            </w:pPr>
          </w:p>
        </w:tc>
        <w:tc>
          <w:tcPr>
            <w:tcW w:w="709" w:type="dxa"/>
            <w:shd w:val="clear" w:color="auto" w:fill="auto"/>
            <w:vAlign w:val="center"/>
            <w:hideMark/>
          </w:tcPr>
          <w:p w:rsidR="00CD596D" w:rsidRPr="005D36AB" w:rsidRDefault="00C64753"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rPr>
              <w:t>Бр</w:t>
            </w:r>
            <w:r w:rsidR="00CD596D" w:rsidRPr="005D36AB">
              <w:rPr>
                <w:rFonts w:ascii="StobiSerif Regular" w:hAnsi="StobiSerif Regular"/>
                <w:sz w:val="16"/>
                <w:szCs w:val="16"/>
                <w:lang w:val="en-US"/>
              </w:rPr>
              <w:t xml:space="preserve"> </w:t>
            </w:r>
          </w:p>
        </w:tc>
        <w:tc>
          <w:tcPr>
            <w:tcW w:w="992" w:type="dxa"/>
          </w:tcPr>
          <w:p w:rsidR="00CD596D" w:rsidRPr="005D36AB" w:rsidRDefault="00C64753" w:rsidP="00C624B5">
            <w:pPr>
              <w:spacing w:after="0" w:line="288" w:lineRule="auto"/>
              <w:jc w:val="both"/>
              <w:rPr>
                <w:rFonts w:ascii="StobiSerif Regular" w:hAnsi="StobiSerif Regular"/>
                <w:sz w:val="16"/>
                <w:szCs w:val="16"/>
              </w:rPr>
            </w:pPr>
            <w:r w:rsidRPr="005D36AB">
              <w:rPr>
                <w:rFonts w:ascii="StobiSerif Regular" w:hAnsi="StobiSerif Regular"/>
                <w:sz w:val="16"/>
                <w:szCs w:val="16"/>
              </w:rPr>
              <w:t>Национален дел</w:t>
            </w:r>
          </w:p>
        </w:tc>
        <w:tc>
          <w:tcPr>
            <w:tcW w:w="1134" w:type="dxa"/>
            <w:shd w:val="clear" w:color="auto" w:fill="auto"/>
            <w:vAlign w:val="center"/>
            <w:hideMark/>
          </w:tcPr>
          <w:p w:rsidR="00CD596D" w:rsidRPr="005D36AB" w:rsidRDefault="00C64753" w:rsidP="00C624B5">
            <w:pPr>
              <w:spacing w:after="0" w:line="288" w:lineRule="auto"/>
              <w:jc w:val="both"/>
              <w:rPr>
                <w:rFonts w:ascii="StobiSerif Regular" w:hAnsi="StobiSerif Regular"/>
                <w:sz w:val="16"/>
                <w:szCs w:val="16"/>
              </w:rPr>
            </w:pPr>
            <w:r w:rsidRPr="005D36AB">
              <w:rPr>
                <w:rFonts w:ascii="StobiSerif Regular" w:hAnsi="StobiSerif Regular"/>
                <w:sz w:val="16"/>
                <w:szCs w:val="16"/>
                <w:lang w:val="en-US"/>
              </w:rPr>
              <w:t>E</w:t>
            </w:r>
            <w:r w:rsidR="005D36AB" w:rsidRPr="005D36AB">
              <w:rPr>
                <w:rFonts w:ascii="StobiSerif Regular" w:hAnsi="StobiSerif Regular"/>
                <w:sz w:val="16"/>
                <w:szCs w:val="16"/>
              </w:rPr>
              <w:t>У</w:t>
            </w:r>
            <w:r w:rsidRPr="005D36AB">
              <w:rPr>
                <w:rFonts w:ascii="StobiSerif Regular" w:hAnsi="StobiSerif Regular"/>
                <w:sz w:val="16"/>
                <w:szCs w:val="16"/>
                <w:lang w:val="en-US"/>
              </w:rPr>
              <w:t xml:space="preserve"> </w:t>
            </w:r>
            <w:r w:rsidR="005D36AB" w:rsidRPr="005D36AB">
              <w:rPr>
                <w:rFonts w:ascii="StobiSerif Regular" w:hAnsi="StobiSerif Regular"/>
                <w:sz w:val="16"/>
                <w:szCs w:val="16"/>
              </w:rPr>
              <w:t>средства</w:t>
            </w:r>
          </w:p>
        </w:tc>
        <w:tc>
          <w:tcPr>
            <w:tcW w:w="567" w:type="dxa"/>
            <w:shd w:val="clear" w:color="auto" w:fill="auto"/>
            <w:vAlign w:val="center"/>
            <w:hideMark/>
          </w:tcPr>
          <w:p w:rsidR="00CD596D" w:rsidRPr="005D36AB" w:rsidRDefault="00C64753"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rPr>
              <w:t>Бр</w:t>
            </w:r>
            <w:r w:rsidR="00CD596D" w:rsidRPr="005D36AB">
              <w:rPr>
                <w:rFonts w:ascii="StobiSerif Regular" w:hAnsi="StobiSerif Regular"/>
                <w:sz w:val="16"/>
                <w:szCs w:val="16"/>
                <w:lang w:val="en-US"/>
              </w:rPr>
              <w:t xml:space="preserve"> </w:t>
            </w:r>
          </w:p>
        </w:tc>
        <w:tc>
          <w:tcPr>
            <w:tcW w:w="1134" w:type="dxa"/>
          </w:tcPr>
          <w:p w:rsidR="00CD596D" w:rsidRPr="005D36AB" w:rsidRDefault="00C64753"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rPr>
              <w:t>Национален дел</w:t>
            </w:r>
          </w:p>
        </w:tc>
        <w:tc>
          <w:tcPr>
            <w:tcW w:w="1134" w:type="dxa"/>
            <w:shd w:val="clear" w:color="auto" w:fill="auto"/>
            <w:vAlign w:val="center"/>
            <w:hideMark/>
          </w:tcPr>
          <w:p w:rsidR="00CD596D" w:rsidRPr="005D36AB" w:rsidRDefault="005D36AB"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E</w:t>
            </w:r>
            <w:r w:rsidRPr="005D36AB">
              <w:rPr>
                <w:rFonts w:ascii="StobiSerif Regular" w:hAnsi="StobiSerif Regular"/>
                <w:sz w:val="16"/>
                <w:szCs w:val="16"/>
              </w:rPr>
              <w:t>У</w:t>
            </w:r>
            <w:r w:rsidRPr="005D36AB">
              <w:rPr>
                <w:rFonts w:ascii="StobiSerif Regular" w:hAnsi="StobiSerif Regular"/>
                <w:sz w:val="16"/>
                <w:szCs w:val="16"/>
                <w:lang w:val="en-US"/>
              </w:rPr>
              <w:t xml:space="preserve"> </w:t>
            </w:r>
            <w:r w:rsidRPr="005D36AB">
              <w:rPr>
                <w:rFonts w:ascii="StobiSerif Regular" w:hAnsi="StobiSerif Regular"/>
                <w:sz w:val="16"/>
                <w:szCs w:val="16"/>
              </w:rPr>
              <w:t>средства</w:t>
            </w:r>
          </w:p>
        </w:tc>
        <w:tc>
          <w:tcPr>
            <w:tcW w:w="567" w:type="dxa"/>
            <w:shd w:val="clear" w:color="auto" w:fill="auto"/>
            <w:vAlign w:val="center"/>
            <w:hideMark/>
          </w:tcPr>
          <w:p w:rsidR="00CD596D" w:rsidRPr="005D36AB" w:rsidRDefault="005D36AB" w:rsidP="00C624B5">
            <w:pPr>
              <w:spacing w:after="0" w:line="288" w:lineRule="auto"/>
              <w:jc w:val="both"/>
              <w:rPr>
                <w:rFonts w:ascii="StobiSerif Regular" w:hAnsi="StobiSerif Regular"/>
                <w:sz w:val="16"/>
                <w:szCs w:val="16"/>
              </w:rPr>
            </w:pPr>
            <w:r w:rsidRPr="005D36AB">
              <w:rPr>
                <w:rFonts w:ascii="StobiSerif Regular" w:hAnsi="StobiSerif Regular"/>
                <w:sz w:val="16"/>
                <w:szCs w:val="16"/>
              </w:rPr>
              <w:t>Бр</w:t>
            </w:r>
          </w:p>
        </w:tc>
        <w:tc>
          <w:tcPr>
            <w:tcW w:w="1134" w:type="dxa"/>
          </w:tcPr>
          <w:p w:rsidR="00CD596D" w:rsidRPr="005D36AB" w:rsidRDefault="005D36AB"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rPr>
              <w:t>Национален дел</w:t>
            </w:r>
          </w:p>
        </w:tc>
        <w:tc>
          <w:tcPr>
            <w:tcW w:w="992" w:type="dxa"/>
            <w:shd w:val="clear" w:color="auto" w:fill="auto"/>
            <w:vAlign w:val="center"/>
            <w:hideMark/>
          </w:tcPr>
          <w:p w:rsidR="00CD596D" w:rsidRPr="005D36AB" w:rsidRDefault="005D36AB" w:rsidP="00C624B5">
            <w:pPr>
              <w:spacing w:after="0" w:line="288" w:lineRule="auto"/>
              <w:jc w:val="both"/>
              <w:rPr>
                <w:rFonts w:ascii="StobiSerif Regular" w:hAnsi="StobiSerif Regular"/>
                <w:sz w:val="16"/>
                <w:szCs w:val="16"/>
              </w:rPr>
            </w:pPr>
            <w:r w:rsidRPr="005D36AB">
              <w:rPr>
                <w:rFonts w:ascii="StobiSerif Regular" w:hAnsi="StobiSerif Regular"/>
                <w:sz w:val="16"/>
                <w:szCs w:val="16"/>
              </w:rPr>
              <w:t>ЕУ</w:t>
            </w:r>
            <w:r w:rsidRPr="005D36AB">
              <w:rPr>
                <w:rFonts w:ascii="StobiSerif Regular" w:hAnsi="StobiSerif Regular"/>
                <w:sz w:val="16"/>
                <w:szCs w:val="16"/>
                <w:lang w:val="en-US"/>
              </w:rPr>
              <w:t xml:space="preserve"> </w:t>
            </w:r>
            <w:r w:rsidRPr="005D36AB">
              <w:rPr>
                <w:rFonts w:ascii="StobiSerif Regular" w:hAnsi="StobiSerif Regular"/>
                <w:sz w:val="16"/>
                <w:szCs w:val="16"/>
              </w:rPr>
              <w:t>дел</w:t>
            </w:r>
          </w:p>
        </w:tc>
      </w:tr>
      <w:tr w:rsidR="00CD596D" w:rsidRPr="005D36AB" w:rsidTr="00C624B5">
        <w:trPr>
          <w:trHeight w:val="300"/>
        </w:trPr>
        <w:tc>
          <w:tcPr>
            <w:tcW w:w="817" w:type="dxa"/>
            <w:shd w:val="clear" w:color="auto" w:fill="auto"/>
            <w:vAlign w:val="center"/>
            <w:hideMark/>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М 101</w:t>
            </w:r>
          </w:p>
        </w:tc>
        <w:tc>
          <w:tcPr>
            <w:tcW w:w="709"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542</w:t>
            </w:r>
          </w:p>
        </w:tc>
        <w:tc>
          <w:tcPr>
            <w:tcW w:w="992" w:type="dxa"/>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980.945</w:t>
            </w:r>
          </w:p>
        </w:tc>
        <w:tc>
          <w:tcPr>
            <w:tcW w:w="1134"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3.936.114</w:t>
            </w:r>
          </w:p>
        </w:tc>
        <w:tc>
          <w:tcPr>
            <w:tcW w:w="567"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66</w:t>
            </w:r>
          </w:p>
        </w:tc>
        <w:tc>
          <w:tcPr>
            <w:tcW w:w="1134" w:type="dxa"/>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103.923</w:t>
            </w:r>
          </w:p>
        </w:tc>
        <w:tc>
          <w:tcPr>
            <w:tcW w:w="1134"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311.771</w:t>
            </w:r>
          </w:p>
        </w:tc>
        <w:tc>
          <w:tcPr>
            <w:tcW w:w="567"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269</w:t>
            </w:r>
          </w:p>
        </w:tc>
        <w:tc>
          <w:tcPr>
            <w:tcW w:w="1134" w:type="dxa"/>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535.160</w:t>
            </w:r>
          </w:p>
        </w:tc>
        <w:tc>
          <w:tcPr>
            <w:tcW w:w="992" w:type="dxa"/>
            <w:shd w:val="clear" w:color="000000" w:fill="FFFFFF"/>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1.865.076</w:t>
            </w:r>
          </w:p>
        </w:tc>
      </w:tr>
      <w:tr w:rsidR="00CD596D" w:rsidRPr="005D36AB" w:rsidTr="00C624B5">
        <w:trPr>
          <w:trHeight w:val="348"/>
        </w:trPr>
        <w:tc>
          <w:tcPr>
            <w:tcW w:w="817" w:type="dxa"/>
            <w:shd w:val="clear" w:color="auto" w:fill="auto"/>
            <w:vAlign w:val="center"/>
            <w:hideMark/>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М 103</w:t>
            </w:r>
          </w:p>
        </w:tc>
        <w:tc>
          <w:tcPr>
            <w:tcW w:w="709"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8</w:t>
            </w:r>
          </w:p>
        </w:tc>
        <w:tc>
          <w:tcPr>
            <w:tcW w:w="992" w:type="dxa"/>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731.040</w:t>
            </w:r>
          </w:p>
        </w:tc>
        <w:tc>
          <w:tcPr>
            <w:tcW w:w="1134"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2.193.122</w:t>
            </w:r>
          </w:p>
        </w:tc>
        <w:tc>
          <w:tcPr>
            <w:tcW w:w="567"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1</w:t>
            </w:r>
          </w:p>
        </w:tc>
        <w:tc>
          <w:tcPr>
            <w:tcW w:w="1134" w:type="dxa"/>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32.390</w:t>
            </w:r>
          </w:p>
        </w:tc>
        <w:tc>
          <w:tcPr>
            <w:tcW w:w="1134"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97.169</w:t>
            </w:r>
          </w:p>
        </w:tc>
        <w:tc>
          <w:tcPr>
            <w:tcW w:w="567"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12</w:t>
            </w:r>
          </w:p>
        </w:tc>
        <w:tc>
          <w:tcPr>
            <w:tcW w:w="1134" w:type="dxa"/>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363.940</w:t>
            </w:r>
          </w:p>
        </w:tc>
        <w:tc>
          <w:tcPr>
            <w:tcW w:w="992" w:type="dxa"/>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1.091.818</w:t>
            </w:r>
          </w:p>
        </w:tc>
      </w:tr>
      <w:tr w:rsidR="00CD596D" w:rsidRPr="005D36AB" w:rsidTr="00C624B5">
        <w:trPr>
          <w:trHeight w:val="315"/>
        </w:trPr>
        <w:tc>
          <w:tcPr>
            <w:tcW w:w="817" w:type="dxa"/>
            <w:tcBorders>
              <w:bottom w:val="single" w:sz="4" w:space="0" w:color="auto"/>
            </w:tcBorders>
            <w:shd w:val="clear" w:color="auto" w:fill="auto"/>
            <w:vAlign w:val="center"/>
            <w:hideMark/>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М 302</w:t>
            </w:r>
          </w:p>
        </w:tc>
        <w:tc>
          <w:tcPr>
            <w:tcW w:w="709" w:type="dxa"/>
            <w:tcBorders>
              <w:bottom w:val="single" w:sz="4" w:space="0" w:color="auto"/>
            </w:tcBorders>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10</w:t>
            </w:r>
          </w:p>
        </w:tc>
        <w:tc>
          <w:tcPr>
            <w:tcW w:w="992" w:type="dxa"/>
            <w:tcBorders>
              <w:bottom w:val="single" w:sz="4" w:space="0" w:color="auto"/>
            </w:tcBorders>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179.649</w:t>
            </w:r>
          </w:p>
        </w:tc>
        <w:tc>
          <w:tcPr>
            <w:tcW w:w="1134" w:type="dxa"/>
            <w:tcBorders>
              <w:bottom w:val="single" w:sz="4" w:space="0" w:color="auto"/>
            </w:tcBorders>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538.950</w:t>
            </w:r>
          </w:p>
        </w:tc>
        <w:tc>
          <w:tcPr>
            <w:tcW w:w="567" w:type="dxa"/>
            <w:tcBorders>
              <w:bottom w:val="single" w:sz="4" w:space="0" w:color="auto"/>
            </w:tcBorders>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4</w:t>
            </w:r>
          </w:p>
        </w:tc>
        <w:tc>
          <w:tcPr>
            <w:tcW w:w="1134" w:type="dxa"/>
            <w:tcBorders>
              <w:bottom w:val="single" w:sz="4" w:space="0" w:color="auto"/>
            </w:tcBorders>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83.371</w:t>
            </w:r>
          </w:p>
        </w:tc>
        <w:tc>
          <w:tcPr>
            <w:tcW w:w="1134" w:type="dxa"/>
            <w:tcBorders>
              <w:bottom w:val="single" w:sz="4" w:space="0" w:color="auto"/>
            </w:tcBorders>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250.114</w:t>
            </w:r>
          </w:p>
        </w:tc>
        <w:tc>
          <w:tcPr>
            <w:tcW w:w="567" w:type="dxa"/>
            <w:tcBorders>
              <w:bottom w:val="single" w:sz="4" w:space="0" w:color="auto"/>
            </w:tcBorders>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5</w:t>
            </w:r>
          </w:p>
        </w:tc>
        <w:tc>
          <w:tcPr>
            <w:tcW w:w="1134" w:type="dxa"/>
            <w:tcBorders>
              <w:bottom w:val="single" w:sz="4" w:space="0" w:color="auto"/>
            </w:tcBorders>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65.361</w:t>
            </w:r>
          </w:p>
        </w:tc>
        <w:tc>
          <w:tcPr>
            <w:tcW w:w="992" w:type="dxa"/>
            <w:tcBorders>
              <w:bottom w:val="single" w:sz="4" w:space="0" w:color="auto"/>
            </w:tcBorders>
            <w:shd w:val="clear" w:color="auto" w:fill="auto"/>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196.086</w:t>
            </w:r>
          </w:p>
        </w:tc>
      </w:tr>
      <w:tr w:rsidR="00CD596D" w:rsidRPr="005D36AB" w:rsidTr="00C624B5">
        <w:trPr>
          <w:trHeight w:val="268"/>
        </w:trPr>
        <w:tc>
          <w:tcPr>
            <w:tcW w:w="817" w:type="dxa"/>
            <w:shd w:val="clear" w:color="auto" w:fill="D9D9D9" w:themeFill="background1" w:themeFillShade="D9"/>
            <w:vAlign w:val="center"/>
            <w:hideMark/>
          </w:tcPr>
          <w:p w:rsidR="00CD596D" w:rsidRPr="005D36AB" w:rsidRDefault="005D36AB"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rPr>
              <w:t>Вкупн</w:t>
            </w:r>
            <w:r>
              <w:rPr>
                <w:rFonts w:ascii="StobiSerif Regular" w:hAnsi="StobiSerif Regular"/>
                <w:sz w:val="16"/>
                <w:szCs w:val="16"/>
              </w:rPr>
              <w:t>о</w:t>
            </w:r>
            <w:r w:rsidR="00CD596D" w:rsidRPr="005D36AB">
              <w:rPr>
                <w:rFonts w:ascii="StobiSerif Regular" w:hAnsi="StobiSerif Regular"/>
                <w:sz w:val="16"/>
                <w:szCs w:val="16"/>
                <w:lang w:val="en-US"/>
              </w:rPr>
              <w:t>:</w:t>
            </w:r>
          </w:p>
        </w:tc>
        <w:tc>
          <w:tcPr>
            <w:tcW w:w="709" w:type="dxa"/>
            <w:shd w:val="clear" w:color="auto" w:fill="D9D9D9" w:themeFill="background1" w:themeFillShade="D9"/>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560</w:t>
            </w:r>
          </w:p>
        </w:tc>
        <w:tc>
          <w:tcPr>
            <w:tcW w:w="992" w:type="dxa"/>
            <w:shd w:val="clear" w:color="auto" w:fill="D9D9D9" w:themeFill="background1" w:themeFillShade="D9"/>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1.891.634</w:t>
            </w:r>
          </w:p>
        </w:tc>
        <w:tc>
          <w:tcPr>
            <w:tcW w:w="1134" w:type="dxa"/>
            <w:shd w:val="clear" w:color="auto" w:fill="D9D9D9" w:themeFill="background1" w:themeFillShade="D9"/>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6.668.186</w:t>
            </w:r>
          </w:p>
        </w:tc>
        <w:tc>
          <w:tcPr>
            <w:tcW w:w="567" w:type="dxa"/>
            <w:shd w:val="clear" w:color="auto" w:fill="D9D9D9" w:themeFill="background1" w:themeFillShade="D9"/>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71</w:t>
            </w:r>
          </w:p>
        </w:tc>
        <w:tc>
          <w:tcPr>
            <w:tcW w:w="1134" w:type="dxa"/>
            <w:shd w:val="clear" w:color="auto" w:fill="D9D9D9" w:themeFill="background1" w:themeFillShade="D9"/>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219.684</w:t>
            </w:r>
          </w:p>
        </w:tc>
        <w:tc>
          <w:tcPr>
            <w:tcW w:w="1134" w:type="dxa"/>
            <w:shd w:val="clear" w:color="auto" w:fill="D9D9D9" w:themeFill="background1" w:themeFillShade="D9"/>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659.054</w:t>
            </w:r>
          </w:p>
        </w:tc>
        <w:tc>
          <w:tcPr>
            <w:tcW w:w="567" w:type="dxa"/>
            <w:shd w:val="clear" w:color="auto" w:fill="D9D9D9" w:themeFill="background1" w:themeFillShade="D9"/>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286</w:t>
            </w:r>
          </w:p>
        </w:tc>
        <w:tc>
          <w:tcPr>
            <w:tcW w:w="1134" w:type="dxa"/>
            <w:shd w:val="clear" w:color="auto" w:fill="D9D9D9" w:themeFill="background1" w:themeFillShade="D9"/>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964.461</w:t>
            </w:r>
          </w:p>
        </w:tc>
        <w:tc>
          <w:tcPr>
            <w:tcW w:w="992" w:type="dxa"/>
            <w:shd w:val="clear" w:color="auto" w:fill="D9D9D9" w:themeFill="background1" w:themeFillShade="D9"/>
            <w:vAlign w:val="center"/>
          </w:tcPr>
          <w:p w:rsidR="00CD596D" w:rsidRPr="005D36AB" w:rsidRDefault="00CD596D" w:rsidP="00C624B5">
            <w:pPr>
              <w:spacing w:after="0" w:line="288" w:lineRule="auto"/>
              <w:jc w:val="both"/>
              <w:rPr>
                <w:rFonts w:ascii="StobiSerif Regular" w:hAnsi="StobiSerif Regular"/>
                <w:sz w:val="16"/>
                <w:szCs w:val="16"/>
                <w:lang w:val="en-US"/>
              </w:rPr>
            </w:pPr>
            <w:r w:rsidRPr="005D36AB">
              <w:rPr>
                <w:rFonts w:ascii="StobiSerif Regular" w:hAnsi="StobiSerif Regular"/>
                <w:sz w:val="16"/>
                <w:szCs w:val="16"/>
                <w:lang w:val="en-US"/>
              </w:rPr>
              <w:t>3.152.980</w:t>
            </w:r>
          </w:p>
        </w:tc>
      </w:tr>
    </w:tbl>
    <w:p w:rsidR="00CD596D" w:rsidRPr="00374406" w:rsidRDefault="00CD596D" w:rsidP="00CD596D">
      <w:pPr>
        <w:spacing w:after="0" w:line="288" w:lineRule="auto"/>
        <w:jc w:val="both"/>
        <w:rPr>
          <w:rFonts w:ascii="StobiSerif Regular" w:eastAsia="Times New Roman" w:hAnsi="StobiSerif Regular" w:cs="Times New Roman"/>
          <w:color w:val="000000"/>
          <w:sz w:val="16"/>
          <w:szCs w:val="16"/>
          <w:lang w:eastAsia="zh-CN"/>
        </w:rPr>
      </w:pPr>
      <w:r>
        <w:rPr>
          <w:rFonts w:ascii="StobiSerif Regular" w:hAnsi="StobiSerif Regular"/>
          <w:sz w:val="16"/>
          <w:szCs w:val="16"/>
        </w:rPr>
        <w:t>Извор: Мониторинг систем  (2016)</w:t>
      </w:r>
    </w:p>
    <w:p w:rsidR="00531EF3" w:rsidRPr="00CA5E8B" w:rsidRDefault="00531EF3" w:rsidP="00CA5E8B">
      <w:pPr>
        <w:spacing w:after="160" w:line="259" w:lineRule="auto"/>
        <w:jc w:val="both"/>
        <w:rPr>
          <w:rFonts w:ascii="StobiSerif Regular" w:eastAsia="Calibri" w:hAnsi="StobiSerif Regular" w:cs="Times New Roman"/>
        </w:rPr>
      </w:pPr>
    </w:p>
    <w:p w:rsidR="00ED21BC" w:rsidRPr="00ED21BC" w:rsidRDefault="008A4251" w:rsidP="00ED21BC">
      <w:pPr>
        <w:autoSpaceDE w:val="0"/>
        <w:autoSpaceDN w:val="0"/>
        <w:adjustRightInd w:val="0"/>
        <w:spacing w:before="120" w:after="120"/>
        <w:jc w:val="both"/>
        <w:outlineLvl w:val="1"/>
        <w:rPr>
          <w:rFonts w:ascii="StobiSerif Regular" w:hAnsi="StobiSerif Regular"/>
        </w:rPr>
      </w:pPr>
      <w:bookmarkStart w:id="23" w:name="_Toc485394809"/>
      <w:r>
        <w:rPr>
          <w:rFonts w:ascii="StobiSerif Regular" w:hAnsi="StobiSerif Regular"/>
          <w:b/>
          <w:lang w:val="en-US"/>
        </w:rPr>
        <w:t>2</w:t>
      </w:r>
      <w:r w:rsidR="00F12221" w:rsidRPr="000B5E5D">
        <w:rPr>
          <w:rFonts w:ascii="StobiSerif Regular" w:hAnsi="StobiSerif Regular"/>
          <w:b/>
          <w:lang w:val="en-US"/>
        </w:rPr>
        <w:t xml:space="preserve">.3 </w:t>
      </w:r>
      <w:r w:rsidR="00ED21BC" w:rsidRPr="00ED21BC">
        <w:rPr>
          <w:rFonts w:ascii="StobiSerif Regular" w:hAnsi="StobiSerif Regular"/>
          <w:b/>
        </w:rPr>
        <w:t>Квалитативна анализа на постигнатиот напредок по приоритетни оски и мерки</w:t>
      </w:r>
      <w:bookmarkEnd w:id="23"/>
    </w:p>
    <w:p w:rsidR="00ED21BC" w:rsidRPr="00ED21BC" w:rsidRDefault="00ED21BC" w:rsidP="00ED21BC">
      <w:pPr>
        <w:autoSpaceDE w:val="0"/>
        <w:autoSpaceDN w:val="0"/>
        <w:adjustRightInd w:val="0"/>
        <w:spacing w:before="120" w:after="120"/>
        <w:jc w:val="both"/>
        <w:rPr>
          <w:rFonts w:ascii="StobiSerif Regular" w:hAnsi="StobiSerif Regular"/>
          <w:b/>
        </w:rPr>
      </w:pPr>
      <w:r w:rsidRPr="00ED21BC">
        <w:rPr>
          <w:rFonts w:ascii="StobiSerif Regular" w:hAnsi="StobiSerif Regular"/>
          <w:b/>
        </w:rPr>
        <w:t>ПРОИРИТЕТНА ОСКА 1</w:t>
      </w:r>
    </w:p>
    <w:p w:rsidR="00ED21BC" w:rsidRPr="00ED21BC" w:rsidRDefault="00DA28F5" w:rsidP="00CA5E8B">
      <w:pPr>
        <w:autoSpaceDE w:val="0"/>
        <w:autoSpaceDN w:val="0"/>
        <w:adjustRightInd w:val="0"/>
        <w:spacing w:before="120" w:after="120"/>
        <w:jc w:val="both"/>
        <w:outlineLvl w:val="2"/>
        <w:rPr>
          <w:rFonts w:ascii="StobiSerif Regular" w:hAnsi="StobiSerif Regular"/>
          <w:b/>
        </w:rPr>
      </w:pPr>
      <w:bookmarkStart w:id="24" w:name="_Toc485394810"/>
      <w:r>
        <w:rPr>
          <w:rFonts w:ascii="StobiSerif Regular" w:hAnsi="StobiSerif Regular"/>
          <w:b/>
        </w:rPr>
        <w:t xml:space="preserve">2.3.1. </w:t>
      </w:r>
      <w:r w:rsidR="00ED21BC" w:rsidRPr="00ED21BC">
        <w:rPr>
          <w:rFonts w:ascii="StobiSerif Regular" w:hAnsi="StobiSerif Regular"/>
          <w:b/>
        </w:rPr>
        <w:t>МЕРКА</w:t>
      </w:r>
      <w:r w:rsidR="00ED21BC" w:rsidRPr="00ED21BC">
        <w:rPr>
          <w:rFonts w:ascii="StobiSerif Regular" w:hAnsi="StobiSerif Regular"/>
          <w:b/>
          <w:lang w:val="en-GB"/>
        </w:rPr>
        <w:t xml:space="preserve"> 101 – </w:t>
      </w:r>
      <w:r w:rsidR="00ED21BC" w:rsidRPr="00ED21BC">
        <w:rPr>
          <w:rFonts w:ascii="StobiSerif Regular" w:hAnsi="StobiSerif Regular"/>
          <w:b/>
        </w:rPr>
        <w:t>Инвстиции во земјоделски стопанства</w:t>
      </w:r>
      <w:bookmarkEnd w:id="24"/>
    </w:p>
    <w:p w:rsidR="00F12221" w:rsidRPr="000B5E5D" w:rsidRDefault="00ED21BC" w:rsidP="00CA5E8B">
      <w:pPr>
        <w:spacing w:before="120" w:after="120"/>
        <w:jc w:val="right"/>
        <w:rPr>
          <w:rFonts w:ascii="StobiSerif Regular" w:hAnsi="StobiSerif Regular"/>
          <w:lang w:val="en-US"/>
        </w:rPr>
      </w:pPr>
      <w:r w:rsidRPr="00A15D06">
        <w:rPr>
          <w:rFonts w:ascii="StobiSerif Regular" w:hAnsi="StobiSerif Regular"/>
          <w:b/>
        </w:rPr>
        <w:t>Буџет на мерка</w:t>
      </w:r>
      <w:r w:rsidRPr="00A15D06">
        <w:rPr>
          <w:rFonts w:ascii="StobiSerif Regular" w:hAnsi="StobiSerif Regular"/>
          <w:b/>
          <w:lang w:val="en-GB"/>
        </w:rPr>
        <w:t xml:space="preserve">: </w:t>
      </w:r>
      <w:r w:rsidR="00F12221" w:rsidRPr="000B5E5D">
        <w:rPr>
          <w:rFonts w:ascii="StobiSerif Regular" w:hAnsi="StobiSerif Regular"/>
          <w:lang w:val="en-US"/>
        </w:rPr>
        <w:t>€</w:t>
      </w:r>
      <w:r w:rsidR="0040443A" w:rsidRPr="000B5E5D">
        <w:rPr>
          <w:rFonts w:ascii="StobiSerif Regular" w:hAnsi="StobiSerif Regular"/>
          <w:lang w:val="en-US"/>
        </w:rPr>
        <w:t>16.373.266</w:t>
      </w:r>
    </w:p>
    <w:p w:rsidR="00E65DFA" w:rsidRPr="003F10CB" w:rsidRDefault="00ED21BC" w:rsidP="003F10CB">
      <w:pPr>
        <w:autoSpaceDE w:val="0"/>
        <w:autoSpaceDN w:val="0"/>
        <w:adjustRightInd w:val="0"/>
        <w:spacing w:before="120" w:after="120"/>
        <w:jc w:val="both"/>
        <w:rPr>
          <w:rFonts w:ascii="StobiSerif Regular" w:hAnsi="StobiSerif Regular"/>
        </w:rPr>
      </w:pPr>
      <w:r w:rsidRPr="00ED21BC">
        <w:rPr>
          <w:rFonts w:ascii="StobiSerif Regular" w:hAnsi="StobiSerif Regular"/>
        </w:rPr>
        <w:t>Мерката е наменета за инвестиции во примарното производство, со кра</w:t>
      </w:r>
      <w:r w:rsidR="00DA28F5">
        <w:rPr>
          <w:rFonts w:ascii="StobiSerif Regular" w:hAnsi="StobiSerif Regular"/>
        </w:rPr>
        <w:t>јна цел модернизирање на истото</w:t>
      </w:r>
      <w:r w:rsidRPr="00ED21BC">
        <w:rPr>
          <w:rFonts w:ascii="StobiSerif Regular" w:hAnsi="StobiSerif Regular"/>
        </w:rPr>
        <w:t>, достигнување на европските стандарни за да се подобри конкурентноста, да се намалат трошоците по единица производ, што би резултирало со зголеме</w:t>
      </w:r>
      <w:r w:rsidR="003F10CB">
        <w:rPr>
          <w:rFonts w:ascii="StobiSerif Regular" w:hAnsi="StobiSerif Regular"/>
        </w:rPr>
        <w:t>на исплатливост на производот.</w:t>
      </w:r>
    </w:p>
    <w:p w:rsidR="00ED21BC" w:rsidRPr="00ED21BC" w:rsidRDefault="00ED21BC" w:rsidP="00ED21BC">
      <w:pPr>
        <w:autoSpaceDE w:val="0"/>
        <w:autoSpaceDN w:val="0"/>
        <w:adjustRightInd w:val="0"/>
        <w:spacing w:before="120" w:after="120"/>
        <w:jc w:val="both"/>
        <w:rPr>
          <w:rFonts w:ascii="StobiSerif Regular" w:hAnsi="StobiSerif Regular"/>
        </w:rPr>
      </w:pPr>
      <w:r w:rsidRPr="00ED21BC">
        <w:rPr>
          <w:rFonts w:ascii="StobiSerif Regular" w:hAnsi="StobiSerif Regular"/>
        </w:rPr>
        <w:t xml:space="preserve">Од вкупно поднесените апликации , 2532 се за мерка 101, од кои </w:t>
      </w:r>
      <w:r w:rsidRPr="000B5E5D">
        <w:rPr>
          <w:rFonts w:ascii="StobiSerif Regular" w:hAnsi="StobiSerif Regular"/>
          <w:lang w:val="en-US"/>
        </w:rPr>
        <w:t>1266</w:t>
      </w:r>
      <w:r>
        <w:rPr>
          <w:rFonts w:ascii="StobiSerif Regular" w:hAnsi="StobiSerif Regular"/>
        </w:rPr>
        <w:t xml:space="preserve"> </w:t>
      </w:r>
      <w:r w:rsidRPr="00ED21BC">
        <w:rPr>
          <w:rFonts w:ascii="StobiSerif Regular" w:hAnsi="StobiSerif Regular"/>
        </w:rPr>
        <w:t xml:space="preserve">се прифатени апликации. Склучени се </w:t>
      </w:r>
      <w:r w:rsidRPr="000B5E5D">
        <w:rPr>
          <w:rFonts w:ascii="StobiSerif Regular" w:hAnsi="StobiSerif Regular"/>
          <w:lang w:val="en-US"/>
        </w:rPr>
        <w:t>1266</w:t>
      </w:r>
      <w:r w:rsidRPr="00ED21BC">
        <w:rPr>
          <w:rFonts w:ascii="StobiSerif Regular" w:hAnsi="StobiSerif Regular"/>
        </w:rPr>
        <w:t xml:space="preserve"> договори, 424 договори </w:t>
      </w:r>
      <w:r>
        <w:rPr>
          <w:rFonts w:ascii="StobiSerif Regular" w:hAnsi="StobiSerif Regular"/>
        </w:rPr>
        <w:t xml:space="preserve">се реалзирани и исплатени, </w:t>
      </w:r>
      <w:r w:rsidRPr="00ED21BC">
        <w:rPr>
          <w:rFonts w:ascii="StobiSerif Regular" w:hAnsi="StobiSerif Regular"/>
        </w:rPr>
        <w:t xml:space="preserve">раскинати </w:t>
      </w:r>
      <w:r>
        <w:rPr>
          <w:rFonts w:ascii="StobiSerif Regular" w:hAnsi="StobiSerif Regular"/>
        </w:rPr>
        <w:t xml:space="preserve"> се 141 </w:t>
      </w:r>
      <w:r w:rsidRPr="00ED21BC">
        <w:rPr>
          <w:rFonts w:ascii="StobiSerif Regular" w:hAnsi="StobiSerif Regular"/>
        </w:rPr>
        <w:t xml:space="preserve"> и во процес на реализација се </w:t>
      </w:r>
      <w:r w:rsidRPr="000B5E5D">
        <w:rPr>
          <w:rFonts w:ascii="StobiSerif Regular" w:hAnsi="StobiSerif Regular"/>
          <w:lang w:val="en-US"/>
        </w:rPr>
        <w:t>432</w:t>
      </w:r>
      <w:r w:rsidRPr="00ED21BC">
        <w:rPr>
          <w:rFonts w:ascii="StobiSerif Regular" w:hAnsi="StobiSerif Regular"/>
        </w:rPr>
        <w:t xml:space="preserve"> договори.</w:t>
      </w:r>
    </w:p>
    <w:p w:rsidR="001414DB" w:rsidRPr="001414DB" w:rsidRDefault="001414DB" w:rsidP="001414DB">
      <w:pPr>
        <w:autoSpaceDE w:val="0"/>
        <w:autoSpaceDN w:val="0"/>
        <w:adjustRightInd w:val="0"/>
        <w:spacing w:after="0"/>
        <w:jc w:val="both"/>
        <w:rPr>
          <w:rFonts w:ascii="StobiSerif Regular" w:hAnsi="StobiSerif Regular"/>
          <w:b/>
          <w:bCs/>
        </w:rPr>
      </w:pPr>
      <w:bookmarkStart w:id="25" w:name="_Toc485394898"/>
      <w:r w:rsidRPr="00677FC7">
        <w:rPr>
          <w:rFonts w:ascii="StobiSerif Regular" w:eastAsia="Times New Roman" w:hAnsi="StobiSerif Regular" w:cs="Times New Roman"/>
          <w:b/>
          <w:lang w:val="en-GB" w:eastAsia="zh-CN"/>
        </w:rPr>
        <w:t>Ta</w:t>
      </w:r>
      <w:r w:rsidRPr="00677FC7">
        <w:rPr>
          <w:rFonts w:ascii="StobiSerif Regular" w:eastAsia="Times New Roman" w:hAnsi="StobiSerif Regular" w:cs="Times New Roman"/>
          <w:b/>
          <w:lang w:eastAsia="zh-CN"/>
        </w:rPr>
        <w:t xml:space="preserve">бела </w:t>
      </w:r>
      <w:r w:rsidR="00F32A99" w:rsidRPr="00677FC7">
        <w:rPr>
          <w:rFonts w:ascii="StobiSerif Regular" w:eastAsia="Times New Roman" w:hAnsi="StobiSerif Regular" w:cs="Times New Roman"/>
          <w:b/>
          <w:lang w:val="en-GB" w:eastAsia="zh-CN"/>
        </w:rPr>
        <w:t xml:space="preserve"> </w:t>
      </w:r>
      <w:r w:rsidR="00F32A99" w:rsidRPr="00677FC7">
        <w:rPr>
          <w:rFonts w:ascii="StobiSerif Regular" w:eastAsia="Times New Roman" w:hAnsi="StobiSerif Regular" w:cs="Times New Roman"/>
          <w:b/>
          <w:lang w:val="en-GB" w:eastAsia="zh-CN"/>
        </w:rPr>
        <w:fldChar w:fldCharType="begin"/>
      </w:r>
      <w:r w:rsidR="00F32A99" w:rsidRPr="00677FC7">
        <w:rPr>
          <w:rFonts w:ascii="StobiSerif Regular" w:eastAsia="Times New Roman" w:hAnsi="StobiSerif Regular" w:cs="Times New Roman"/>
          <w:b/>
          <w:lang w:val="en-GB" w:eastAsia="zh-CN"/>
        </w:rPr>
        <w:instrText xml:space="preserve"> SEQ Table \* ARABIC </w:instrText>
      </w:r>
      <w:r w:rsidR="00F32A99" w:rsidRPr="00677FC7">
        <w:rPr>
          <w:rFonts w:ascii="StobiSerif Regular" w:eastAsia="Times New Roman" w:hAnsi="StobiSerif Regular" w:cs="Times New Roman"/>
          <w:b/>
          <w:lang w:val="en-GB" w:eastAsia="zh-CN"/>
        </w:rPr>
        <w:fldChar w:fldCharType="separate"/>
      </w:r>
      <w:r w:rsidR="00DB42AE" w:rsidRPr="00677FC7">
        <w:rPr>
          <w:rFonts w:ascii="StobiSerif Regular" w:eastAsia="Times New Roman" w:hAnsi="StobiSerif Regular" w:cs="Times New Roman"/>
          <w:b/>
          <w:noProof/>
          <w:lang w:val="en-GB" w:eastAsia="zh-CN"/>
        </w:rPr>
        <w:t>6</w:t>
      </w:r>
      <w:r w:rsidR="00F32A99" w:rsidRPr="00677FC7">
        <w:rPr>
          <w:rFonts w:ascii="StobiSerif Regular" w:eastAsia="Times New Roman" w:hAnsi="StobiSerif Regular" w:cs="Times New Roman"/>
          <w:b/>
          <w:lang w:val="en-GB" w:eastAsia="zh-CN"/>
        </w:rPr>
        <w:fldChar w:fldCharType="end"/>
      </w:r>
      <w:r w:rsidR="00F32A99" w:rsidRPr="00677FC7">
        <w:rPr>
          <w:rFonts w:ascii="StobiSerif Regular" w:eastAsia="Times New Roman" w:hAnsi="StobiSerif Regular" w:cs="Times New Roman"/>
          <w:b/>
          <w:lang w:val="en-GB" w:eastAsia="zh-CN"/>
        </w:rPr>
        <w:t xml:space="preserve">: </w:t>
      </w:r>
      <w:r w:rsidRPr="00677FC7">
        <w:rPr>
          <w:rFonts w:ascii="StobiSerif Regular" w:hAnsi="StobiSerif Regular"/>
          <w:b/>
          <w:bCs/>
        </w:rPr>
        <w:t>Квалитативна</w:t>
      </w:r>
      <w:r w:rsidRPr="001414DB">
        <w:rPr>
          <w:rFonts w:ascii="StobiSerif Regular" w:hAnsi="StobiSerif Regular"/>
          <w:b/>
          <w:bCs/>
        </w:rPr>
        <w:t xml:space="preserve"> анализа по приоритетен сектор во M101</w:t>
      </w:r>
      <w:bookmarkEnd w:id="25"/>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559"/>
        <w:gridCol w:w="1417"/>
        <w:gridCol w:w="1560"/>
        <w:gridCol w:w="1559"/>
        <w:gridCol w:w="1559"/>
      </w:tblGrid>
      <w:tr w:rsidR="00560D8B" w:rsidRPr="000B5E5D" w:rsidTr="00560D8B">
        <w:trPr>
          <w:trHeight w:val="674"/>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D8B" w:rsidRPr="000B5E5D" w:rsidRDefault="00C11701" w:rsidP="00AF2B02">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Јавен повик</w:t>
            </w:r>
            <w:r w:rsidR="001414DB">
              <w:rPr>
                <w:rFonts w:ascii="StobiSerif Regular" w:eastAsia="Times New Roman" w:hAnsi="StobiSerif Regular" w:cs="Times New Roman"/>
                <w:sz w:val="16"/>
                <w:szCs w:val="16"/>
                <w:lang w:eastAsia="mk-MK"/>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D8B" w:rsidRPr="000B5E5D" w:rsidRDefault="00DB42AE" w:rsidP="00AF2B02">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Примени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D8B" w:rsidRPr="000B5E5D" w:rsidRDefault="00DB42AE" w:rsidP="00AF2B02">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Одобрени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D8B" w:rsidRPr="000B5E5D" w:rsidRDefault="00DB42AE" w:rsidP="00AF2B02">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Исплатени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D8B" w:rsidRPr="000B5E5D" w:rsidRDefault="00DB42AE" w:rsidP="00AF2B02">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Раскинати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D8B" w:rsidRPr="000B5E5D" w:rsidRDefault="00DB42AE" w:rsidP="00AF2B02">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Тековни </w:t>
            </w:r>
          </w:p>
        </w:tc>
      </w:tr>
      <w:tr w:rsidR="00560D8B" w:rsidRPr="000B5E5D" w:rsidTr="00560D8B">
        <w:trPr>
          <w:trHeight w:val="308"/>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01/2009</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58</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15</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10</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5</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560D8B" w:rsidRPr="000B5E5D" w:rsidTr="00560D8B">
        <w:trPr>
          <w:trHeight w:val="271"/>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01/2010</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67</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25</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18</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7</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560D8B" w:rsidRPr="000B5E5D" w:rsidTr="00560D8B">
        <w:trPr>
          <w:trHeight w:val="275"/>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01/2011</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39</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24</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9</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15</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560D8B" w:rsidRPr="000B5E5D" w:rsidTr="00560D8B">
        <w:trPr>
          <w:trHeight w:val="265"/>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4</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02/2011</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30</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16</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8</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8</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560D8B" w:rsidRPr="000B5E5D" w:rsidTr="00560D8B">
        <w:trPr>
          <w:trHeight w:val="255"/>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5</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03/2011</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52</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25</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19</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6</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560D8B" w:rsidRPr="000B5E5D" w:rsidTr="00560D8B">
        <w:trPr>
          <w:trHeight w:val="245"/>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6</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01/2012</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34</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11</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10</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560D8B" w:rsidRPr="000B5E5D" w:rsidTr="00560D8B">
        <w:trPr>
          <w:trHeight w:val="249"/>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7</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02/2012</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41</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10</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9</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560D8B" w:rsidRPr="000B5E5D" w:rsidTr="00560D8B">
        <w:trPr>
          <w:trHeight w:val="239"/>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8</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01/2013</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334</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167</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154</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13</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560D8B" w:rsidRPr="000B5E5D" w:rsidTr="00560D8B">
        <w:trPr>
          <w:trHeight w:val="259"/>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9</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01/2014</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347</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202</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167</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35</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560D8B" w:rsidRPr="000B5E5D" w:rsidTr="00560D8B">
        <w:trPr>
          <w:trHeight w:val="263"/>
        </w:trPr>
        <w:tc>
          <w:tcPr>
            <w:tcW w:w="426"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10</w:t>
            </w:r>
          </w:p>
        </w:tc>
        <w:tc>
          <w:tcPr>
            <w:tcW w:w="1134"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02/2014</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388</w:t>
            </w:r>
          </w:p>
        </w:tc>
        <w:tc>
          <w:tcPr>
            <w:tcW w:w="1417"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229</w:t>
            </w:r>
          </w:p>
        </w:tc>
        <w:tc>
          <w:tcPr>
            <w:tcW w:w="1560"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177</w:t>
            </w:r>
          </w:p>
        </w:tc>
        <w:tc>
          <w:tcPr>
            <w:tcW w:w="1559" w:type="dxa"/>
            <w:tcBorders>
              <w:top w:val="single" w:sz="4" w:space="0" w:color="auto"/>
              <w:left w:val="single" w:sz="4" w:space="0" w:color="auto"/>
              <w:bottom w:val="single" w:sz="4" w:space="0" w:color="auto"/>
              <w:right w:val="single" w:sz="4" w:space="0" w:color="auto"/>
            </w:tcBorders>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47</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5</w:t>
            </w:r>
          </w:p>
        </w:tc>
      </w:tr>
      <w:tr w:rsidR="00560D8B" w:rsidRPr="000B5E5D" w:rsidTr="00560D8B">
        <w:trPr>
          <w:trHeight w:val="253"/>
        </w:trPr>
        <w:tc>
          <w:tcPr>
            <w:tcW w:w="426"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11</w:t>
            </w:r>
          </w:p>
        </w:tc>
        <w:tc>
          <w:tcPr>
            <w:tcW w:w="1134"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01/2015</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789</w:t>
            </w:r>
          </w:p>
        </w:tc>
        <w:tc>
          <w:tcPr>
            <w:tcW w:w="1417"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413</w:t>
            </w:r>
          </w:p>
        </w:tc>
        <w:tc>
          <w:tcPr>
            <w:tcW w:w="1560"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112</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298</w:t>
            </w:r>
          </w:p>
        </w:tc>
      </w:tr>
      <w:tr w:rsidR="00560D8B" w:rsidRPr="000B5E5D" w:rsidTr="00560D8B">
        <w:trPr>
          <w:trHeight w:val="253"/>
        </w:trPr>
        <w:tc>
          <w:tcPr>
            <w:tcW w:w="426"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12</w:t>
            </w:r>
          </w:p>
        </w:tc>
        <w:tc>
          <w:tcPr>
            <w:tcW w:w="1134"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02/2015</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353</w:t>
            </w:r>
          </w:p>
        </w:tc>
        <w:tc>
          <w:tcPr>
            <w:tcW w:w="1417"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129</w:t>
            </w:r>
          </w:p>
        </w:tc>
        <w:tc>
          <w:tcPr>
            <w:tcW w:w="1560"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 0</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 0</w:t>
            </w:r>
          </w:p>
        </w:tc>
        <w:tc>
          <w:tcPr>
            <w:tcW w:w="1559" w:type="dxa"/>
            <w:tcBorders>
              <w:top w:val="single" w:sz="4" w:space="0" w:color="auto"/>
              <w:left w:val="single" w:sz="4" w:space="0" w:color="auto"/>
              <w:bottom w:val="single" w:sz="4" w:space="0" w:color="auto"/>
              <w:right w:val="single" w:sz="4" w:space="0" w:color="auto"/>
            </w:tcBorders>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129</w:t>
            </w:r>
          </w:p>
        </w:tc>
      </w:tr>
      <w:tr w:rsidR="00560D8B" w:rsidRPr="000B5E5D" w:rsidTr="00560D8B">
        <w:trPr>
          <w:trHeight w:val="242"/>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D8B" w:rsidRPr="000B5E5D" w:rsidRDefault="00F32A99"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T</w:t>
            </w:r>
            <w:r w:rsidR="00560D8B" w:rsidRPr="000B5E5D">
              <w:rPr>
                <w:rFonts w:ascii="StobiSerif Regular" w:eastAsia="Times New Roman" w:hAnsi="StobiSerif Regular" w:cs="Times New Roman"/>
                <w:sz w:val="16"/>
                <w:szCs w:val="16"/>
                <w:lang w:eastAsia="mk-MK"/>
              </w:rPr>
              <w:t>otal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2532</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1266</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693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0D8B" w:rsidRPr="000B5E5D" w:rsidRDefault="00560D8B"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141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D8B" w:rsidRPr="000B5E5D" w:rsidRDefault="00F32A99" w:rsidP="00AF2B02">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432</w:t>
            </w:r>
          </w:p>
        </w:tc>
      </w:tr>
    </w:tbl>
    <w:p w:rsidR="00416E25" w:rsidRPr="000B5E5D" w:rsidRDefault="00DB42AE" w:rsidP="00AF2B02">
      <w:pPr>
        <w:spacing w:after="0" w:line="240" w:lineRule="auto"/>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Извор: Мониторинг систем </w:t>
      </w:r>
      <w:r w:rsidR="00416E25" w:rsidRPr="000B5E5D">
        <w:rPr>
          <w:rFonts w:ascii="StobiSerif Regular" w:eastAsia="Times New Roman" w:hAnsi="StobiSerif Regular" w:cs="Times New Roman"/>
          <w:sz w:val="16"/>
          <w:szCs w:val="16"/>
          <w:lang w:eastAsia="mk-MK"/>
        </w:rPr>
        <w:t xml:space="preserve"> (2016)</w:t>
      </w:r>
    </w:p>
    <w:p w:rsidR="00560D8B" w:rsidRDefault="001414DB" w:rsidP="000359E3">
      <w:pPr>
        <w:spacing w:before="120" w:after="120"/>
        <w:ind w:firstLine="284"/>
        <w:jc w:val="both"/>
        <w:rPr>
          <w:rFonts w:ascii="StobiSerif Regular" w:hAnsi="StobiSerif Regular"/>
        </w:rPr>
      </w:pPr>
      <w:r>
        <w:rPr>
          <w:rFonts w:ascii="StobiSerif Regular" w:hAnsi="StobiSerif Regular"/>
        </w:rPr>
        <w:t xml:space="preserve">Најголема заинтересираност од страна на земјоделците има во секторите </w:t>
      </w:r>
      <w:r w:rsidR="00A52EF6" w:rsidRPr="00A15D06">
        <w:rPr>
          <w:rFonts w:ascii="StobiSerif Regular" w:hAnsi="StobiSerif Regular"/>
        </w:rPr>
        <w:t xml:space="preserve">секторите </w:t>
      </w:r>
      <w:r w:rsidR="00A52EF6">
        <w:rPr>
          <w:rFonts w:ascii="StobiSerif Regular" w:hAnsi="StobiSerif Regular"/>
        </w:rPr>
        <w:t>градинарство, лозарство и овошта</w:t>
      </w:r>
      <w:r w:rsidR="00A52EF6" w:rsidRPr="00A15D06">
        <w:rPr>
          <w:rFonts w:ascii="StobiSerif Regular" w:hAnsi="StobiSerif Regular"/>
        </w:rPr>
        <w:t>рство</w:t>
      </w:r>
      <w:r w:rsidR="0074242E">
        <w:rPr>
          <w:rFonts w:ascii="StobiSerif Regular" w:hAnsi="StobiSerif Regular"/>
        </w:rPr>
        <w:t xml:space="preserve">. Во овие сектори вкупно се поднесени 2494 барања. Најдобар квалитет на апликации има во секторот </w:t>
      </w:r>
      <w:r w:rsidR="00A52EF6">
        <w:rPr>
          <w:rFonts w:ascii="StobiSerif Regular" w:hAnsi="StobiSerif Regular"/>
        </w:rPr>
        <w:t>овошта</w:t>
      </w:r>
      <w:r w:rsidR="00A52EF6" w:rsidRPr="00A15D06">
        <w:rPr>
          <w:rFonts w:ascii="StobiSerif Regular" w:hAnsi="StobiSerif Regular"/>
        </w:rPr>
        <w:t>рство</w:t>
      </w:r>
      <w:r w:rsidR="00A52EF6">
        <w:rPr>
          <w:rFonts w:ascii="StobiSerif Regular" w:hAnsi="StobiSerif Regular"/>
        </w:rPr>
        <w:t xml:space="preserve"> </w:t>
      </w:r>
      <w:r w:rsidR="00462A2D">
        <w:rPr>
          <w:rFonts w:ascii="StobiSerif Regular" w:hAnsi="StobiSerif Regular"/>
        </w:rPr>
        <w:t>во кој се реализирани</w:t>
      </w:r>
      <w:r w:rsidR="0074242E">
        <w:rPr>
          <w:rFonts w:ascii="StobiSerif Regular" w:hAnsi="StobiSerif Regular"/>
        </w:rPr>
        <w:t xml:space="preserve"> 345 проекти. </w:t>
      </w:r>
    </w:p>
    <w:p w:rsidR="00416E25" w:rsidRPr="00677FC7" w:rsidRDefault="00462A2D" w:rsidP="00B53496">
      <w:pPr>
        <w:spacing w:after="0"/>
        <w:jc w:val="both"/>
        <w:rPr>
          <w:rFonts w:ascii="StobiSerif Regular" w:hAnsi="StobiSerif Regular"/>
          <w:b/>
          <w:lang w:val="en-US"/>
        </w:rPr>
      </w:pPr>
      <w:bookmarkStart w:id="26" w:name="_Toc485394899"/>
      <w:r w:rsidRPr="00677FC7">
        <w:rPr>
          <w:rFonts w:ascii="StobiSerif Regular" w:eastAsia="Times New Roman" w:hAnsi="StobiSerif Regular" w:cs="Times New Roman"/>
          <w:b/>
          <w:lang w:eastAsia="zh-CN"/>
        </w:rPr>
        <w:t>Табела</w:t>
      </w:r>
      <w:r w:rsidR="00E95C9E" w:rsidRPr="00677FC7">
        <w:rPr>
          <w:rFonts w:ascii="StobiSerif Regular" w:eastAsia="Times New Roman" w:hAnsi="StobiSerif Regular" w:cs="Times New Roman"/>
          <w:b/>
          <w:lang w:val="en-GB" w:eastAsia="zh-CN"/>
        </w:rPr>
        <w:t xml:space="preserve"> </w:t>
      </w:r>
      <w:r w:rsidR="00E95C9E" w:rsidRPr="00677FC7">
        <w:rPr>
          <w:rFonts w:ascii="StobiSerif Regular" w:eastAsia="Times New Roman" w:hAnsi="StobiSerif Regular" w:cs="Times New Roman"/>
          <w:b/>
          <w:lang w:val="en-GB" w:eastAsia="zh-CN"/>
        </w:rPr>
        <w:fldChar w:fldCharType="begin"/>
      </w:r>
      <w:r w:rsidR="00E95C9E" w:rsidRPr="00677FC7">
        <w:rPr>
          <w:rFonts w:ascii="StobiSerif Regular" w:eastAsia="Times New Roman" w:hAnsi="StobiSerif Regular" w:cs="Times New Roman"/>
          <w:b/>
          <w:lang w:val="en-GB" w:eastAsia="zh-CN"/>
        </w:rPr>
        <w:instrText xml:space="preserve"> SEQ Table \* ARABIC </w:instrText>
      </w:r>
      <w:r w:rsidR="00E95C9E" w:rsidRPr="00677FC7">
        <w:rPr>
          <w:rFonts w:ascii="StobiSerif Regular" w:eastAsia="Times New Roman" w:hAnsi="StobiSerif Regular" w:cs="Times New Roman"/>
          <w:b/>
          <w:lang w:val="en-GB" w:eastAsia="zh-CN"/>
        </w:rPr>
        <w:fldChar w:fldCharType="separate"/>
      </w:r>
      <w:r w:rsidR="00E95C9E" w:rsidRPr="00677FC7">
        <w:rPr>
          <w:rFonts w:ascii="StobiSerif Regular" w:eastAsia="Times New Roman" w:hAnsi="StobiSerif Regular" w:cs="Times New Roman"/>
          <w:b/>
          <w:noProof/>
          <w:lang w:val="en-GB" w:eastAsia="zh-CN"/>
        </w:rPr>
        <w:t>7</w:t>
      </w:r>
      <w:r w:rsidR="00E95C9E" w:rsidRPr="00677FC7">
        <w:rPr>
          <w:rFonts w:ascii="StobiSerif Regular" w:eastAsia="Times New Roman" w:hAnsi="StobiSerif Regular" w:cs="Times New Roman"/>
          <w:b/>
          <w:lang w:val="en-GB" w:eastAsia="zh-CN"/>
        </w:rPr>
        <w:fldChar w:fldCharType="end"/>
      </w:r>
      <w:r w:rsidR="00E95C9E" w:rsidRPr="00677FC7">
        <w:rPr>
          <w:rFonts w:ascii="StobiSerif Regular" w:eastAsia="Times New Roman" w:hAnsi="StobiSerif Regular" w:cs="Times New Roman"/>
          <w:b/>
          <w:lang w:val="en-GB" w:eastAsia="zh-CN"/>
        </w:rPr>
        <w:t xml:space="preserve">: </w:t>
      </w:r>
      <w:r w:rsidRPr="00677FC7">
        <w:rPr>
          <w:rFonts w:ascii="StobiSerif Regular" w:hAnsi="StobiSerif Regular"/>
          <w:b/>
        </w:rPr>
        <w:t xml:space="preserve">Апликации по сектори во </w:t>
      </w:r>
      <w:r w:rsidR="00416E25" w:rsidRPr="00677FC7">
        <w:rPr>
          <w:rFonts w:ascii="StobiSerif Regular" w:hAnsi="StobiSerif Regular"/>
          <w:b/>
          <w:lang w:val="en-US"/>
        </w:rPr>
        <w:t xml:space="preserve"> M101</w:t>
      </w:r>
      <w:bookmarkEnd w:id="26"/>
    </w:p>
    <w:tbl>
      <w:tblPr>
        <w:tblStyle w:val="TableGrid2"/>
        <w:tblpPr w:leftFromText="180" w:rightFromText="180" w:vertAnchor="text" w:horzAnchor="page" w:tblpX="1672" w:tblpY="86"/>
        <w:tblW w:w="0" w:type="auto"/>
        <w:tblLook w:val="04A0" w:firstRow="1" w:lastRow="0" w:firstColumn="1" w:lastColumn="0" w:noHBand="0" w:noVBand="1"/>
      </w:tblPr>
      <w:tblGrid>
        <w:gridCol w:w="2624"/>
        <w:gridCol w:w="1080"/>
        <w:gridCol w:w="996"/>
        <w:gridCol w:w="1058"/>
        <w:gridCol w:w="1134"/>
      </w:tblGrid>
      <w:tr w:rsidR="00416E25" w:rsidRPr="000B5E5D" w:rsidTr="00416E25">
        <w:tc>
          <w:tcPr>
            <w:tcW w:w="2624" w:type="dxa"/>
            <w:shd w:val="clear" w:color="auto" w:fill="D9D9D9" w:themeFill="background1" w:themeFillShade="D9"/>
          </w:tcPr>
          <w:p w:rsidR="00416E25" w:rsidRPr="000B5E5D" w:rsidRDefault="00416E25" w:rsidP="00416E25">
            <w:pPr>
              <w:rPr>
                <w:rFonts w:ascii="StobiSerif Regular" w:hAnsi="StobiSerif Regular"/>
                <w:b/>
                <w:sz w:val="16"/>
                <w:szCs w:val="16"/>
                <w:lang w:eastAsia="en-GB"/>
              </w:rPr>
            </w:pPr>
          </w:p>
        </w:tc>
        <w:tc>
          <w:tcPr>
            <w:tcW w:w="1062" w:type="dxa"/>
            <w:shd w:val="clear" w:color="auto" w:fill="D9D9D9" w:themeFill="background1" w:themeFillShade="D9"/>
          </w:tcPr>
          <w:p w:rsidR="00416E25" w:rsidRPr="000B5E5D" w:rsidRDefault="000C5A4B" w:rsidP="00416E25">
            <w:pPr>
              <w:rPr>
                <w:rFonts w:ascii="StobiSerif Regular" w:hAnsi="StobiSerif Regular"/>
                <w:sz w:val="16"/>
                <w:szCs w:val="16"/>
                <w:lang w:eastAsia="en-GB"/>
              </w:rPr>
            </w:pPr>
            <w:r>
              <w:rPr>
                <w:rFonts w:ascii="StobiSerif Regular" w:hAnsi="StobiSerif Regular"/>
                <w:sz w:val="16"/>
                <w:szCs w:val="16"/>
                <w:lang w:val="mk-MK" w:eastAsia="en-GB"/>
              </w:rPr>
              <w:t xml:space="preserve">Поднесени </w:t>
            </w:r>
            <w:r w:rsidR="00416E25" w:rsidRPr="000B5E5D">
              <w:rPr>
                <w:rFonts w:ascii="StobiSerif Regular" w:hAnsi="StobiSerif Regular"/>
                <w:sz w:val="16"/>
                <w:szCs w:val="16"/>
                <w:lang w:eastAsia="en-GB"/>
              </w:rPr>
              <w:t xml:space="preserve"> </w:t>
            </w:r>
          </w:p>
        </w:tc>
        <w:tc>
          <w:tcPr>
            <w:tcW w:w="993" w:type="dxa"/>
            <w:shd w:val="clear" w:color="auto" w:fill="D9D9D9" w:themeFill="background1" w:themeFillShade="D9"/>
            <w:vAlign w:val="bottom"/>
          </w:tcPr>
          <w:p w:rsidR="00416E25" w:rsidRPr="000C5A4B" w:rsidRDefault="000C5A4B" w:rsidP="00416E25">
            <w:pPr>
              <w:rPr>
                <w:rFonts w:ascii="StobiSerif Regular" w:hAnsi="StobiSerif Regular"/>
                <w:sz w:val="16"/>
                <w:szCs w:val="16"/>
                <w:lang w:val="mk-MK"/>
              </w:rPr>
            </w:pPr>
            <w:r>
              <w:rPr>
                <w:rFonts w:ascii="StobiSerif Regular" w:hAnsi="StobiSerif Regular"/>
                <w:sz w:val="16"/>
                <w:szCs w:val="16"/>
                <w:lang w:val="mk-MK"/>
              </w:rPr>
              <w:t xml:space="preserve">Одобрени </w:t>
            </w:r>
          </w:p>
        </w:tc>
        <w:tc>
          <w:tcPr>
            <w:tcW w:w="992" w:type="dxa"/>
            <w:shd w:val="clear" w:color="auto" w:fill="D9D9D9" w:themeFill="background1" w:themeFillShade="D9"/>
            <w:vAlign w:val="bottom"/>
          </w:tcPr>
          <w:p w:rsidR="00416E25" w:rsidRPr="000C5A4B" w:rsidRDefault="000C5A4B" w:rsidP="00416E25">
            <w:pPr>
              <w:rPr>
                <w:rFonts w:ascii="StobiSerif Regular" w:hAnsi="StobiSerif Regular"/>
                <w:sz w:val="16"/>
                <w:szCs w:val="16"/>
                <w:lang w:val="mk-MK"/>
              </w:rPr>
            </w:pPr>
            <w:r>
              <w:rPr>
                <w:rFonts w:ascii="StobiSerif Regular" w:hAnsi="StobiSerif Regular"/>
                <w:sz w:val="16"/>
                <w:szCs w:val="16"/>
                <w:lang w:val="mk-MK"/>
              </w:rPr>
              <w:t xml:space="preserve">Раскинати </w:t>
            </w:r>
          </w:p>
        </w:tc>
        <w:tc>
          <w:tcPr>
            <w:tcW w:w="1134" w:type="dxa"/>
            <w:shd w:val="clear" w:color="auto" w:fill="D9D9D9" w:themeFill="background1" w:themeFillShade="D9"/>
            <w:vAlign w:val="bottom"/>
          </w:tcPr>
          <w:p w:rsidR="00416E25" w:rsidRPr="000C5A4B" w:rsidRDefault="000C5A4B" w:rsidP="00416E25">
            <w:pPr>
              <w:rPr>
                <w:rFonts w:ascii="StobiSerif Regular" w:hAnsi="StobiSerif Regular"/>
                <w:sz w:val="16"/>
                <w:szCs w:val="16"/>
                <w:lang w:val="mk-MK"/>
              </w:rPr>
            </w:pPr>
            <w:r>
              <w:rPr>
                <w:rFonts w:ascii="StobiSerif Regular" w:hAnsi="StobiSerif Regular"/>
                <w:sz w:val="16"/>
                <w:szCs w:val="16"/>
                <w:lang w:val="mk-MK"/>
              </w:rPr>
              <w:t xml:space="preserve">Исплатени </w:t>
            </w:r>
          </w:p>
        </w:tc>
      </w:tr>
      <w:tr w:rsidR="00416E25" w:rsidRPr="000B5E5D" w:rsidTr="00416E25">
        <w:tc>
          <w:tcPr>
            <w:tcW w:w="2624" w:type="dxa"/>
            <w:vAlign w:val="bottom"/>
          </w:tcPr>
          <w:p w:rsidR="00416E25" w:rsidRPr="00462A2D" w:rsidRDefault="00462A2D" w:rsidP="00416E25">
            <w:pPr>
              <w:rPr>
                <w:rFonts w:ascii="StobiSerif Regular" w:hAnsi="StobiSerif Regular" w:cs="Arial"/>
                <w:sz w:val="16"/>
                <w:szCs w:val="16"/>
                <w:lang w:val="mk-MK"/>
              </w:rPr>
            </w:pPr>
            <w:r>
              <w:rPr>
                <w:rFonts w:ascii="StobiSerif Regular" w:hAnsi="StobiSerif Regular" w:cs="Arial"/>
                <w:sz w:val="16"/>
                <w:szCs w:val="16"/>
                <w:lang w:val="mk-MK"/>
              </w:rPr>
              <w:t xml:space="preserve">Месо </w:t>
            </w:r>
          </w:p>
        </w:tc>
        <w:tc>
          <w:tcPr>
            <w:tcW w:w="1062" w:type="dxa"/>
            <w:vAlign w:val="bottom"/>
          </w:tcPr>
          <w:p w:rsidR="00416E25" w:rsidRPr="000B5E5D" w:rsidRDefault="00416E25" w:rsidP="00416E25">
            <w:pPr>
              <w:jc w:val="right"/>
              <w:rPr>
                <w:rFonts w:ascii="StobiSerif Regular" w:hAnsi="StobiSerif Regular" w:cs="Arial"/>
                <w:sz w:val="16"/>
                <w:szCs w:val="16"/>
              </w:rPr>
            </w:pPr>
            <w:r w:rsidRPr="000B5E5D">
              <w:rPr>
                <w:rFonts w:ascii="StobiSerif Regular" w:hAnsi="StobiSerif Regular" w:cs="Arial"/>
                <w:sz w:val="16"/>
                <w:szCs w:val="16"/>
              </w:rPr>
              <w:t>49</w:t>
            </w:r>
          </w:p>
        </w:tc>
        <w:tc>
          <w:tcPr>
            <w:tcW w:w="993" w:type="dxa"/>
            <w:vAlign w:val="bottom"/>
          </w:tcPr>
          <w:p w:rsidR="00416E25" w:rsidRPr="000B5E5D" w:rsidRDefault="00416E25" w:rsidP="00416E25">
            <w:pPr>
              <w:jc w:val="right"/>
              <w:rPr>
                <w:rFonts w:ascii="StobiSerif Regular" w:hAnsi="StobiSerif Regular" w:cs="Arial"/>
                <w:sz w:val="16"/>
                <w:szCs w:val="16"/>
              </w:rPr>
            </w:pPr>
            <w:r w:rsidRPr="000B5E5D">
              <w:rPr>
                <w:rFonts w:ascii="StobiSerif Regular" w:hAnsi="StobiSerif Regular" w:cs="Arial"/>
                <w:sz w:val="16"/>
                <w:szCs w:val="16"/>
              </w:rPr>
              <w:t>12</w:t>
            </w:r>
          </w:p>
        </w:tc>
        <w:tc>
          <w:tcPr>
            <w:tcW w:w="992" w:type="dxa"/>
            <w:vAlign w:val="bottom"/>
          </w:tcPr>
          <w:p w:rsidR="00416E25" w:rsidRPr="000B5E5D" w:rsidRDefault="00416E25" w:rsidP="00416E25">
            <w:pPr>
              <w:jc w:val="right"/>
              <w:rPr>
                <w:rFonts w:ascii="StobiSerif Regular" w:hAnsi="StobiSerif Regular" w:cs="Arial"/>
                <w:sz w:val="16"/>
                <w:szCs w:val="16"/>
              </w:rPr>
            </w:pPr>
            <w:r w:rsidRPr="000B5E5D">
              <w:rPr>
                <w:rFonts w:ascii="StobiSerif Regular" w:hAnsi="StobiSerif Regular" w:cs="Arial"/>
                <w:sz w:val="16"/>
                <w:szCs w:val="16"/>
              </w:rPr>
              <w:t>5</w:t>
            </w:r>
          </w:p>
        </w:tc>
        <w:tc>
          <w:tcPr>
            <w:tcW w:w="1134" w:type="dxa"/>
            <w:vAlign w:val="bottom"/>
          </w:tcPr>
          <w:p w:rsidR="00416E25" w:rsidRPr="000B5E5D" w:rsidRDefault="00416E25" w:rsidP="00416E25">
            <w:pPr>
              <w:jc w:val="right"/>
              <w:rPr>
                <w:rFonts w:ascii="StobiSerif Regular" w:hAnsi="StobiSerif Regular" w:cs="Arial"/>
                <w:sz w:val="16"/>
                <w:szCs w:val="16"/>
              </w:rPr>
            </w:pPr>
            <w:r w:rsidRPr="000B5E5D">
              <w:rPr>
                <w:rFonts w:ascii="StobiSerif Regular" w:hAnsi="StobiSerif Regular" w:cs="Arial"/>
                <w:sz w:val="16"/>
                <w:szCs w:val="16"/>
              </w:rPr>
              <w:t>3</w:t>
            </w:r>
          </w:p>
        </w:tc>
      </w:tr>
      <w:tr w:rsidR="00416E25" w:rsidRPr="000B5E5D" w:rsidTr="00416E25">
        <w:tc>
          <w:tcPr>
            <w:tcW w:w="2624" w:type="dxa"/>
            <w:vAlign w:val="bottom"/>
          </w:tcPr>
          <w:p w:rsidR="00416E25" w:rsidRPr="00462A2D" w:rsidRDefault="00462A2D" w:rsidP="00416E25">
            <w:pPr>
              <w:rPr>
                <w:rFonts w:ascii="StobiSerif Regular" w:hAnsi="StobiSerif Regular" w:cs="Arial"/>
                <w:sz w:val="16"/>
                <w:szCs w:val="16"/>
                <w:lang w:val="mk-MK"/>
              </w:rPr>
            </w:pPr>
            <w:r>
              <w:rPr>
                <w:rFonts w:ascii="StobiSerif Regular" w:hAnsi="StobiSerif Regular" w:cs="Arial"/>
                <w:sz w:val="16"/>
                <w:szCs w:val="16"/>
                <w:lang w:val="mk-MK"/>
              </w:rPr>
              <w:t xml:space="preserve">Млеко </w:t>
            </w:r>
          </w:p>
        </w:tc>
        <w:tc>
          <w:tcPr>
            <w:tcW w:w="1062" w:type="dxa"/>
            <w:vAlign w:val="bottom"/>
          </w:tcPr>
          <w:p w:rsidR="00416E25" w:rsidRPr="000B5E5D" w:rsidRDefault="00416E25" w:rsidP="00416E25">
            <w:pPr>
              <w:jc w:val="right"/>
              <w:rPr>
                <w:rFonts w:ascii="StobiSerif Regular" w:hAnsi="StobiSerif Regular" w:cs="Arial"/>
                <w:sz w:val="16"/>
                <w:szCs w:val="16"/>
              </w:rPr>
            </w:pPr>
            <w:r w:rsidRPr="000B5E5D">
              <w:rPr>
                <w:rFonts w:ascii="StobiSerif Regular" w:hAnsi="StobiSerif Regular" w:cs="Arial"/>
                <w:sz w:val="16"/>
                <w:szCs w:val="16"/>
              </w:rPr>
              <w:t>78</w:t>
            </w:r>
          </w:p>
        </w:tc>
        <w:tc>
          <w:tcPr>
            <w:tcW w:w="993" w:type="dxa"/>
            <w:vAlign w:val="bottom"/>
          </w:tcPr>
          <w:p w:rsidR="00416E25" w:rsidRPr="000B5E5D" w:rsidRDefault="00416E25" w:rsidP="00416E25">
            <w:pPr>
              <w:jc w:val="right"/>
              <w:rPr>
                <w:rFonts w:ascii="StobiSerif Regular" w:hAnsi="StobiSerif Regular" w:cs="Arial"/>
                <w:sz w:val="16"/>
                <w:szCs w:val="16"/>
              </w:rPr>
            </w:pPr>
            <w:r w:rsidRPr="000B5E5D">
              <w:rPr>
                <w:rFonts w:ascii="StobiSerif Regular" w:hAnsi="StobiSerif Regular" w:cs="Arial"/>
                <w:sz w:val="16"/>
                <w:szCs w:val="16"/>
              </w:rPr>
              <w:t>8</w:t>
            </w:r>
          </w:p>
        </w:tc>
        <w:tc>
          <w:tcPr>
            <w:tcW w:w="992" w:type="dxa"/>
            <w:vAlign w:val="bottom"/>
          </w:tcPr>
          <w:p w:rsidR="00416E25" w:rsidRPr="000B5E5D" w:rsidRDefault="00416E25" w:rsidP="00416E25">
            <w:pPr>
              <w:jc w:val="right"/>
              <w:rPr>
                <w:rFonts w:ascii="StobiSerif Regular" w:hAnsi="StobiSerif Regular" w:cs="Arial"/>
                <w:sz w:val="16"/>
                <w:szCs w:val="16"/>
              </w:rPr>
            </w:pPr>
            <w:r w:rsidRPr="000B5E5D">
              <w:rPr>
                <w:rFonts w:ascii="StobiSerif Regular" w:hAnsi="StobiSerif Regular" w:cs="Arial"/>
                <w:sz w:val="16"/>
                <w:szCs w:val="16"/>
              </w:rPr>
              <w:t>2</w:t>
            </w:r>
          </w:p>
        </w:tc>
        <w:tc>
          <w:tcPr>
            <w:tcW w:w="1134" w:type="dxa"/>
            <w:vAlign w:val="bottom"/>
          </w:tcPr>
          <w:p w:rsidR="00416E25" w:rsidRPr="000B5E5D" w:rsidRDefault="00416E25" w:rsidP="00416E25">
            <w:pPr>
              <w:jc w:val="right"/>
              <w:rPr>
                <w:rFonts w:ascii="StobiSerif Regular" w:hAnsi="StobiSerif Regular" w:cs="Arial"/>
                <w:sz w:val="16"/>
                <w:szCs w:val="16"/>
              </w:rPr>
            </w:pPr>
            <w:r w:rsidRPr="000B5E5D">
              <w:rPr>
                <w:rFonts w:ascii="StobiSerif Regular" w:hAnsi="StobiSerif Regular" w:cs="Arial"/>
                <w:sz w:val="16"/>
                <w:szCs w:val="16"/>
              </w:rPr>
              <w:t>3</w:t>
            </w:r>
          </w:p>
        </w:tc>
      </w:tr>
      <w:tr w:rsidR="00416E25" w:rsidRPr="000B5E5D" w:rsidTr="00416E25">
        <w:tc>
          <w:tcPr>
            <w:tcW w:w="2624" w:type="dxa"/>
            <w:vAlign w:val="bottom"/>
          </w:tcPr>
          <w:p w:rsidR="00416E25" w:rsidRPr="00462A2D" w:rsidRDefault="00462A2D" w:rsidP="00416E25">
            <w:pPr>
              <w:rPr>
                <w:rFonts w:ascii="StobiSerif Regular" w:hAnsi="StobiSerif Regular"/>
                <w:sz w:val="16"/>
                <w:szCs w:val="16"/>
                <w:lang w:val="mk-MK"/>
              </w:rPr>
            </w:pPr>
            <w:r>
              <w:rPr>
                <w:rFonts w:ascii="StobiSerif Regular" w:hAnsi="StobiSerif Regular"/>
                <w:sz w:val="16"/>
                <w:szCs w:val="16"/>
                <w:lang w:val="mk-MK"/>
              </w:rPr>
              <w:t xml:space="preserve">Градинарство </w:t>
            </w:r>
          </w:p>
        </w:tc>
        <w:tc>
          <w:tcPr>
            <w:tcW w:w="1062"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998</w:t>
            </w:r>
          </w:p>
        </w:tc>
        <w:tc>
          <w:tcPr>
            <w:tcW w:w="993"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472</w:t>
            </w:r>
          </w:p>
        </w:tc>
        <w:tc>
          <w:tcPr>
            <w:tcW w:w="992"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26</w:t>
            </w:r>
          </w:p>
        </w:tc>
        <w:tc>
          <w:tcPr>
            <w:tcW w:w="1134"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196</w:t>
            </w:r>
          </w:p>
        </w:tc>
      </w:tr>
      <w:tr w:rsidR="00416E25" w:rsidRPr="000B5E5D" w:rsidTr="00416E25">
        <w:tc>
          <w:tcPr>
            <w:tcW w:w="2624" w:type="dxa"/>
            <w:vAlign w:val="bottom"/>
          </w:tcPr>
          <w:p w:rsidR="00416E25" w:rsidRPr="00462A2D" w:rsidRDefault="00462A2D" w:rsidP="00416E25">
            <w:pPr>
              <w:rPr>
                <w:rFonts w:ascii="StobiSerif Regular" w:hAnsi="StobiSerif Regular"/>
                <w:sz w:val="16"/>
                <w:szCs w:val="16"/>
                <w:lang w:val="mk-MK"/>
              </w:rPr>
            </w:pPr>
            <w:r>
              <w:rPr>
                <w:rFonts w:ascii="StobiSerif Regular" w:hAnsi="StobiSerif Regular"/>
                <w:sz w:val="16"/>
                <w:szCs w:val="16"/>
                <w:lang w:val="mk-MK"/>
              </w:rPr>
              <w:t xml:space="preserve">Лозарство </w:t>
            </w:r>
          </w:p>
        </w:tc>
        <w:tc>
          <w:tcPr>
            <w:tcW w:w="1062"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460</w:t>
            </w:r>
          </w:p>
        </w:tc>
        <w:tc>
          <w:tcPr>
            <w:tcW w:w="993"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245</w:t>
            </w:r>
          </w:p>
        </w:tc>
        <w:tc>
          <w:tcPr>
            <w:tcW w:w="992"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36</w:t>
            </w:r>
          </w:p>
        </w:tc>
        <w:tc>
          <w:tcPr>
            <w:tcW w:w="1134"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146</w:t>
            </w:r>
          </w:p>
        </w:tc>
      </w:tr>
      <w:tr w:rsidR="00416E25" w:rsidRPr="000B5E5D" w:rsidTr="00416E25">
        <w:tc>
          <w:tcPr>
            <w:tcW w:w="2624" w:type="dxa"/>
            <w:vAlign w:val="bottom"/>
          </w:tcPr>
          <w:p w:rsidR="00416E25" w:rsidRPr="00462A2D" w:rsidRDefault="00462A2D" w:rsidP="00416E25">
            <w:pPr>
              <w:rPr>
                <w:rFonts w:ascii="StobiSerif Regular" w:hAnsi="StobiSerif Regular"/>
                <w:sz w:val="16"/>
                <w:szCs w:val="16"/>
                <w:lang w:val="mk-MK"/>
              </w:rPr>
            </w:pPr>
            <w:r>
              <w:rPr>
                <w:rFonts w:ascii="StobiSerif Regular" w:hAnsi="StobiSerif Regular"/>
                <w:sz w:val="16"/>
                <w:szCs w:val="16"/>
                <w:lang w:val="mk-MK"/>
              </w:rPr>
              <w:t xml:space="preserve">Овоштарство </w:t>
            </w:r>
          </w:p>
        </w:tc>
        <w:tc>
          <w:tcPr>
            <w:tcW w:w="1062"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936</w:t>
            </w:r>
          </w:p>
        </w:tc>
        <w:tc>
          <w:tcPr>
            <w:tcW w:w="993"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529</w:t>
            </w:r>
          </w:p>
        </w:tc>
        <w:tc>
          <w:tcPr>
            <w:tcW w:w="992"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72</w:t>
            </w:r>
          </w:p>
        </w:tc>
        <w:tc>
          <w:tcPr>
            <w:tcW w:w="1134" w:type="dxa"/>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345</w:t>
            </w:r>
          </w:p>
        </w:tc>
      </w:tr>
      <w:tr w:rsidR="00416E25" w:rsidRPr="000B5E5D" w:rsidTr="00416E25">
        <w:tc>
          <w:tcPr>
            <w:tcW w:w="2624" w:type="dxa"/>
            <w:tcBorders>
              <w:bottom w:val="single" w:sz="4" w:space="0" w:color="auto"/>
            </w:tcBorders>
            <w:vAlign w:val="bottom"/>
          </w:tcPr>
          <w:p w:rsidR="00416E25" w:rsidRPr="00462A2D" w:rsidRDefault="00462A2D" w:rsidP="00462A2D">
            <w:pPr>
              <w:rPr>
                <w:rFonts w:ascii="StobiSerif Regular" w:hAnsi="StobiSerif Regular"/>
                <w:sz w:val="16"/>
                <w:szCs w:val="16"/>
                <w:lang w:val="mk-MK"/>
              </w:rPr>
            </w:pPr>
            <w:r>
              <w:rPr>
                <w:rFonts w:ascii="StobiSerif Regular" w:hAnsi="StobiSerif Regular"/>
                <w:sz w:val="16"/>
                <w:szCs w:val="16"/>
                <w:lang w:val="mk-MK"/>
              </w:rPr>
              <w:t>Без тип на инвестиција</w:t>
            </w:r>
          </w:p>
        </w:tc>
        <w:tc>
          <w:tcPr>
            <w:tcW w:w="1062" w:type="dxa"/>
            <w:tcBorders>
              <w:bottom w:val="single" w:sz="4" w:space="0" w:color="auto"/>
            </w:tcBorders>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11</w:t>
            </w:r>
          </w:p>
        </w:tc>
        <w:tc>
          <w:tcPr>
            <w:tcW w:w="993" w:type="dxa"/>
            <w:tcBorders>
              <w:bottom w:val="single" w:sz="4" w:space="0" w:color="auto"/>
            </w:tcBorders>
          </w:tcPr>
          <w:p w:rsidR="00416E25" w:rsidRPr="000B5E5D" w:rsidRDefault="00416E25" w:rsidP="00416E25">
            <w:pPr>
              <w:rPr>
                <w:rFonts w:ascii="StobiSerif Regular" w:hAnsi="StobiSerif Regular"/>
                <w:b/>
                <w:sz w:val="16"/>
                <w:szCs w:val="16"/>
                <w:lang w:eastAsia="en-GB"/>
              </w:rPr>
            </w:pPr>
          </w:p>
        </w:tc>
        <w:tc>
          <w:tcPr>
            <w:tcW w:w="992" w:type="dxa"/>
            <w:tcBorders>
              <w:bottom w:val="single" w:sz="4" w:space="0" w:color="auto"/>
            </w:tcBorders>
          </w:tcPr>
          <w:p w:rsidR="00416E25" w:rsidRPr="000B5E5D" w:rsidRDefault="00416E25" w:rsidP="00416E25">
            <w:pPr>
              <w:rPr>
                <w:rFonts w:ascii="StobiSerif Regular" w:hAnsi="StobiSerif Regular"/>
                <w:b/>
                <w:sz w:val="16"/>
                <w:szCs w:val="16"/>
                <w:lang w:eastAsia="en-GB"/>
              </w:rPr>
            </w:pPr>
          </w:p>
        </w:tc>
        <w:tc>
          <w:tcPr>
            <w:tcW w:w="1134" w:type="dxa"/>
            <w:tcBorders>
              <w:bottom w:val="single" w:sz="4" w:space="0" w:color="auto"/>
            </w:tcBorders>
          </w:tcPr>
          <w:p w:rsidR="00416E25" w:rsidRPr="000B5E5D" w:rsidRDefault="00416E25" w:rsidP="00416E25">
            <w:pPr>
              <w:rPr>
                <w:rFonts w:ascii="StobiSerif Regular" w:hAnsi="StobiSerif Regular"/>
                <w:b/>
                <w:sz w:val="16"/>
                <w:szCs w:val="16"/>
                <w:lang w:eastAsia="en-GB"/>
              </w:rPr>
            </w:pPr>
          </w:p>
        </w:tc>
      </w:tr>
      <w:tr w:rsidR="00416E25" w:rsidRPr="000B5E5D" w:rsidTr="00416E25">
        <w:tc>
          <w:tcPr>
            <w:tcW w:w="2624" w:type="dxa"/>
            <w:shd w:val="clear" w:color="auto" w:fill="D9D9D9" w:themeFill="background1" w:themeFillShade="D9"/>
            <w:vAlign w:val="bottom"/>
          </w:tcPr>
          <w:p w:rsidR="00416E25" w:rsidRPr="000C5A4B" w:rsidRDefault="000C5A4B" w:rsidP="00416E25">
            <w:pPr>
              <w:rPr>
                <w:rFonts w:ascii="StobiSerif Regular" w:hAnsi="StobiSerif Regular"/>
                <w:sz w:val="16"/>
                <w:szCs w:val="16"/>
                <w:lang w:val="mk-MK"/>
              </w:rPr>
            </w:pPr>
            <w:r>
              <w:rPr>
                <w:rFonts w:ascii="StobiSerif Regular" w:hAnsi="StobiSerif Regular"/>
                <w:sz w:val="16"/>
                <w:szCs w:val="16"/>
                <w:lang w:val="mk-MK"/>
              </w:rPr>
              <w:t xml:space="preserve">Вкупно </w:t>
            </w:r>
          </w:p>
        </w:tc>
        <w:tc>
          <w:tcPr>
            <w:tcW w:w="1062" w:type="dxa"/>
            <w:shd w:val="clear" w:color="auto" w:fill="D9D9D9" w:themeFill="background1" w:themeFillShade="D9"/>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2532</w:t>
            </w:r>
          </w:p>
        </w:tc>
        <w:tc>
          <w:tcPr>
            <w:tcW w:w="993" w:type="dxa"/>
            <w:shd w:val="clear" w:color="auto" w:fill="D9D9D9" w:themeFill="background1" w:themeFillShade="D9"/>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1266</w:t>
            </w:r>
          </w:p>
        </w:tc>
        <w:tc>
          <w:tcPr>
            <w:tcW w:w="992" w:type="dxa"/>
            <w:shd w:val="clear" w:color="auto" w:fill="D9D9D9" w:themeFill="background1" w:themeFillShade="D9"/>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141</w:t>
            </w:r>
          </w:p>
        </w:tc>
        <w:tc>
          <w:tcPr>
            <w:tcW w:w="1134" w:type="dxa"/>
            <w:shd w:val="clear" w:color="auto" w:fill="D9D9D9" w:themeFill="background1" w:themeFillShade="D9"/>
            <w:vAlign w:val="bottom"/>
          </w:tcPr>
          <w:p w:rsidR="00416E25" w:rsidRPr="000B5E5D" w:rsidRDefault="00416E25" w:rsidP="00416E25">
            <w:pPr>
              <w:jc w:val="right"/>
              <w:rPr>
                <w:rFonts w:ascii="StobiSerif Regular" w:hAnsi="StobiSerif Regular"/>
                <w:sz w:val="16"/>
                <w:szCs w:val="16"/>
              </w:rPr>
            </w:pPr>
            <w:r w:rsidRPr="000B5E5D">
              <w:rPr>
                <w:rFonts w:ascii="StobiSerif Regular" w:hAnsi="StobiSerif Regular"/>
                <w:sz w:val="16"/>
                <w:szCs w:val="16"/>
              </w:rPr>
              <w:t>693</w:t>
            </w:r>
          </w:p>
        </w:tc>
      </w:tr>
    </w:tbl>
    <w:p w:rsidR="00416E25" w:rsidRPr="000B5E5D" w:rsidRDefault="00416E25" w:rsidP="00E65DFA">
      <w:pPr>
        <w:spacing w:before="120" w:after="120"/>
        <w:jc w:val="both"/>
        <w:rPr>
          <w:rFonts w:ascii="StobiSerif Regular" w:hAnsi="StobiSerif Regular"/>
          <w:lang w:val="en-US"/>
        </w:rPr>
      </w:pPr>
    </w:p>
    <w:p w:rsidR="000A3D56" w:rsidRPr="000B5E5D" w:rsidRDefault="000A3D56" w:rsidP="00E65DFA">
      <w:pPr>
        <w:spacing w:before="120" w:after="120"/>
        <w:jc w:val="both"/>
        <w:rPr>
          <w:rFonts w:ascii="StobiSerif Regular" w:hAnsi="StobiSerif Regular"/>
          <w:lang w:val="en-US"/>
        </w:rPr>
      </w:pPr>
    </w:p>
    <w:p w:rsidR="000A3D56" w:rsidRPr="00CA47F3" w:rsidRDefault="00462A2D" w:rsidP="00B53496">
      <w:pPr>
        <w:spacing w:after="0"/>
        <w:jc w:val="both"/>
        <w:rPr>
          <w:rFonts w:ascii="StobiSerif Regular" w:hAnsi="StobiSerif Regular"/>
          <w:sz w:val="16"/>
          <w:szCs w:val="16"/>
        </w:rPr>
      </w:pPr>
      <w:r w:rsidRPr="00462A2D">
        <w:rPr>
          <w:rFonts w:ascii="StobiSerif Regular" w:hAnsi="StobiSerif Regular"/>
          <w:sz w:val="16"/>
          <w:szCs w:val="16"/>
          <w:lang w:val="en-GB"/>
        </w:rPr>
        <w:t>Извор: Мониторинг систем  (2016)</w:t>
      </w:r>
      <w:r w:rsidR="00CA47F3">
        <w:rPr>
          <w:rFonts w:ascii="StobiSerif Regular" w:hAnsi="StobiSerif Regular"/>
          <w:sz w:val="16"/>
          <w:szCs w:val="16"/>
        </w:rPr>
        <w:t xml:space="preserve"> </w:t>
      </w:r>
    </w:p>
    <w:p w:rsidR="00A52EF6" w:rsidRDefault="004A0714" w:rsidP="000359E3">
      <w:pPr>
        <w:spacing w:after="0"/>
        <w:ind w:firstLine="284"/>
        <w:jc w:val="both"/>
        <w:rPr>
          <w:rFonts w:ascii="StobiSerif Regular" w:hAnsi="StobiSerif Regular"/>
        </w:rPr>
      </w:pPr>
      <w:r w:rsidRPr="004A0714">
        <w:rPr>
          <w:rFonts w:ascii="StobiSerif Regular" w:hAnsi="StobiSerif Regular"/>
        </w:rPr>
        <w:t xml:space="preserve">Најголем број на поднесени пријави </w:t>
      </w:r>
      <w:r>
        <w:rPr>
          <w:rFonts w:ascii="StobiSerif Regular" w:hAnsi="StobiSerif Regular"/>
        </w:rPr>
        <w:t>има</w:t>
      </w:r>
      <w:r w:rsidRPr="004A0714">
        <w:rPr>
          <w:rFonts w:ascii="StobiSerif Regular" w:hAnsi="StobiSerif Regular"/>
        </w:rPr>
        <w:t xml:space="preserve"> во секторот за производство на отворено, но </w:t>
      </w:r>
      <w:r>
        <w:rPr>
          <w:rFonts w:ascii="StobiSerif Regular" w:hAnsi="StobiSerif Regular"/>
        </w:rPr>
        <w:t>реализирањето</w:t>
      </w:r>
      <w:r w:rsidRPr="004A0714">
        <w:rPr>
          <w:rFonts w:ascii="StobiSerif Regular" w:hAnsi="StobiSerif Regular"/>
        </w:rPr>
        <w:t xml:space="preserve"> на проектите е незадоволително (од 472 одобрени проекти, само 196 се завршени).</w:t>
      </w:r>
    </w:p>
    <w:p w:rsidR="00E95C9E" w:rsidRPr="00C23AE7" w:rsidRDefault="00A52EF6" w:rsidP="00784CD1">
      <w:pPr>
        <w:spacing w:before="120" w:after="120"/>
        <w:jc w:val="both"/>
        <w:rPr>
          <w:rFonts w:ascii="StobiSerif Regular" w:hAnsi="StobiSerif Regular"/>
          <w:b/>
          <w:lang w:val="en-US"/>
        </w:rPr>
      </w:pPr>
      <w:bookmarkStart w:id="27" w:name="_Toc485394900"/>
      <w:r w:rsidRPr="00C23AE7">
        <w:rPr>
          <w:rFonts w:ascii="StobiSerif Regular" w:eastAsia="Times New Roman" w:hAnsi="StobiSerif Regular" w:cs="Times New Roman"/>
          <w:b/>
          <w:lang w:val="en-GB" w:eastAsia="zh-CN"/>
        </w:rPr>
        <w:t>T</w:t>
      </w:r>
      <w:r w:rsidRPr="00C23AE7">
        <w:rPr>
          <w:rFonts w:ascii="StobiSerif Regular" w:eastAsia="Times New Roman" w:hAnsi="StobiSerif Regular" w:cs="Times New Roman"/>
          <w:b/>
          <w:lang w:eastAsia="zh-CN"/>
        </w:rPr>
        <w:t>абела</w:t>
      </w:r>
      <w:r w:rsidR="00E95C9E" w:rsidRPr="00C23AE7">
        <w:rPr>
          <w:rFonts w:ascii="StobiSerif Regular" w:eastAsia="Times New Roman" w:hAnsi="StobiSerif Regular" w:cs="Times New Roman"/>
          <w:b/>
          <w:lang w:val="en-GB" w:eastAsia="zh-CN"/>
        </w:rPr>
        <w:t xml:space="preserve"> </w:t>
      </w:r>
      <w:r w:rsidR="00E95C9E" w:rsidRPr="00C23AE7">
        <w:rPr>
          <w:rFonts w:ascii="StobiSerif Regular" w:eastAsia="Times New Roman" w:hAnsi="StobiSerif Regular" w:cs="Times New Roman"/>
          <w:b/>
          <w:lang w:val="en-GB" w:eastAsia="zh-CN"/>
        </w:rPr>
        <w:fldChar w:fldCharType="begin"/>
      </w:r>
      <w:r w:rsidR="00E95C9E" w:rsidRPr="00C23AE7">
        <w:rPr>
          <w:rFonts w:ascii="StobiSerif Regular" w:eastAsia="Times New Roman" w:hAnsi="StobiSerif Regular" w:cs="Times New Roman"/>
          <w:b/>
          <w:lang w:val="en-GB" w:eastAsia="zh-CN"/>
        </w:rPr>
        <w:instrText xml:space="preserve"> SEQ Table \* ARABIC </w:instrText>
      </w:r>
      <w:r w:rsidR="00E95C9E" w:rsidRPr="00C23AE7">
        <w:rPr>
          <w:rFonts w:ascii="StobiSerif Regular" w:eastAsia="Times New Roman" w:hAnsi="StobiSerif Regular" w:cs="Times New Roman"/>
          <w:b/>
          <w:lang w:val="en-GB" w:eastAsia="zh-CN"/>
        </w:rPr>
        <w:fldChar w:fldCharType="separate"/>
      </w:r>
      <w:r w:rsidR="00BC15CF" w:rsidRPr="00C23AE7">
        <w:rPr>
          <w:rFonts w:ascii="StobiSerif Regular" w:eastAsia="Times New Roman" w:hAnsi="StobiSerif Regular" w:cs="Times New Roman"/>
          <w:b/>
          <w:noProof/>
          <w:lang w:val="en-GB" w:eastAsia="zh-CN"/>
        </w:rPr>
        <w:t>8</w:t>
      </w:r>
      <w:r w:rsidR="00E95C9E" w:rsidRPr="00C23AE7">
        <w:rPr>
          <w:rFonts w:ascii="StobiSerif Regular" w:eastAsia="Times New Roman" w:hAnsi="StobiSerif Regular" w:cs="Times New Roman"/>
          <w:b/>
          <w:lang w:val="en-GB" w:eastAsia="zh-CN"/>
        </w:rPr>
        <w:fldChar w:fldCharType="end"/>
      </w:r>
      <w:r w:rsidR="00E95C9E" w:rsidRPr="00C23AE7">
        <w:rPr>
          <w:rFonts w:ascii="StobiSerif Regular" w:eastAsia="Times New Roman" w:hAnsi="StobiSerif Regular" w:cs="Times New Roman"/>
          <w:b/>
          <w:lang w:val="en-GB" w:eastAsia="zh-CN"/>
        </w:rPr>
        <w:t xml:space="preserve">: </w:t>
      </w:r>
      <w:r w:rsidRPr="00C23AE7">
        <w:rPr>
          <w:rFonts w:ascii="StobiSerif Regular" w:hAnsi="StobiSerif Regular"/>
          <w:b/>
        </w:rPr>
        <w:t>Квалитативна анализа</w:t>
      </w:r>
      <w:r w:rsidR="00C23AE7" w:rsidRPr="00C23AE7">
        <w:rPr>
          <w:rFonts w:ascii="StobiSerif Regular" w:hAnsi="StobiSerif Regular"/>
          <w:b/>
        </w:rPr>
        <w:t xml:space="preserve"> на апликации</w:t>
      </w:r>
      <w:r w:rsidRPr="00C23AE7">
        <w:rPr>
          <w:rFonts w:ascii="StobiSerif Regular" w:hAnsi="StobiSerif Regular"/>
          <w:b/>
        </w:rPr>
        <w:t xml:space="preserve"> по приоритетен сектор во M101</w:t>
      </w:r>
      <w:bookmarkEnd w:id="27"/>
    </w:p>
    <w:tbl>
      <w:tblPr>
        <w:tblW w:w="780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172"/>
        <w:gridCol w:w="944"/>
        <w:gridCol w:w="1030"/>
        <w:gridCol w:w="1096"/>
        <w:gridCol w:w="1118"/>
      </w:tblGrid>
      <w:tr w:rsidR="00E95C9E" w:rsidRPr="000B5E5D" w:rsidTr="00E95C9E">
        <w:trPr>
          <w:trHeight w:val="269"/>
        </w:trPr>
        <w:tc>
          <w:tcPr>
            <w:tcW w:w="2880" w:type="dxa"/>
            <w:shd w:val="clear" w:color="auto" w:fill="auto"/>
            <w:hideMark/>
          </w:tcPr>
          <w:p w:rsidR="00E95C9E" w:rsidRPr="00C23AE7" w:rsidRDefault="00E95C9E" w:rsidP="00E95C9E">
            <w:pPr>
              <w:pStyle w:val="NoSpacing"/>
              <w:rPr>
                <w:b/>
                <w:lang w:eastAsia="mk-MK"/>
              </w:rPr>
            </w:pPr>
          </w:p>
        </w:tc>
        <w:tc>
          <w:tcPr>
            <w:tcW w:w="1172" w:type="dxa"/>
            <w:shd w:val="clear" w:color="auto" w:fill="auto"/>
            <w:hideMark/>
          </w:tcPr>
          <w:p w:rsidR="00E95C9E" w:rsidRPr="00C23AE7" w:rsidRDefault="00507A63" w:rsidP="00E95C9E">
            <w:pPr>
              <w:spacing w:after="0" w:line="240" w:lineRule="auto"/>
              <w:rPr>
                <w:rFonts w:ascii="StobiSerif Regular" w:hAnsi="StobiSerif Regular"/>
                <w:b/>
                <w:sz w:val="16"/>
                <w:szCs w:val="16"/>
                <w:lang w:eastAsia="en-GB"/>
              </w:rPr>
            </w:pPr>
            <w:r w:rsidRPr="00C23AE7">
              <w:rPr>
                <w:rFonts w:ascii="StobiSerif Regular" w:hAnsi="StobiSerif Regular"/>
                <w:b/>
                <w:sz w:val="16"/>
                <w:szCs w:val="16"/>
                <w:lang w:eastAsia="en-GB"/>
              </w:rPr>
              <w:t xml:space="preserve">Примени </w:t>
            </w:r>
          </w:p>
        </w:tc>
        <w:tc>
          <w:tcPr>
            <w:tcW w:w="874" w:type="dxa"/>
            <w:shd w:val="clear" w:color="auto" w:fill="auto"/>
            <w:hideMark/>
          </w:tcPr>
          <w:p w:rsidR="00E95C9E" w:rsidRPr="00C23AE7" w:rsidRDefault="00507A63" w:rsidP="00B85D77">
            <w:pPr>
              <w:spacing w:after="0" w:line="240" w:lineRule="auto"/>
              <w:rPr>
                <w:rFonts w:ascii="StobiSerif Regular" w:hAnsi="StobiSerif Regular"/>
                <w:b/>
                <w:sz w:val="16"/>
                <w:szCs w:val="16"/>
                <w:lang w:eastAsia="en-GB"/>
              </w:rPr>
            </w:pPr>
            <w:r w:rsidRPr="00C23AE7">
              <w:rPr>
                <w:rFonts w:ascii="StobiSerif Regular" w:hAnsi="StobiSerif Regular"/>
                <w:b/>
                <w:sz w:val="16"/>
                <w:szCs w:val="16"/>
                <w:lang w:eastAsia="en-GB"/>
              </w:rPr>
              <w:t xml:space="preserve">Одбиени </w:t>
            </w:r>
          </w:p>
        </w:tc>
        <w:tc>
          <w:tcPr>
            <w:tcW w:w="947" w:type="dxa"/>
            <w:shd w:val="clear" w:color="auto" w:fill="auto"/>
            <w:hideMark/>
          </w:tcPr>
          <w:p w:rsidR="00E95C9E" w:rsidRPr="00C23AE7" w:rsidRDefault="00507A63" w:rsidP="00B85D77">
            <w:pPr>
              <w:spacing w:after="0" w:line="240" w:lineRule="auto"/>
              <w:rPr>
                <w:rFonts w:ascii="StobiSerif Regular" w:hAnsi="StobiSerif Regular"/>
                <w:b/>
                <w:sz w:val="16"/>
                <w:szCs w:val="16"/>
                <w:lang w:eastAsia="en-GB"/>
              </w:rPr>
            </w:pPr>
            <w:r w:rsidRPr="00C23AE7">
              <w:rPr>
                <w:rFonts w:ascii="StobiSerif Regular" w:hAnsi="StobiSerif Regular"/>
                <w:b/>
                <w:sz w:val="16"/>
                <w:szCs w:val="16"/>
                <w:lang w:eastAsia="en-GB"/>
              </w:rPr>
              <w:t xml:space="preserve">Одобрени </w:t>
            </w:r>
          </w:p>
        </w:tc>
        <w:tc>
          <w:tcPr>
            <w:tcW w:w="898" w:type="dxa"/>
            <w:shd w:val="clear" w:color="auto" w:fill="auto"/>
            <w:hideMark/>
          </w:tcPr>
          <w:p w:rsidR="00E95C9E" w:rsidRPr="00C23AE7" w:rsidRDefault="00507A63" w:rsidP="00B85D77">
            <w:pPr>
              <w:spacing w:after="0" w:line="240" w:lineRule="auto"/>
              <w:rPr>
                <w:rFonts w:ascii="StobiSerif Regular" w:hAnsi="StobiSerif Regular"/>
                <w:b/>
                <w:sz w:val="16"/>
                <w:szCs w:val="16"/>
                <w:lang w:eastAsia="en-GB"/>
              </w:rPr>
            </w:pPr>
            <w:r w:rsidRPr="00C23AE7">
              <w:rPr>
                <w:rFonts w:ascii="StobiSerif Regular" w:hAnsi="StobiSerif Regular"/>
                <w:b/>
                <w:sz w:val="16"/>
                <w:szCs w:val="16"/>
                <w:lang w:eastAsia="en-GB"/>
              </w:rPr>
              <w:t xml:space="preserve">Раскинати </w:t>
            </w:r>
          </w:p>
        </w:tc>
        <w:tc>
          <w:tcPr>
            <w:tcW w:w="1031" w:type="dxa"/>
            <w:shd w:val="clear" w:color="auto" w:fill="auto"/>
            <w:hideMark/>
          </w:tcPr>
          <w:p w:rsidR="00E95C9E" w:rsidRPr="00C23AE7" w:rsidRDefault="00B4255A" w:rsidP="00B85D77">
            <w:pPr>
              <w:spacing w:after="0" w:line="240" w:lineRule="auto"/>
              <w:rPr>
                <w:rFonts w:ascii="StobiSerif Regular" w:hAnsi="StobiSerif Regular"/>
                <w:b/>
                <w:sz w:val="16"/>
                <w:szCs w:val="16"/>
                <w:lang w:eastAsia="en-GB"/>
              </w:rPr>
            </w:pPr>
            <w:r w:rsidRPr="00C23AE7">
              <w:rPr>
                <w:rFonts w:ascii="StobiSerif Regular" w:hAnsi="StobiSerif Regular"/>
                <w:b/>
                <w:sz w:val="16"/>
                <w:szCs w:val="16"/>
                <w:lang w:eastAsia="en-GB"/>
              </w:rPr>
              <w:t xml:space="preserve">Исплатени </w:t>
            </w:r>
          </w:p>
        </w:tc>
      </w:tr>
      <w:tr w:rsidR="00E95C9E" w:rsidRPr="000B5E5D" w:rsidTr="00E95C9E">
        <w:trPr>
          <w:trHeight w:val="167"/>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 xml:space="preserve">Живина </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8</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8</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0</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0</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0</w:t>
            </w:r>
          </w:p>
        </w:tc>
      </w:tr>
      <w:tr w:rsidR="00E95C9E" w:rsidRPr="000B5E5D" w:rsidTr="00E95C9E">
        <w:trPr>
          <w:trHeight w:val="268"/>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 xml:space="preserve">Свињи </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41</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29</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12</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5</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3</w:t>
            </w:r>
          </w:p>
        </w:tc>
      </w:tr>
      <w:tr w:rsidR="00E95C9E" w:rsidRPr="000B5E5D" w:rsidTr="00E95C9E">
        <w:trPr>
          <w:trHeight w:val="143"/>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 xml:space="preserve">Крави </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60</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53</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7</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3</w:t>
            </w:r>
          </w:p>
        </w:tc>
      </w:tr>
      <w:tr w:rsidR="00E95C9E" w:rsidRPr="000B5E5D" w:rsidTr="00E95C9E">
        <w:trPr>
          <w:trHeight w:val="293"/>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 xml:space="preserve">Овци </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12</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11</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0</w:t>
            </w:r>
          </w:p>
        </w:tc>
      </w:tr>
      <w:tr w:rsidR="00E95C9E" w:rsidRPr="000B5E5D" w:rsidTr="00E95C9E">
        <w:trPr>
          <w:trHeight w:val="283"/>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 xml:space="preserve">Кози </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6</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6</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0</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0</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0</w:t>
            </w:r>
          </w:p>
        </w:tc>
      </w:tr>
      <w:tr w:rsidR="00E95C9E" w:rsidRPr="000B5E5D" w:rsidTr="00E95C9E">
        <w:trPr>
          <w:trHeight w:val="259"/>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 xml:space="preserve">Пластеници </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49</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39</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10</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4</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5</w:t>
            </w:r>
          </w:p>
        </w:tc>
      </w:tr>
      <w:tr w:rsidR="00E95C9E" w:rsidRPr="000B5E5D" w:rsidTr="00E95C9E">
        <w:trPr>
          <w:trHeight w:val="264"/>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 xml:space="preserve">Оранжерии </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5</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4</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0</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w:t>
            </w:r>
          </w:p>
        </w:tc>
      </w:tr>
      <w:tr w:rsidR="00E95C9E" w:rsidRPr="000B5E5D" w:rsidTr="00E95C9E">
        <w:trPr>
          <w:trHeight w:val="281"/>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Градинарство отворено</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944</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483</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461</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22</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190</w:t>
            </w:r>
          </w:p>
        </w:tc>
      </w:tr>
      <w:tr w:rsidR="00E95C9E" w:rsidRPr="000B5E5D" w:rsidTr="00E95C9E">
        <w:trPr>
          <w:trHeight w:val="272"/>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 xml:space="preserve">Лозарство </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460</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215</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245</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36</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146</w:t>
            </w:r>
          </w:p>
        </w:tc>
      </w:tr>
      <w:tr w:rsidR="00E95C9E" w:rsidRPr="000B5E5D" w:rsidTr="00E95C9E">
        <w:trPr>
          <w:trHeight w:val="261"/>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 xml:space="preserve">Овоштарство </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902</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391</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511</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71</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337</w:t>
            </w:r>
          </w:p>
        </w:tc>
      </w:tr>
      <w:tr w:rsidR="00E95C9E" w:rsidRPr="000B5E5D" w:rsidTr="00E95C9E">
        <w:trPr>
          <w:trHeight w:val="279"/>
        </w:trPr>
        <w:tc>
          <w:tcPr>
            <w:tcW w:w="2880" w:type="dxa"/>
            <w:shd w:val="clear" w:color="auto" w:fill="auto"/>
            <w:noWrap/>
            <w:hideMark/>
          </w:tcPr>
          <w:p w:rsidR="00E95C9E" w:rsidRPr="000B5E5D" w:rsidRDefault="00386A09" w:rsidP="00E95C9E">
            <w:pPr>
              <w:spacing w:after="0" w:line="240" w:lineRule="auto"/>
              <w:rPr>
                <w:rFonts w:ascii="StobiSerif Regular" w:hAnsi="StobiSerif Regular"/>
                <w:sz w:val="16"/>
                <w:szCs w:val="16"/>
                <w:lang w:eastAsia="en-GB"/>
              </w:rPr>
            </w:pPr>
            <w:r>
              <w:rPr>
                <w:rFonts w:ascii="StobiSerif Regular" w:hAnsi="StobiSerif Regular"/>
                <w:sz w:val="16"/>
                <w:szCs w:val="16"/>
                <w:lang w:eastAsia="en-GB"/>
              </w:rPr>
              <w:t>Трпезно грозје</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34</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16</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18</w:t>
            </w: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w:t>
            </w: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8</w:t>
            </w:r>
          </w:p>
        </w:tc>
      </w:tr>
      <w:tr w:rsidR="00E95C9E" w:rsidRPr="000B5E5D" w:rsidTr="00E95C9E">
        <w:trPr>
          <w:trHeight w:val="269"/>
        </w:trPr>
        <w:tc>
          <w:tcPr>
            <w:tcW w:w="2880" w:type="dxa"/>
            <w:shd w:val="clear" w:color="auto" w:fill="auto"/>
            <w:noWrap/>
            <w:hideMark/>
          </w:tcPr>
          <w:p w:rsidR="00E95C9E" w:rsidRPr="000B5E5D" w:rsidRDefault="00A8557D" w:rsidP="00E95C9E">
            <w:pPr>
              <w:spacing w:after="0" w:line="240" w:lineRule="auto"/>
              <w:rPr>
                <w:rFonts w:ascii="StobiSerif Regular" w:hAnsi="StobiSerif Regular"/>
                <w:sz w:val="16"/>
                <w:szCs w:val="16"/>
                <w:lang w:eastAsia="en-GB"/>
              </w:rPr>
            </w:pPr>
            <w:r w:rsidRPr="00A8557D">
              <w:rPr>
                <w:rFonts w:ascii="StobiSerif Regular" w:hAnsi="StobiSerif Regular"/>
                <w:sz w:val="16"/>
                <w:szCs w:val="16"/>
                <w:lang w:eastAsia="en-GB"/>
              </w:rPr>
              <w:t>Без тип на инвестиција</w:t>
            </w:r>
          </w:p>
        </w:tc>
        <w:tc>
          <w:tcPr>
            <w:tcW w:w="1172"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11</w:t>
            </w:r>
          </w:p>
        </w:tc>
        <w:tc>
          <w:tcPr>
            <w:tcW w:w="874"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r w:rsidRPr="000B5E5D">
              <w:rPr>
                <w:rFonts w:ascii="StobiSerif Regular" w:hAnsi="StobiSerif Regular"/>
                <w:sz w:val="16"/>
                <w:szCs w:val="16"/>
                <w:lang w:eastAsia="en-GB"/>
              </w:rPr>
              <w:t>11</w:t>
            </w:r>
          </w:p>
        </w:tc>
        <w:tc>
          <w:tcPr>
            <w:tcW w:w="947"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p>
        </w:tc>
        <w:tc>
          <w:tcPr>
            <w:tcW w:w="898"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p>
        </w:tc>
        <w:tc>
          <w:tcPr>
            <w:tcW w:w="1031" w:type="dxa"/>
            <w:shd w:val="clear" w:color="auto" w:fill="auto"/>
            <w:noWrap/>
            <w:hideMark/>
          </w:tcPr>
          <w:p w:rsidR="00E95C9E" w:rsidRPr="000B5E5D" w:rsidRDefault="00E95C9E" w:rsidP="00E95C9E">
            <w:pPr>
              <w:spacing w:after="0" w:line="240" w:lineRule="auto"/>
              <w:jc w:val="right"/>
              <w:rPr>
                <w:rFonts w:ascii="StobiSerif Regular" w:hAnsi="StobiSerif Regular"/>
                <w:sz w:val="16"/>
                <w:szCs w:val="16"/>
                <w:lang w:eastAsia="en-GB"/>
              </w:rPr>
            </w:pPr>
          </w:p>
        </w:tc>
      </w:tr>
      <w:tr w:rsidR="00E95C9E" w:rsidRPr="00C23AE7" w:rsidTr="00E95C9E">
        <w:trPr>
          <w:trHeight w:val="274"/>
        </w:trPr>
        <w:tc>
          <w:tcPr>
            <w:tcW w:w="2880" w:type="dxa"/>
            <w:shd w:val="clear" w:color="auto" w:fill="auto"/>
            <w:noWrap/>
            <w:hideMark/>
          </w:tcPr>
          <w:p w:rsidR="00E95C9E" w:rsidRPr="00C23AE7" w:rsidRDefault="00E95C9E" w:rsidP="00E95C9E">
            <w:pPr>
              <w:spacing w:after="0" w:line="240" w:lineRule="auto"/>
              <w:rPr>
                <w:rFonts w:ascii="StobiSerif Regular" w:hAnsi="StobiSerif Regular"/>
                <w:b/>
                <w:sz w:val="16"/>
                <w:szCs w:val="16"/>
                <w:lang w:eastAsia="en-GB"/>
              </w:rPr>
            </w:pPr>
          </w:p>
        </w:tc>
        <w:tc>
          <w:tcPr>
            <w:tcW w:w="1172" w:type="dxa"/>
            <w:shd w:val="clear" w:color="auto" w:fill="auto"/>
            <w:noWrap/>
            <w:hideMark/>
          </w:tcPr>
          <w:p w:rsidR="00E95C9E" w:rsidRPr="00C23AE7" w:rsidRDefault="00E95C9E" w:rsidP="00E95C9E">
            <w:pPr>
              <w:spacing w:after="0" w:line="240" w:lineRule="auto"/>
              <w:jc w:val="right"/>
              <w:rPr>
                <w:rFonts w:ascii="StobiSerif Regular" w:hAnsi="StobiSerif Regular"/>
                <w:b/>
                <w:sz w:val="16"/>
                <w:szCs w:val="16"/>
                <w:lang w:eastAsia="en-GB"/>
              </w:rPr>
            </w:pPr>
            <w:r w:rsidRPr="00C23AE7">
              <w:rPr>
                <w:rFonts w:ascii="StobiSerif Regular" w:hAnsi="StobiSerif Regular"/>
                <w:b/>
                <w:sz w:val="16"/>
                <w:szCs w:val="16"/>
                <w:lang w:eastAsia="en-GB"/>
              </w:rPr>
              <w:t>2532</w:t>
            </w:r>
          </w:p>
        </w:tc>
        <w:tc>
          <w:tcPr>
            <w:tcW w:w="874" w:type="dxa"/>
            <w:shd w:val="clear" w:color="auto" w:fill="auto"/>
            <w:noWrap/>
            <w:hideMark/>
          </w:tcPr>
          <w:p w:rsidR="00E95C9E" w:rsidRPr="00C23AE7" w:rsidRDefault="00E95C9E" w:rsidP="00E95C9E">
            <w:pPr>
              <w:spacing w:after="0" w:line="240" w:lineRule="auto"/>
              <w:jc w:val="right"/>
              <w:rPr>
                <w:rFonts w:ascii="StobiSerif Regular" w:hAnsi="StobiSerif Regular"/>
                <w:b/>
                <w:sz w:val="16"/>
                <w:szCs w:val="16"/>
                <w:lang w:eastAsia="en-GB"/>
              </w:rPr>
            </w:pPr>
            <w:r w:rsidRPr="00C23AE7">
              <w:rPr>
                <w:rFonts w:ascii="StobiSerif Regular" w:hAnsi="StobiSerif Regular"/>
                <w:b/>
                <w:sz w:val="16"/>
                <w:szCs w:val="16"/>
                <w:lang w:eastAsia="en-GB"/>
              </w:rPr>
              <w:t>1266</w:t>
            </w:r>
          </w:p>
        </w:tc>
        <w:tc>
          <w:tcPr>
            <w:tcW w:w="947" w:type="dxa"/>
            <w:shd w:val="clear" w:color="auto" w:fill="auto"/>
            <w:noWrap/>
            <w:hideMark/>
          </w:tcPr>
          <w:p w:rsidR="00E95C9E" w:rsidRPr="00C23AE7" w:rsidRDefault="00E95C9E" w:rsidP="00E95C9E">
            <w:pPr>
              <w:spacing w:after="0" w:line="240" w:lineRule="auto"/>
              <w:jc w:val="right"/>
              <w:rPr>
                <w:rFonts w:ascii="StobiSerif Regular" w:hAnsi="StobiSerif Regular"/>
                <w:b/>
                <w:sz w:val="16"/>
                <w:szCs w:val="16"/>
                <w:lang w:eastAsia="en-GB"/>
              </w:rPr>
            </w:pPr>
            <w:r w:rsidRPr="00C23AE7">
              <w:rPr>
                <w:rFonts w:ascii="StobiSerif Regular" w:hAnsi="StobiSerif Regular"/>
                <w:b/>
                <w:sz w:val="16"/>
                <w:szCs w:val="16"/>
                <w:lang w:eastAsia="en-GB"/>
              </w:rPr>
              <w:t>1266</w:t>
            </w:r>
          </w:p>
        </w:tc>
        <w:tc>
          <w:tcPr>
            <w:tcW w:w="898" w:type="dxa"/>
            <w:shd w:val="clear" w:color="auto" w:fill="auto"/>
            <w:noWrap/>
            <w:hideMark/>
          </w:tcPr>
          <w:p w:rsidR="00E95C9E" w:rsidRPr="00C23AE7" w:rsidRDefault="00E95C9E" w:rsidP="00E95C9E">
            <w:pPr>
              <w:spacing w:after="0" w:line="240" w:lineRule="auto"/>
              <w:jc w:val="right"/>
              <w:rPr>
                <w:rFonts w:ascii="StobiSerif Regular" w:hAnsi="StobiSerif Regular"/>
                <w:b/>
                <w:sz w:val="16"/>
                <w:szCs w:val="16"/>
                <w:lang w:eastAsia="en-GB"/>
              </w:rPr>
            </w:pPr>
            <w:r w:rsidRPr="00C23AE7">
              <w:rPr>
                <w:rFonts w:ascii="StobiSerif Regular" w:hAnsi="StobiSerif Regular"/>
                <w:b/>
                <w:sz w:val="16"/>
                <w:szCs w:val="16"/>
                <w:lang w:eastAsia="en-GB"/>
              </w:rPr>
              <w:t>141</w:t>
            </w:r>
          </w:p>
        </w:tc>
        <w:tc>
          <w:tcPr>
            <w:tcW w:w="1031" w:type="dxa"/>
            <w:shd w:val="clear" w:color="auto" w:fill="auto"/>
            <w:noWrap/>
            <w:hideMark/>
          </w:tcPr>
          <w:p w:rsidR="00E95C9E" w:rsidRPr="00C23AE7" w:rsidRDefault="00E95C9E" w:rsidP="00E95C9E">
            <w:pPr>
              <w:spacing w:after="0" w:line="240" w:lineRule="auto"/>
              <w:jc w:val="right"/>
              <w:rPr>
                <w:rFonts w:ascii="StobiSerif Regular" w:hAnsi="StobiSerif Regular"/>
                <w:b/>
                <w:sz w:val="16"/>
                <w:szCs w:val="16"/>
                <w:lang w:eastAsia="en-GB"/>
              </w:rPr>
            </w:pPr>
            <w:r w:rsidRPr="00C23AE7">
              <w:rPr>
                <w:rFonts w:ascii="StobiSerif Regular" w:hAnsi="StobiSerif Regular"/>
                <w:b/>
                <w:sz w:val="16"/>
                <w:szCs w:val="16"/>
                <w:lang w:eastAsia="en-GB"/>
              </w:rPr>
              <w:t>693</w:t>
            </w:r>
          </w:p>
        </w:tc>
      </w:tr>
    </w:tbl>
    <w:p w:rsidR="007E6639" w:rsidRPr="000B5E5D" w:rsidRDefault="00386A09" w:rsidP="00B53496">
      <w:pPr>
        <w:spacing w:after="0"/>
        <w:jc w:val="both"/>
        <w:rPr>
          <w:rFonts w:ascii="StobiSerif Regular" w:hAnsi="StobiSerif Regular"/>
          <w:sz w:val="16"/>
          <w:szCs w:val="16"/>
          <w:lang w:val="en-GB"/>
        </w:rPr>
      </w:pPr>
      <w:r>
        <w:rPr>
          <w:rFonts w:ascii="StobiSerif Regular" w:eastAsia="Times New Roman" w:hAnsi="StobiSerif Regular" w:cs="Times New Roman"/>
          <w:sz w:val="16"/>
          <w:szCs w:val="16"/>
          <w:lang w:eastAsia="mk-MK"/>
        </w:rPr>
        <w:t>Извор: Мониторинг систем  (2016)</w:t>
      </w:r>
    </w:p>
    <w:p w:rsidR="00B53496" w:rsidRPr="00670531" w:rsidRDefault="00A8557D" w:rsidP="008A4258">
      <w:pPr>
        <w:pStyle w:val="Caption"/>
        <w:spacing w:before="120" w:after="120"/>
        <w:jc w:val="both"/>
        <w:rPr>
          <w:rFonts w:ascii="StobiSerif Regular" w:hAnsi="StobiSerif Regular"/>
          <w:color w:val="auto"/>
          <w:sz w:val="22"/>
          <w:szCs w:val="22"/>
        </w:rPr>
      </w:pPr>
      <w:bookmarkStart w:id="28" w:name="_Toc485394987"/>
      <w:r w:rsidRPr="00670531">
        <w:rPr>
          <w:rFonts w:ascii="StobiSerif Regular" w:hAnsi="StobiSerif Regular"/>
          <w:color w:val="auto"/>
          <w:sz w:val="22"/>
          <w:szCs w:val="22"/>
        </w:rPr>
        <w:t>Слика</w:t>
      </w:r>
      <w:r w:rsidR="00B53496" w:rsidRPr="00670531">
        <w:rPr>
          <w:rFonts w:ascii="StobiSerif Regular" w:hAnsi="StobiSerif Regular"/>
          <w:color w:val="auto"/>
          <w:sz w:val="22"/>
          <w:szCs w:val="22"/>
        </w:rPr>
        <w:t xml:space="preserve"> </w:t>
      </w:r>
      <w:r w:rsidR="00B53496" w:rsidRPr="00670531">
        <w:rPr>
          <w:rFonts w:ascii="StobiSerif Regular" w:hAnsi="StobiSerif Regular"/>
          <w:color w:val="auto"/>
          <w:sz w:val="22"/>
          <w:szCs w:val="22"/>
        </w:rPr>
        <w:fldChar w:fldCharType="begin"/>
      </w:r>
      <w:r w:rsidR="00B53496" w:rsidRPr="00670531">
        <w:rPr>
          <w:rFonts w:ascii="StobiSerif Regular" w:hAnsi="StobiSerif Regular"/>
          <w:color w:val="auto"/>
          <w:sz w:val="22"/>
          <w:szCs w:val="22"/>
        </w:rPr>
        <w:instrText xml:space="preserve"> SEQ Figure \* ARABIC </w:instrText>
      </w:r>
      <w:r w:rsidR="00B53496" w:rsidRPr="00670531">
        <w:rPr>
          <w:rFonts w:ascii="StobiSerif Regular" w:hAnsi="StobiSerif Regular"/>
          <w:color w:val="auto"/>
          <w:sz w:val="22"/>
          <w:szCs w:val="22"/>
        </w:rPr>
        <w:fldChar w:fldCharType="separate"/>
      </w:r>
      <w:r w:rsidR="00822973" w:rsidRPr="00670531">
        <w:rPr>
          <w:rFonts w:ascii="StobiSerif Regular" w:hAnsi="StobiSerif Regular"/>
          <w:noProof/>
          <w:color w:val="auto"/>
          <w:sz w:val="22"/>
          <w:szCs w:val="22"/>
        </w:rPr>
        <w:t>3</w:t>
      </w:r>
      <w:r w:rsidR="00B53496" w:rsidRPr="00670531">
        <w:rPr>
          <w:rFonts w:ascii="StobiSerif Regular" w:hAnsi="StobiSerif Regular"/>
          <w:color w:val="auto"/>
          <w:sz w:val="22"/>
          <w:szCs w:val="22"/>
        </w:rPr>
        <w:fldChar w:fldCharType="end"/>
      </w:r>
      <w:r w:rsidR="00B53496" w:rsidRPr="00670531">
        <w:rPr>
          <w:rFonts w:ascii="StobiSerif Regular" w:hAnsi="StobiSerif Regular"/>
          <w:color w:val="auto"/>
          <w:sz w:val="22"/>
          <w:szCs w:val="22"/>
          <w:lang w:val="en-US"/>
        </w:rPr>
        <w:t xml:space="preserve">: </w:t>
      </w:r>
      <w:r w:rsidRPr="00670531">
        <w:rPr>
          <w:rFonts w:ascii="StobiSerif Regular" w:hAnsi="StobiSerif Regular"/>
          <w:color w:val="auto"/>
          <w:sz w:val="22"/>
          <w:szCs w:val="22"/>
        </w:rPr>
        <w:t xml:space="preserve">Апликации по сектори во </w:t>
      </w:r>
      <w:r w:rsidR="00B53496" w:rsidRPr="00670531">
        <w:rPr>
          <w:rFonts w:ascii="StobiSerif Regular" w:hAnsi="StobiSerif Regular"/>
          <w:color w:val="auto"/>
          <w:sz w:val="22"/>
          <w:szCs w:val="22"/>
          <w:lang w:val="en-US"/>
        </w:rPr>
        <w:t xml:space="preserve"> M101</w:t>
      </w:r>
      <w:bookmarkEnd w:id="28"/>
    </w:p>
    <w:p w:rsidR="00B53496" w:rsidRPr="000B5E5D" w:rsidRDefault="00B4255A" w:rsidP="006D607B">
      <w:pPr>
        <w:spacing w:after="0"/>
        <w:jc w:val="both"/>
        <w:rPr>
          <w:rFonts w:ascii="StobiSerif Regular" w:hAnsi="StobiSerif Regular"/>
          <w:lang w:val="en-US"/>
        </w:rPr>
      </w:pPr>
      <w:r>
        <w:rPr>
          <w:noProof/>
          <w:lang w:val="en-US"/>
        </w:rPr>
        <w:drawing>
          <wp:inline distT="0" distB="0" distL="0" distR="0" wp14:anchorId="07E96D24" wp14:editId="210CAC9C">
            <wp:extent cx="5943600" cy="3046021"/>
            <wp:effectExtent l="0" t="0" r="19050" b="215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3AE7" w:rsidRPr="00CA47F3" w:rsidRDefault="00C23AE7" w:rsidP="00C23AE7">
      <w:pPr>
        <w:spacing w:after="0"/>
        <w:jc w:val="both"/>
        <w:rPr>
          <w:rFonts w:ascii="StobiSerif Regular" w:hAnsi="StobiSerif Regular"/>
          <w:sz w:val="16"/>
          <w:szCs w:val="16"/>
        </w:rPr>
      </w:pPr>
      <w:r w:rsidRPr="00462A2D">
        <w:rPr>
          <w:rFonts w:ascii="StobiSerif Regular" w:hAnsi="StobiSerif Regular"/>
          <w:sz w:val="16"/>
          <w:szCs w:val="16"/>
          <w:lang w:val="en-GB"/>
        </w:rPr>
        <w:t>Извор: Мониторинг систем  (2016)</w:t>
      </w:r>
      <w:r>
        <w:rPr>
          <w:rFonts w:ascii="StobiSerif Regular" w:hAnsi="StobiSerif Regular"/>
          <w:sz w:val="16"/>
          <w:szCs w:val="16"/>
        </w:rPr>
        <w:t xml:space="preserve"> </w:t>
      </w:r>
    </w:p>
    <w:p w:rsidR="008A4258" w:rsidRDefault="00A52EF6" w:rsidP="000359E3">
      <w:pPr>
        <w:spacing w:before="120" w:after="120"/>
        <w:ind w:firstLine="284"/>
        <w:jc w:val="both"/>
        <w:rPr>
          <w:rFonts w:ascii="StobiSerif Regular" w:eastAsia="Times New Roman" w:hAnsi="StobiSerif Regular" w:cs="Times New Roman"/>
          <w:lang w:eastAsia="zh-CN"/>
        </w:rPr>
      </w:pPr>
      <w:r>
        <w:rPr>
          <w:rFonts w:ascii="StobiSerif Regular" w:eastAsia="Times New Roman" w:hAnsi="StobiSerif Regular" w:cs="Times New Roman"/>
          <w:lang w:eastAsia="zh-CN"/>
        </w:rPr>
        <w:t>Во оваа мерка најмногу апликации има за трактори и мотокултиватори</w:t>
      </w:r>
      <w:r w:rsidR="00C23AE7">
        <w:rPr>
          <w:rFonts w:ascii="StobiSerif Regular" w:eastAsia="Times New Roman" w:hAnsi="StobiSerif Regular" w:cs="Times New Roman"/>
          <w:lang w:eastAsia="zh-CN"/>
        </w:rPr>
        <w:t>,</w:t>
      </w:r>
      <w:r>
        <w:rPr>
          <w:rFonts w:ascii="StobiSerif Regular" w:eastAsia="Times New Roman" w:hAnsi="StobiSerif Regular" w:cs="Times New Roman"/>
          <w:lang w:eastAsia="zh-CN"/>
        </w:rPr>
        <w:t xml:space="preserve"> </w:t>
      </w:r>
      <w:r w:rsidR="00DF43A2">
        <w:rPr>
          <w:rFonts w:ascii="StobiSerif Regular" w:eastAsia="Times New Roman" w:hAnsi="StobiSerif Regular" w:cs="Times New Roman"/>
          <w:lang w:eastAsia="zh-CN"/>
        </w:rPr>
        <w:t xml:space="preserve">1415 апликации од вкупно поднесени 2532 апликации односно </w:t>
      </w:r>
      <w:r w:rsidR="00DF43A2" w:rsidRPr="000B5E5D">
        <w:rPr>
          <w:rFonts w:ascii="StobiSerif Regular" w:eastAsia="Times New Roman" w:hAnsi="StobiSerif Regular" w:cs="Times New Roman"/>
          <w:lang w:val="en-GB" w:eastAsia="zh-CN"/>
        </w:rPr>
        <w:t xml:space="preserve">55, 8%. </w:t>
      </w:r>
      <w:r w:rsidR="00DF43A2">
        <w:rPr>
          <w:rFonts w:ascii="StobiSerif Regular" w:eastAsia="Times New Roman" w:hAnsi="StobiSerif Regular" w:cs="Times New Roman"/>
          <w:lang w:eastAsia="zh-CN"/>
        </w:rPr>
        <w:t>Овие барања се поднесени во секторот градинарство, овоштарство и лозарство. Од вкупно поднесени</w:t>
      </w:r>
      <w:r w:rsidR="004725F8">
        <w:rPr>
          <w:rFonts w:ascii="StobiSerif Regular" w:eastAsia="Times New Roman" w:hAnsi="StobiSerif Regular" w:cs="Times New Roman"/>
          <w:lang w:eastAsia="zh-CN"/>
        </w:rPr>
        <w:t>те апликации</w:t>
      </w:r>
      <w:r w:rsidR="00DF43A2">
        <w:rPr>
          <w:rFonts w:ascii="StobiSerif Regular" w:eastAsia="Times New Roman" w:hAnsi="StobiSerif Regular" w:cs="Times New Roman"/>
          <w:lang w:eastAsia="zh-CN"/>
        </w:rPr>
        <w:t xml:space="preserve"> </w:t>
      </w:r>
      <w:r w:rsidR="004725F8">
        <w:rPr>
          <w:rFonts w:ascii="StobiSerif Regular" w:eastAsia="Times New Roman" w:hAnsi="StobiSerif Regular" w:cs="Times New Roman"/>
          <w:lang w:eastAsia="zh-CN"/>
        </w:rPr>
        <w:t xml:space="preserve">одобрени се </w:t>
      </w:r>
      <w:r w:rsidR="00DF43A2">
        <w:rPr>
          <w:rFonts w:ascii="StobiSerif Regular" w:eastAsia="Times New Roman" w:hAnsi="StobiSerif Regular" w:cs="Times New Roman"/>
          <w:lang w:eastAsia="zh-CN"/>
        </w:rPr>
        <w:t>722</w:t>
      </w:r>
      <w:r w:rsidR="004725F8">
        <w:rPr>
          <w:rFonts w:ascii="StobiSerif Regular" w:eastAsia="Times New Roman" w:hAnsi="StobiSerif Regular" w:cs="Times New Roman"/>
          <w:lang w:eastAsia="zh-CN"/>
        </w:rPr>
        <w:t xml:space="preserve">, додека пак </w:t>
      </w:r>
      <w:r w:rsidR="00DF43A2">
        <w:rPr>
          <w:rFonts w:ascii="StobiSerif Regular" w:eastAsia="Times New Roman" w:hAnsi="StobiSerif Regular" w:cs="Times New Roman"/>
          <w:lang w:eastAsia="zh-CN"/>
        </w:rPr>
        <w:t xml:space="preserve"> исплатени се 368 апликации</w:t>
      </w:r>
      <w:r w:rsidR="004725F8">
        <w:rPr>
          <w:rFonts w:ascii="StobiSerif Regular" w:eastAsia="Times New Roman" w:hAnsi="StobiSerif Regular" w:cs="Times New Roman"/>
          <w:lang w:eastAsia="zh-CN"/>
        </w:rPr>
        <w:t xml:space="preserve"> кои во инвестицијата содржат трактори </w:t>
      </w:r>
      <w:r w:rsidR="00DF43A2">
        <w:rPr>
          <w:rFonts w:ascii="StobiSerif Regular" w:eastAsia="Times New Roman" w:hAnsi="StobiSerif Regular" w:cs="Times New Roman"/>
          <w:lang w:eastAsia="zh-CN"/>
        </w:rPr>
        <w:t xml:space="preserve">.  </w:t>
      </w:r>
    </w:p>
    <w:p w:rsidR="009B2929" w:rsidRPr="009B2929" w:rsidRDefault="009B2929" w:rsidP="00C23AE7">
      <w:pPr>
        <w:spacing w:before="120" w:after="120"/>
        <w:jc w:val="both"/>
        <w:rPr>
          <w:rFonts w:ascii="StobiSerif Regular" w:eastAsia="Times New Roman" w:hAnsi="StobiSerif Regular" w:cs="Times New Roman"/>
          <w:lang w:val="en-GB" w:eastAsia="zh-CN"/>
        </w:rPr>
      </w:pPr>
      <w:r w:rsidRPr="009B2929">
        <w:rPr>
          <w:rFonts w:ascii="StobiSerif Regular" w:eastAsia="Times New Roman" w:hAnsi="StobiSerif Regular" w:cs="Times New Roman"/>
          <w:lang w:val="en-GB" w:eastAsia="zh-CN"/>
        </w:rPr>
        <w:t>За прв пат</w:t>
      </w:r>
      <w:r w:rsidR="00C23AE7">
        <w:rPr>
          <w:rFonts w:ascii="StobiSerif Regular" w:eastAsia="Times New Roman" w:hAnsi="StobiSerif Regular" w:cs="Times New Roman"/>
          <w:lang w:eastAsia="zh-CN"/>
        </w:rPr>
        <w:t xml:space="preserve"> беше применет </w:t>
      </w:r>
      <w:r w:rsidRPr="009B2929">
        <w:rPr>
          <w:rFonts w:ascii="StobiSerif Regular" w:eastAsia="Times New Roman" w:hAnsi="StobiSerif Regular" w:cs="Times New Roman"/>
          <w:lang w:val="en-GB" w:eastAsia="zh-CN"/>
        </w:rPr>
        <w:t xml:space="preserve"> рангирањето </w:t>
      </w:r>
      <w:r w:rsidR="00C23AE7">
        <w:rPr>
          <w:rFonts w:ascii="StobiSerif Regular" w:eastAsia="Times New Roman" w:hAnsi="StobiSerif Regular" w:cs="Times New Roman"/>
          <w:lang w:eastAsia="zh-CN"/>
        </w:rPr>
        <w:t>при</w:t>
      </w:r>
      <w:r w:rsidRPr="009B2929">
        <w:rPr>
          <w:rFonts w:ascii="StobiSerif Regular" w:eastAsia="Times New Roman" w:hAnsi="StobiSerif Regular" w:cs="Times New Roman"/>
          <w:lang w:val="en-GB" w:eastAsia="zh-CN"/>
        </w:rPr>
        <w:t xml:space="preserve"> обработката на апликациите за трактори поради ограничените расположливи средства. Имено, тракторите како прифа</w:t>
      </w:r>
      <w:r w:rsidR="00C23AE7">
        <w:rPr>
          <w:rFonts w:ascii="StobiSerif Regular" w:eastAsia="Times New Roman" w:hAnsi="StobiSerif Regular" w:cs="Times New Roman"/>
          <w:lang w:val="en-GB" w:eastAsia="zh-CN"/>
        </w:rPr>
        <w:t xml:space="preserve">тлива инвестиција се вклучени  </w:t>
      </w:r>
      <w:r w:rsidR="00C23AE7">
        <w:rPr>
          <w:rFonts w:ascii="StobiSerif Regular" w:eastAsia="Times New Roman" w:hAnsi="StobiSerif Regular" w:cs="Times New Roman"/>
          <w:lang w:eastAsia="zh-CN"/>
        </w:rPr>
        <w:t>со</w:t>
      </w:r>
      <w:r w:rsidRPr="009B2929">
        <w:rPr>
          <w:rFonts w:ascii="StobiSerif Regular" w:eastAsia="Times New Roman" w:hAnsi="StobiSerif Regular" w:cs="Times New Roman"/>
          <w:lang w:val="en-GB" w:eastAsia="zh-CN"/>
        </w:rPr>
        <w:t xml:space="preserve"> четвртата модификација</w:t>
      </w:r>
      <w:r w:rsidR="00C23AE7">
        <w:rPr>
          <w:rFonts w:ascii="StobiSerif Regular" w:eastAsia="Times New Roman" w:hAnsi="StobiSerif Regular" w:cs="Times New Roman"/>
          <w:lang w:eastAsia="zh-CN"/>
        </w:rPr>
        <w:t xml:space="preserve"> на ИПАРД 2007-2013</w:t>
      </w:r>
      <w:r w:rsidRPr="009B2929">
        <w:rPr>
          <w:rFonts w:ascii="StobiSerif Regular" w:eastAsia="Times New Roman" w:hAnsi="StobiSerif Regular" w:cs="Times New Roman"/>
          <w:lang w:val="en-GB" w:eastAsia="zh-CN"/>
        </w:rPr>
        <w:t xml:space="preserve">, но со ограничување до </w:t>
      </w:r>
      <w:r w:rsidR="00C23AE7">
        <w:rPr>
          <w:rFonts w:ascii="StobiSerif Regular" w:eastAsia="Times New Roman" w:hAnsi="StobiSerif Regular" w:cs="Times New Roman"/>
          <w:lang w:eastAsia="zh-CN"/>
        </w:rPr>
        <w:t xml:space="preserve">максимум </w:t>
      </w:r>
      <w:r w:rsidRPr="009B2929">
        <w:rPr>
          <w:rFonts w:ascii="StobiSerif Regular" w:eastAsia="Times New Roman" w:hAnsi="StobiSerif Regular" w:cs="Times New Roman"/>
          <w:lang w:val="en-GB" w:eastAsia="zh-CN"/>
        </w:rPr>
        <w:t xml:space="preserve">20% од </w:t>
      </w:r>
      <w:r w:rsidR="00CB7625">
        <w:rPr>
          <w:rFonts w:ascii="StobiSerif Regular" w:eastAsia="Times New Roman" w:hAnsi="StobiSerif Regular" w:cs="Times New Roman"/>
          <w:lang w:eastAsia="zh-CN"/>
        </w:rPr>
        <w:t>буџетот</w:t>
      </w:r>
      <w:r w:rsidRPr="009B2929">
        <w:rPr>
          <w:rFonts w:ascii="StobiSerif Regular" w:eastAsia="Times New Roman" w:hAnsi="StobiSerif Regular" w:cs="Times New Roman"/>
          <w:lang w:val="en-GB" w:eastAsia="zh-CN"/>
        </w:rPr>
        <w:t xml:space="preserve"> </w:t>
      </w:r>
      <w:r w:rsidR="00C23AE7">
        <w:rPr>
          <w:rFonts w:ascii="StobiSerif Regular" w:eastAsia="Times New Roman" w:hAnsi="StobiSerif Regular" w:cs="Times New Roman"/>
          <w:lang w:eastAsia="zh-CN"/>
        </w:rPr>
        <w:t>во рамки на</w:t>
      </w:r>
      <w:r w:rsidRPr="009B2929">
        <w:rPr>
          <w:rFonts w:ascii="StobiSerif Regular" w:eastAsia="Times New Roman" w:hAnsi="StobiSerif Regular" w:cs="Times New Roman"/>
          <w:lang w:val="en-GB" w:eastAsia="zh-CN"/>
        </w:rPr>
        <w:t xml:space="preserve"> мерката 101. Критериумите за рангирање се применуваат за пријавите за трактори доб</w:t>
      </w:r>
      <w:r w:rsidR="00EF201C">
        <w:rPr>
          <w:rFonts w:ascii="StobiSerif Regular" w:eastAsia="Times New Roman" w:hAnsi="StobiSerif Regular" w:cs="Times New Roman"/>
          <w:lang w:val="en-GB" w:eastAsia="zh-CN"/>
        </w:rPr>
        <w:t xml:space="preserve">иени на јавниот повик 01/2015, </w:t>
      </w:r>
      <w:r w:rsidR="00EF201C">
        <w:rPr>
          <w:rFonts w:ascii="StobiSerif Regular" w:eastAsia="Times New Roman" w:hAnsi="StobiSerif Regular" w:cs="Times New Roman"/>
          <w:lang w:eastAsia="zh-CN"/>
        </w:rPr>
        <w:t>д</w:t>
      </w:r>
      <w:r w:rsidRPr="009B2929">
        <w:rPr>
          <w:rFonts w:ascii="StobiSerif Regular" w:eastAsia="Times New Roman" w:hAnsi="StobiSerif Regular" w:cs="Times New Roman"/>
          <w:lang w:val="en-GB" w:eastAsia="zh-CN"/>
        </w:rPr>
        <w:t>одека за јавен повик 02/2015 сите трактори се одбиени.</w:t>
      </w:r>
    </w:p>
    <w:p w:rsidR="009B2929" w:rsidRPr="00EF201C" w:rsidRDefault="00CB7625" w:rsidP="009B2B00">
      <w:pPr>
        <w:spacing w:before="120" w:after="120"/>
        <w:jc w:val="both"/>
        <w:rPr>
          <w:rFonts w:ascii="StobiSerif Regular" w:eastAsia="Times New Roman" w:hAnsi="StobiSerif Regular" w:cs="Times New Roman"/>
          <w:lang w:eastAsia="zh-CN"/>
        </w:rPr>
      </w:pPr>
      <w:r>
        <w:rPr>
          <w:rFonts w:ascii="StobiSerif Regular" w:eastAsia="Times New Roman" w:hAnsi="StobiSerif Regular" w:cs="Times New Roman"/>
          <w:lang w:val="en-GB" w:eastAsia="zh-CN"/>
        </w:rPr>
        <w:t xml:space="preserve">За јавен повик 01/2015, </w:t>
      </w:r>
      <w:r>
        <w:rPr>
          <w:rFonts w:ascii="StobiSerif Regular" w:eastAsia="Times New Roman" w:hAnsi="StobiSerif Regular" w:cs="Times New Roman"/>
          <w:lang w:eastAsia="zh-CN"/>
        </w:rPr>
        <w:t xml:space="preserve">се </w:t>
      </w:r>
      <w:r w:rsidR="009B2929" w:rsidRPr="009B2929">
        <w:rPr>
          <w:rFonts w:ascii="StobiSerif Regular" w:eastAsia="Times New Roman" w:hAnsi="StobiSerif Regular" w:cs="Times New Roman"/>
          <w:lang w:val="en-GB" w:eastAsia="zh-CN"/>
        </w:rPr>
        <w:t xml:space="preserve">поднесени 483 барања за трактори, од кои 179 беа </w:t>
      </w:r>
      <w:r>
        <w:rPr>
          <w:rFonts w:ascii="StobiSerif Regular" w:eastAsia="Times New Roman" w:hAnsi="StobiSerif Regular" w:cs="Times New Roman"/>
          <w:lang w:eastAsia="zh-CN"/>
        </w:rPr>
        <w:t>прифатливи</w:t>
      </w:r>
      <w:r w:rsidR="009B2929" w:rsidRPr="009B2929">
        <w:rPr>
          <w:rFonts w:ascii="StobiSerif Regular" w:eastAsia="Times New Roman" w:hAnsi="StobiSerif Regular" w:cs="Times New Roman"/>
          <w:lang w:val="en-GB" w:eastAsia="zh-CN"/>
        </w:rPr>
        <w:t xml:space="preserve">, но беа </w:t>
      </w:r>
      <w:r>
        <w:rPr>
          <w:rFonts w:ascii="StobiSerif Regular" w:eastAsia="Times New Roman" w:hAnsi="StobiSerif Regular" w:cs="Times New Roman"/>
          <w:lang w:eastAsia="zh-CN"/>
        </w:rPr>
        <w:t>одбиени</w:t>
      </w:r>
      <w:r w:rsidR="009B2929" w:rsidRPr="009B2929">
        <w:rPr>
          <w:rFonts w:ascii="StobiSerif Regular" w:eastAsia="Times New Roman" w:hAnsi="StobiSerif Regular" w:cs="Times New Roman"/>
          <w:lang w:val="en-GB" w:eastAsia="zh-CN"/>
        </w:rPr>
        <w:t xml:space="preserve"> поради </w:t>
      </w:r>
      <w:r>
        <w:rPr>
          <w:rFonts w:ascii="StobiSerif Regular" w:eastAsia="Times New Roman" w:hAnsi="StobiSerif Regular" w:cs="Times New Roman"/>
          <w:lang w:eastAsia="zh-CN"/>
        </w:rPr>
        <w:t>рангирање</w:t>
      </w:r>
      <w:r w:rsidR="009B2929" w:rsidRPr="009B2929">
        <w:rPr>
          <w:rFonts w:ascii="StobiSerif Regular" w:eastAsia="Times New Roman" w:hAnsi="StobiSerif Regular" w:cs="Times New Roman"/>
          <w:lang w:val="en-GB" w:eastAsia="zh-CN"/>
        </w:rPr>
        <w:t xml:space="preserve">. </w:t>
      </w:r>
      <w:r>
        <w:rPr>
          <w:rFonts w:ascii="StobiSerif Regular" w:eastAsia="Times New Roman" w:hAnsi="StobiSerif Regular" w:cs="Times New Roman"/>
          <w:lang w:eastAsia="zh-CN"/>
        </w:rPr>
        <w:t>За</w:t>
      </w:r>
      <w:r w:rsidR="009B2929" w:rsidRPr="009B2929">
        <w:rPr>
          <w:rFonts w:ascii="StobiSerif Regular" w:eastAsia="Times New Roman" w:hAnsi="StobiSerif Regular" w:cs="Times New Roman"/>
          <w:lang w:val="en-GB" w:eastAsia="zh-CN"/>
        </w:rPr>
        <w:t xml:space="preserve"> 21 </w:t>
      </w:r>
      <w:r w:rsidR="009B2B00">
        <w:rPr>
          <w:rFonts w:ascii="StobiSerif Regular" w:eastAsia="Times New Roman" w:hAnsi="StobiSerif Regular" w:cs="Times New Roman"/>
          <w:lang w:eastAsia="zh-CN"/>
        </w:rPr>
        <w:t xml:space="preserve">барања </w:t>
      </w:r>
      <w:r>
        <w:rPr>
          <w:rFonts w:ascii="StobiSerif Regular" w:eastAsia="Times New Roman" w:hAnsi="StobiSerif Regular" w:cs="Times New Roman"/>
          <w:lang w:eastAsia="zh-CN"/>
        </w:rPr>
        <w:t>се склучени</w:t>
      </w:r>
      <w:r w:rsidR="009B2929" w:rsidRPr="009B2929">
        <w:rPr>
          <w:rFonts w:ascii="StobiSerif Regular" w:eastAsia="Times New Roman" w:hAnsi="StobiSerif Regular" w:cs="Times New Roman"/>
          <w:lang w:val="en-GB" w:eastAsia="zh-CN"/>
        </w:rPr>
        <w:t xml:space="preserve"> договор</w:t>
      </w:r>
      <w:r>
        <w:rPr>
          <w:rFonts w:ascii="StobiSerif Regular" w:eastAsia="Times New Roman" w:hAnsi="StobiSerif Regular" w:cs="Times New Roman"/>
          <w:lang w:eastAsia="zh-CN"/>
        </w:rPr>
        <w:t>и</w:t>
      </w:r>
      <w:r w:rsidR="009B2929" w:rsidRPr="009B2929">
        <w:rPr>
          <w:rFonts w:ascii="StobiSerif Regular" w:eastAsia="Times New Roman" w:hAnsi="StobiSerif Regular" w:cs="Times New Roman"/>
          <w:lang w:val="en-GB" w:eastAsia="zh-CN"/>
        </w:rPr>
        <w:t xml:space="preserve"> само за </w:t>
      </w:r>
      <w:r w:rsidR="009B2B00">
        <w:rPr>
          <w:rFonts w:ascii="StobiSerif Regular" w:eastAsia="Times New Roman" w:hAnsi="StobiSerif Regular" w:cs="Times New Roman"/>
          <w:lang w:eastAsia="zh-CN"/>
        </w:rPr>
        <w:t>приклучна механизација</w:t>
      </w:r>
      <w:r w:rsidR="009B2929" w:rsidRPr="009B2929">
        <w:rPr>
          <w:rFonts w:ascii="StobiSerif Regular" w:eastAsia="Times New Roman" w:hAnsi="StobiSerif Regular" w:cs="Times New Roman"/>
          <w:lang w:val="en-GB" w:eastAsia="zh-CN"/>
        </w:rPr>
        <w:t xml:space="preserve"> во вредност од 79.641 евра. Вкупниот изно</w:t>
      </w:r>
      <w:r>
        <w:rPr>
          <w:rFonts w:ascii="StobiSerif Regular" w:eastAsia="Times New Roman" w:hAnsi="StobiSerif Regular" w:cs="Times New Roman"/>
          <w:lang w:val="en-GB" w:eastAsia="zh-CN"/>
        </w:rPr>
        <w:t>с што се бара за кофинансирање</w:t>
      </w:r>
      <w:r>
        <w:rPr>
          <w:rFonts w:ascii="StobiSerif Regular" w:eastAsia="Times New Roman" w:hAnsi="StobiSerif Regular" w:cs="Times New Roman"/>
          <w:lang w:eastAsia="zh-CN"/>
        </w:rPr>
        <w:t xml:space="preserve"> а </w:t>
      </w:r>
      <w:r w:rsidR="009B2929" w:rsidRPr="009B2929">
        <w:rPr>
          <w:rFonts w:ascii="StobiSerif Regular" w:eastAsia="Times New Roman" w:hAnsi="StobiSerif Regular" w:cs="Times New Roman"/>
          <w:lang w:val="en-GB" w:eastAsia="zh-CN"/>
        </w:rPr>
        <w:t xml:space="preserve">кој е одбиен поради рангирањето во Јавниот повик 01/2015, изнесува 2.724.255 евра. Во истиот повик </w:t>
      </w:r>
      <w:r>
        <w:rPr>
          <w:rFonts w:ascii="StobiSerif Regular" w:eastAsia="Times New Roman" w:hAnsi="StobiSerif Regular" w:cs="Times New Roman"/>
          <w:lang w:eastAsia="zh-CN"/>
        </w:rPr>
        <w:t>беа потпишани</w:t>
      </w:r>
      <w:r w:rsidR="009B2929" w:rsidRPr="009B2929">
        <w:rPr>
          <w:rFonts w:ascii="StobiSerif Regular" w:eastAsia="Times New Roman" w:hAnsi="StobiSerif Regular" w:cs="Times New Roman"/>
          <w:lang w:val="en-GB" w:eastAsia="zh-CN"/>
        </w:rPr>
        <w:t xml:space="preserve"> 283</w:t>
      </w:r>
      <w:r>
        <w:rPr>
          <w:rFonts w:ascii="StobiSerif Regular" w:eastAsia="Times New Roman" w:hAnsi="StobiSerif Regular" w:cs="Times New Roman"/>
          <w:lang w:eastAsia="zh-CN"/>
        </w:rPr>
        <w:t xml:space="preserve"> договори за кофинансирае за набавка на </w:t>
      </w:r>
      <w:r w:rsidR="009B2929" w:rsidRPr="009B2929">
        <w:rPr>
          <w:rFonts w:ascii="StobiSerif Regular" w:eastAsia="Times New Roman" w:hAnsi="StobiSerif Regular" w:cs="Times New Roman"/>
          <w:lang w:val="en-GB" w:eastAsia="zh-CN"/>
        </w:rPr>
        <w:t xml:space="preserve"> трактори, со вкуп</w:t>
      </w:r>
      <w:r w:rsidR="00EF201C">
        <w:rPr>
          <w:rFonts w:ascii="StobiSerif Regular" w:eastAsia="Times New Roman" w:hAnsi="StobiSerif Regular" w:cs="Times New Roman"/>
          <w:lang w:val="en-GB" w:eastAsia="zh-CN"/>
        </w:rPr>
        <w:t xml:space="preserve">на </w:t>
      </w:r>
      <w:r>
        <w:rPr>
          <w:rFonts w:ascii="StobiSerif Regular" w:eastAsia="Times New Roman" w:hAnsi="StobiSerif Regular" w:cs="Times New Roman"/>
          <w:lang w:eastAsia="zh-CN"/>
        </w:rPr>
        <w:t xml:space="preserve">јавна </w:t>
      </w:r>
      <w:r w:rsidR="00EF201C">
        <w:rPr>
          <w:rFonts w:ascii="StobiSerif Regular" w:eastAsia="Times New Roman" w:hAnsi="StobiSerif Regular" w:cs="Times New Roman"/>
          <w:lang w:val="en-GB" w:eastAsia="zh-CN"/>
        </w:rPr>
        <w:t>поддршка од 3.568.208 евра.</w:t>
      </w:r>
    </w:p>
    <w:p w:rsidR="009B2929" w:rsidRPr="00EF201C" w:rsidRDefault="009B2929" w:rsidP="00CB7625">
      <w:pPr>
        <w:spacing w:before="120" w:after="120"/>
        <w:jc w:val="both"/>
        <w:rPr>
          <w:rFonts w:ascii="StobiSerif Regular" w:eastAsia="Times New Roman" w:hAnsi="StobiSerif Regular" w:cs="Times New Roman"/>
          <w:lang w:eastAsia="zh-CN"/>
        </w:rPr>
      </w:pPr>
      <w:r w:rsidRPr="009B2929">
        <w:rPr>
          <w:rFonts w:ascii="StobiSerif Regular" w:eastAsia="Times New Roman" w:hAnsi="StobiSerif Regular" w:cs="Times New Roman"/>
          <w:lang w:val="en-GB" w:eastAsia="zh-CN"/>
        </w:rPr>
        <w:t xml:space="preserve">Во Јавниот повик 02/2015 </w:t>
      </w:r>
      <w:r w:rsidR="00CB7625">
        <w:rPr>
          <w:rFonts w:ascii="StobiSerif Regular" w:eastAsia="Times New Roman" w:hAnsi="StobiSerif Regular" w:cs="Times New Roman"/>
          <w:lang w:eastAsia="zh-CN"/>
        </w:rPr>
        <w:t>се</w:t>
      </w:r>
      <w:r w:rsidRPr="009B2929">
        <w:rPr>
          <w:rFonts w:ascii="StobiSerif Regular" w:eastAsia="Times New Roman" w:hAnsi="StobiSerif Regular" w:cs="Times New Roman"/>
          <w:lang w:val="en-GB" w:eastAsia="zh-CN"/>
        </w:rPr>
        <w:t xml:space="preserve"> поднесени 209 барања за трактори,</w:t>
      </w:r>
      <w:r w:rsidR="00CB7625">
        <w:rPr>
          <w:rFonts w:ascii="StobiSerif Regular" w:eastAsia="Times New Roman" w:hAnsi="StobiSerif Regular" w:cs="Times New Roman"/>
          <w:lang w:val="en-GB" w:eastAsia="zh-CN"/>
        </w:rPr>
        <w:t xml:space="preserve"> од кои 164 барања беа целосно </w:t>
      </w:r>
      <w:r w:rsidR="00CB7625">
        <w:rPr>
          <w:rFonts w:ascii="StobiSerif Regular" w:eastAsia="Times New Roman" w:hAnsi="StobiSerif Regular" w:cs="Times New Roman"/>
          <w:lang w:eastAsia="zh-CN"/>
        </w:rPr>
        <w:t>одбиени</w:t>
      </w:r>
      <w:r w:rsidRPr="009B2929">
        <w:rPr>
          <w:rFonts w:ascii="StobiSerif Regular" w:eastAsia="Times New Roman" w:hAnsi="StobiSerif Regular" w:cs="Times New Roman"/>
          <w:lang w:val="en-GB" w:eastAsia="zh-CN"/>
        </w:rPr>
        <w:t xml:space="preserve">, а за 45 договори се потпишани со вкупен износ од 288.051 евра само за кофинансирање </w:t>
      </w:r>
      <w:r w:rsidR="009B2B00">
        <w:rPr>
          <w:rFonts w:ascii="StobiSerif Regular" w:eastAsia="Times New Roman" w:hAnsi="StobiSerif Regular" w:cs="Times New Roman"/>
          <w:lang w:eastAsia="zh-CN"/>
        </w:rPr>
        <w:t>на приклучна механизација</w:t>
      </w:r>
      <w:r w:rsidR="00EF201C">
        <w:rPr>
          <w:rFonts w:ascii="StobiSerif Regular" w:eastAsia="Times New Roman" w:hAnsi="StobiSerif Regular" w:cs="Times New Roman"/>
          <w:lang w:eastAsia="zh-CN"/>
        </w:rPr>
        <w:t>.</w:t>
      </w:r>
    </w:p>
    <w:p w:rsidR="00575137" w:rsidRPr="00CB7625" w:rsidRDefault="00DF43A2" w:rsidP="00FC5AA7">
      <w:pPr>
        <w:spacing w:before="120" w:after="120"/>
        <w:jc w:val="both"/>
        <w:rPr>
          <w:b/>
          <w:lang w:val="en-US"/>
        </w:rPr>
      </w:pPr>
      <w:bookmarkStart w:id="29" w:name="_Toc485394901"/>
      <w:r w:rsidRPr="00CB7625">
        <w:rPr>
          <w:rFonts w:ascii="StobiSerif Regular" w:eastAsia="Times New Roman" w:hAnsi="StobiSerif Regular" w:cs="Times New Roman"/>
          <w:b/>
          <w:lang w:val="en-GB" w:eastAsia="zh-CN"/>
        </w:rPr>
        <w:t>T</w:t>
      </w:r>
      <w:r w:rsidRPr="00CB7625">
        <w:rPr>
          <w:rFonts w:ascii="StobiSerif Regular" w:eastAsia="Times New Roman" w:hAnsi="StobiSerif Regular" w:cs="Times New Roman"/>
          <w:b/>
          <w:lang w:eastAsia="zh-CN"/>
        </w:rPr>
        <w:t>абела</w:t>
      </w:r>
      <w:r w:rsidR="00575137" w:rsidRPr="00CB7625">
        <w:rPr>
          <w:rFonts w:ascii="StobiSerif Regular" w:eastAsia="Times New Roman" w:hAnsi="StobiSerif Regular" w:cs="Times New Roman"/>
          <w:b/>
          <w:lang w:val="en-GB" w:eastAsia="zh-CN"/>
        </w:rPr>
        <w:t xml:space="preserve"> </w:t>
      </w:r>
      <w:r w:rsidR="00575137" w:rsidRPr="00CB7625">
        <w:rPr>
          <w:rFonts w:ascii="StobiSerif Regular" w:eastAsia="Times New Roman" w:hAnsi="StobiSerif Regular" w:cs="Times New Roman"/>
          <w:b/>
          <w:lang w:val="en-GB" w:eastAsia="zh-CN"/>
        </w:rPr>
        <w:fldChar w:fldCharType="begin"/>
      </w:r>
      <w:r w:rsidR="00575137" w:rsidRPr="00CB7625">
        <w:rPr>
          <w:rFonts w:ascii="StobiSerif Regular" w:eastAsia="Times New Roman" w:hAnsi="StobiSerif Regular" w:cs="Times New Roman"/>
          <w:b/>
          <w:lang w:val="en-GB" w:eastAsia="zh-CN"/>
        </w:rPr>
        <w:instrText xml:space="preserve"> SEQ Table \* ARABIC </w:instrText>
      </w:r>
      <w:r w:rsidR="00575137" w:rsidRPr="00CB7625">
        <w:rPr>
          <w:rFonts w:ascii="StobiSerif Regular" w:eastAsia="Times New Roman" w:hAnsi="StobiSerif Regular" w:cs="Times New Roman"/>
          <w:b/>
          <w:lang w:val="en-GB" w:eastAsia="zh-CN"/>
        </w:rPr>
        <w:fldChar w:fldCharType="separate"/>
      </w:r>
      <w:r w:rsidR="00EC1053" w:rsidRPr="00CB7625">
        <w:rPr>
          <w:rFonts w:ascii="StobiSerif Regular" w:eastAsia="Times New Roman" w:hAnsi="StobiSerif Regular" w:cs="Times New Roman"/>
          <w:b/>
          <w:noProof/>
          <w:lang w:val="en-GB" w:eastAsia="zh-CN"/>
        </w:rPr>
        <w:t>9</w:t>
      </w:r>
      <w:r w:rsidR="00575137" w:rsidRPr="00CB7625">
        <w:rPr>
          <w:rFonts w:ascii="StobiSerif Regular" w:eastAsia="Times New Roman" w:hAnsi="StobiSerif Regular" w:cs="Times New Roman"/>
          <w:b/>
          <w:lang w:val="en-GB" w:eastAsia="zh-CN"/>
        </w:rPr>
        <w:fldChar w:fldCharType="end"/>
      </w:r>
      <w:r w:rsidR="00575137" w:rsidRPr="00CB7625">
        <w:rPr>
          <w:rFonts w:ascii="StobiSerif Regular" w:eastAsia="Times New Roman" w:hAnsi="StobiSerif Regular" w:cs="Times New Roman"/>
          <w:b/>
          <w:lang w:val="en-GB" w:eastAsia="zh-CN"/>
        </w:rPr>
        <w:t xml:space="preserve">: </w:t>
      </w:r>
      <w:r w:rsidRPr="00CB7625">
        <w:rPr>
          <w:rFonts w:ascii="StobiSerif Regular" w:eastAsia="Times New Roman" w:hAnsi="StobiSerif Regular" w:cs="Times New Roman"/>
          <w:b/>
          <w:lang w:eastAsia="zh-CN"/>
        </w:rPr>
        <w:t>Тип на инвестиции по сектори во мерката 101</w:t>
      </w:r>
      <w:bookmarkEnd w:id="29"/>
      <w:r w:rsidRPr="00CB7625">
        <w:rPr>
          <w:rFonts w:ascii="StobiSerif Regular" w:eastAsia="Times New Roman" w:hAnsi="StobiSerif Regular" w:cs="Times New Roman"/>
          <w:b/>
          <w:lang w:eastAsia="zh-CN"/>
        </w:rPr>
        <w:t xml:space="preserve"> </w:t>
      </w:r>
    </w:p>
    <w:tbl>
      <w:tblPr>
        <w:tblW w:w="9058" w:type="dxa"/>
        <w:tblLook w:val="04A0" w:firstRow="1" w:lastRow="0" w:firstColumn="1" w:lastColumn="0" w:noHBand="0" w:noVBand="1"/>
      </w:tblPr>
      <w:tblGrid>
        <w:gridCol w:w="1363"/>
        <w:gridCol w:w="2640"/>
        <w:gridCol w:w="1140"/>
        <w:gridCol w:w="960"/>
        <w:gridCol w:w="996"/>
        <w:gridCol w:w="1058"/>
        <w:gridCol w:w="1079"/>
      </w:tblGrid>
      <w:tr w:rsidR="006D607B" w:rsidRPr="00CB7625" w:rsidTr="001B32FA">
        <w:trPr>
          <w:trHeight w:val="424"/>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7B" w:rsidRPr="00CB7625" w:rsidRDefault="00E350F8" w:rsidP="00575137">
            <w:pPr>
              <w:spacing w:after="0" w:line="240" w:lineRule="auto"/>
              <w:jc w:val="center"/>
              <w:rPr>
                <w:rFonts w:ascii="StobiSerif Regular" w:eastAsia="Times New Roman" w:hAnsi="StobiSerif Regular" w:cs="Arial"/>
                <w:sz w:val="16"/>
                <w:szCs w:val="16"/>
                <w:lang w:eastAsia="mk-MK"/>
              </w:rPr>
            </w:pPr>
            <w:r w:rsidRPr="00CB7625">
              <w:rPr>
                <w:rFonts w:ascii="StobiSerif Regular" w:eastAsia="Times New Roman" w:hAnsi="StobiSerif Regular" w:cs="Arial"/>
                <w:sz w:val="16"/>
                <w:szCs w:val="16"/>
                <w:lang w:eastAsia="mk-MK"/>
              </w:rPr>
              <w:t>Сектор</w:t>
            </w:r>
          </w:p>
        </w:tc>
        <w:tc>
          <w:tcPr>
            <w:tcW w:w="2640" w:type="dxa"/>
            <w:tcBorders>
              <w:top w:val="single" w:sz="4" w:space="0" w:color="auto"/>
              <w:left w:val="nil"/>
              <w:bottom w:val="single" w:sz="4" w:space="0" w:color="auto"/>
              <w:right w:val="single" w:sz="4" w:space="0" w:color="auto"/>
            </w:tcBorders>
            <w:shd w:val="clear" w:color="auto" w:fill="auto"/>
            <w:vAlign w:val="center"/>
          </w:tcPr>
          <w:p w:rsidR="006D607B" w:rsidRPr="00CB7625" w:rsidRDefault="00E350F8" w:rsidP="00575137">
            <w:pPr>
              <w:spacing w:after="0" w:line="240" w:lineRule="auto"/>
              <w:rPr>
                <w:rFonts w:ascii="StobiSerif Regular" w:eastAsia="Times New Roman" w:hAnsi="StobiSerif Regular" w:cs="Arial"/>
                <w:sz w:val="16"/>
                <w:szCs w:val="16"/>
                <w:lang w:eastAsia="mk-MK"/>
              </w:rPr>
            </w:pPr>
            <w:r w:rsidRPr="00CB7625">
              <w:rPr>
                <w:rFonts w:ascii="StobiSerif Regular" w:eastAsia="Times New Roman" w:hAnsi="StobiSerif Regular" w:cs="Arial"/>
                <w:sz w:val="16"/>
                <w:szCs w:val="16"/>
                <w:lang w:eastAsia="mk-MK"/>
              </w:rPr>
              <w:t xml:space="preserve">Тип на инвестиција </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6D607B" w:rsidRPr="00CB7625" w:rsidRDefault="00E350F8" w:rsidP="00575137">
            <w:pPr>
              <w:spacing w:after="0" w:line="240" w:lineRule="auto"/>
              <w:jc w:val="right"/>
              <w:rPr>
                <w:rFonts w:ascii="StobiSerif Regular" w:eastAsia="Times New Roman" w:hAnsi="StobiSerif Regular" w:cs="Arial"/>
                <w:sz w:val="16"/>
                <w:szCs w:val="16"/>
                <w:lang w:eastAsia="mk-MK"/>
              </w:rPr>
            </w:pPr>
            <w:r w:rsidRPr="00CB7625">
              <w:rPr>
                <w:rFonts w:ascii="StobiSerif Regular" w:eastAsia="Times New Roman" w:hAnsi="StobiSerif Regular" w:cs="Arial"/>
                <w:sz w:val="16"/>
                <w:szCs w:val="16"/>
                <w:lang w:eastAsia="mk-MK"/>
              </w:rPr>
              <w:t xml:space="preserve">Примени </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6D607B" w:rsidRPr="00CB7625" w:rsidRDefault="00E350F8" w:rsidP="00575137">
            <w:pPr>
              <w:spacing w:after="0" w:line="240" w:lineRule="auto"/>
              <w:jc w:val="right"/>
              <w:rPr>
                <w:rFonts w:ascii="StobiSerif Regular" w:eastAsia="Times New Roman" w:hAnsi="StobiSerif Regular" w:cs="Arial"/>
                <w:sz w:val="16"/>
                <w:szCs w:val="16"/>
                <w:lang w:eastAsia="mk-MK"/>
              </w:rPr>
            </w:pPr>
            <w:r w:rsidRPr="00CB7625">
              <w:rPr>
                <w:rFonts w:ascii="StobiSerif Regular" w:eastAsia="Times New Roman" w:hAnsi="StobiSerif Regular" w:cs="Arial"/>
                <w:sz w:val="16"/>
                <w:szCs w:val="16"/>
                <w:lang w:eastAsia="mk-MK"/>
              </w:rPr>
              <w:t xml:space="preserve">Одбиени </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6D607B" w:rsidRPr="00CB7625" w:rsidRDefault="00E350F8" w:rsidP="00575137">
            <w:pPr>
              <w:spacing w:after="0" w:line="240" w:lineRule="auto"/>
              <w:jc w:val="right"/>
              <w:rPr>
                <w:rFonts w:ascii="StobiSerif Regular" w:eastAsia="Times New Roman" w:hAnsi="StobiSerif Regular" w:cs="Arial"/>
                <w:sz w:val="16"/>
                <w:szCs w:val="16"/>
                <w:lang w:eastAsia="mk-MK"/>
              </w:rPr>
            </w:pPr>
            <w:r w:rsidRPr="00CB7625">
              <w:rPr>
                <w:rFonts w:ascii="StobiSerif Regular" w:eastAsia="Times New Roman" w:hAnsi="StobiSerif Regular" w:cs="Arial"/>
                <w:sz w:val="16"/>
                <w:szCs w:val="16"/>
                <w:lang w:eastAsia="mk-MK"/>
              </w:rPr>
              <w:t xml:space="preserve">Одобрени </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6D607B" w:rsidRPr="00CB7625" w:rsidRDefault="00E350F8" w:rsidP="00575137">
            <w:pPr>
              <w:spacing w:after="0" w:line="240" w:lineRule="auto"/>
              <w:jc w:val="right"/>
              <w:rPr>
                <w:rFonts w:ascii="StobiSerif Regular" w:eastAsia="Times New Roman" w:hAnsi="StobiSerif Regular" w:cs="Arial"/>
                <w:sz w:val="16"/>
                <w:szCs w:val="16"/>
                <w:lang w:eastAsia="mk-MK"/>
              </w:rPr>
            </w:pPr>
            <w:r w:rsidRPr="00CB7625">
              <w:rPr>
                <w:rFonts w:ascii="StobiSerif Regular" w:eastAsia="Times New Roman" w:hAnsi="StobiSerif Regular" w:cs="Arial"/>
                <w:sz w:val="16"/>
                <w:szCs w:val="16"/>
                <w:lang w:eastAsia="mk-MK"/>
              </w:rPr>
              <w:t xml:space="preserve">Раскинати </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6D607B" w:rsidRPr="00CB7625" w:rsidRDefault="00E350F8" w:rsidP="00575137">
            <w:pPr>
              <w:spacing w:after="0" w:line="240" w:lineRule="auto"/>
              <w:jc w:val="right"/>
              <w:rPr>
                <w:rFonts w:ascii="StobiSerif Regular" w:eastAsia="Times New Roman" w:hAnsi="StobiSerif Regular" w:cs="Arial"/>
                <w:sz w:val="16"/>
                <w:szCs w:val="16"/>
                <w:lang w:val="en-US" w:eastAsia="mk-MK"/>
              </w:rPr>
            </w:pPr>
            <w:r w:rsidRPr="00CB7625">
              <w:rPr>
                <w:rFonts w:ascii="StobiSerif Regular" w:eastAsia="Times New Roman" w:hAnsi="StobiSerif Regular" w:cs="Arial"/>
                <w:sz w:val="16"/>
                <w:szCs w:val="16"/>
                <w:lang w:eastAsia="mk-MK"/>
              </w:rPr>
              <w:t xml:space="preserve">Исплатени </w:t>
            </w:r>
            <w:r w:rsidR="006D607B" w:rsidRPr="00CB7625">
              <w:rPr>
                <w:rFonts w:ascii="StobiSerif Regular" w:eastAsia="Times New Roman" w:hAnsi="StobiSerif Regular" w:cs="Arial"/>
                <w:sz w:val="16"/>
                <w:szCs w:val="16"/>
                <w:lang w:val="en-US" w:eastAsia="mk-MK"/>
              </w:rPr>
              <w:t xml:space="preserve"> </w:t>
            </w:r>
          </w:p>
        </w:tc>
      </w:tr>
      <w:tr w:rsidR="00575137" w:rsidRPr="000B5E5D" w:rsidTr="001B32FA">
        <w:trPr>
          <w:trHeight w:val="424"/>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137" w:rsidRPr="00CB7625" w:rsidRDefault="00E350F8" w:rsidP="00575137">
            <w:pPr>
              <w:spacing w:after="0" w:line="240" w:lineRule="auto"/>
              <w:jc w:val="center"/>
              <w:rPr>
                <w:rFonts w:ascii="StobiSerif Regular" w:eastAsia="Times New Roman" w:hAnsi="StobiSerif Regular" w:cs="Arial"/>
                <w:b/>
                <w:sz w:val="16"/>
                <w:szCs w:val="16"/>
                <w:lang w:val="en-US" w:eastAsia="mk-MK"/>
              </w:rPr>
            </w:pPr>
            <w:r w:rsidRPr="00CB7625">
              <w:rPr>
                <w:rFonts w:ascii="StobiSerif Regular" w:eastAsia="Times New Roman" w:hAnsi="StobiSerif Regular" w:cs="Arial"/>
                <w:b/>
                <w:sz w:val="16"/>
                <w:szCs w:val="16"/>
                <w:lang w:eastAsia="mk-MK"/>
              </w:rPr>
              <w:t>Месо/млеко</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E350F8" w:rsidP="00575137">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Конструкција/рекон. на објекти</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52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38</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6</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5</w:t>
            </w:r>
          </w:p>
        </w:tc>
      </w:tr>
      <w:tr w:rsidR="00575137" w:rsidRPr="000B5E5D" w:rsidTr="001B32FA">
        <w:trPr>
          <w:trHeight w:val="402"/>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575137" w:rsidRPr="00CB7625" w:rsidRDefault="00575137" w:rsidP="00575137">
            <w:pPr>
              <w:spacing w:after="0" w:line="240" w:lineRule="auto"/>
              <w:rPr>
                <w:rFonts w:ascii="StobiSerif Regular" w:eastAsia="Times New Roman" w:hAnsi="StobiSerif Regular" w:cs="Arial"/>
                <w:b/>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E350F8" w:rsidP="00E350F8">
            <w:pPr>
              <w:spacing w:after="0" w:line="240" w:lineRule="auto"/>
              <w:rPr>
                <w:rFonts w:ascii="StobiSerif Regular" w:eastAsia="Times New Roman" w:hAnsi="StobiSerif Regular" w:cs="Arial"/>
                <w:sz w:val="16"/>
                <w:szCs w:val="16"/>
                <w:lang w:eastAsia="mk-MK"/>
              </w:rPr>
            </w:pPr>
            <w:r w:rsidRPr="00E350F8">
              <w:rPr>
                <w:rFonts w:ascii="StobiSerif Regular" w:eastAsia="Times New Roman" w:hAnsi="StobiSerif Regular" w:cs="Arial"/>
                <w:sz w:val="16"/>
                <w:szCs w:val="16"/>
                <w:lang w:eastAsia="mk-MK"/>
              </w:rPr>
              <w:t xml:space="preserve">Опремување за модернизација </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29</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23</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6</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r>
      <w:tr w:rsidR="00575137" w:rsidRPr="000B5E5D" w:rsidTr="001B32FA">
        <w:trPr>
          <w:trHeight w:val="523"/>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575137" w:rsidRPr="00CB7625" w:rsidRDefault="00575137" w:rsidP="00575137">
            <w:pPr>
              <w:spacing w:after="0" w:line="240" w:lineRule="auto"/>
              <w:rPr>
                <w:rFonts w:ascii="StobiSerif Regular" w:eastAsia="Times New Roman" w:hAnsi="StobiSerif Regular" w:cs="Arial"/>
                <w:b/>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E350F8" w:rsidP="00E350F8">
            <w:pPr>
              <w:spacing w:after="0" w:line="240" w:lineRule="auto"/>
              <w:rPr>
                <w:rFonts w:ascii="StobiSerif Regular" w:eastAsia="Times New Roman" w:hAnsi="StobiSerif Regular" w:cs="Arial"/>
                <w:sz w:val="16"/>
                <w:szCs w:val="16"/>
                <w:lang w:eastAsia="mk-MK"/>
              </w:rPr>
            </w:pPr>
            <w:r w:rsidRPr="00E350F8">
              <w:rPr>
                <w:rFonts w:ascii="StobiSerif Regular" w:eastAsia="Times New Roman" w:hAnsi="StobiSerif Regular" w:cs="Arial"/>
                <w:sz w:val="16"/>
                <w:szCs w:val="16"/>
                <w:lang w:eastAsia="mk-MK"/>
              </w:rPr>
              <w:t xml:space="preserve">Земјоделски машини и опрема </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37</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37</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r>
      <w:tr w:rsidR="00575137" w:rsidRPr="000B5E5D" w:rsidTr="001B32FA">
        <w:trPr>
          <w:trHeight w:val="529"/>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575137" w:rsidRPr="00CB7625" w:rsidRDefault="00575137" w:rsidP="00575137">
            <w:pPr>
              <w:spacing w:after="0" w:line="240" w:lineRule="auto"/>
              <w:rPr>
                <w:rFonts w:ascii="StobiSerif Regular" w:eastAsia="Times New Roman" w:hAnsi="StobiSerif Regular" w:cs="Arial"/>
                <w:b/>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E350F8" w:rsidP="00575137">
            <w:pPr>
              <w:spacing w:after="0" w:line="240" w:lineRule="auto"/>
              <w:rPr>
                <w:rFonts w:ascii="StobiSerif Regular" w:eastAsia="Times New Roman" w:hAnsi="StobiSerif Regular" w:cs="Arial"/>
                <w:sz w:val="16"/>
                <w:szCs w:val="16"/>
                <w:lang w:eastAsia="mk-MK"/>
              </w:rPr>
            </w:pPr>
            <w:r w:rsidRPr="00E350F8">
              <w:rPr>
                <w:rFonts w:ascii="StobiSerif Regular" w:eastAsia="Times New Roman" w:hAnsi="StobiSerif Regular" w:cs="Arial"/>
                <w:sz w:val="16"/>
                <w:szCs w:val="16"/>
                <w:lang w:eastAsia="mk-MK"/>
              </w:rPr>
              <w:t>Опрема за управување со ѓубриво</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r>
      <w:tr w:rsidR="00575137" w:rsidRPr="000B5E5D" w:rsidTr="001B32FA">
        <w:trPr>
          <w:trHeight w:val="423"/>
        </w:trPr>
        <w:tc>
          <w:tcPr>
            <w:tcW w:w="11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5137" w:rsidRPr="00CB7625" w:rsidRDefault="00E350F8" w:rsidP="00575137">
            <w:pPr>
              <w:spacing w:after="0" w:line="240" w:lineRule="auto"/>
              <w:jc w:val="center"/>
              <w:rPr>
                <w:rFonts w:ascii="StobiSerif Regular" w:eastAsia="Times New Roman" w:hAnsi="StobiSerif Regular" w:cs="Arial"/>
                <w:b/>
                <w:sz w:val="16"/>
                <w:szCs w:val="16"/>
                <w:lang w:eastAsia="mk-MK"/>
              </w:rPr>
            </w:pPr>
            <w:r w:rsidRPr="00CB7625">
              <w:rPr>
                <w:rFonts w:ascii="StobiSerif Regular" w:eastAsia="Times New Roman" w:hAnsi="StobiSerif Regular" w:cs="Arial"/>
                <w:b/>
                <w:sz w:val="16"/>
                <w:szCs w:val="16"/>
                <w:lang w:eastAsia="mk-MK"/>
              </w:rPr>
              <w:t>О/З</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E350F8" w:rsidP="00575137">
            <w:pPr>
              <w:spacing w:after="0" w:line="240" w:lineRule="auto"/>
              <w:rPr>
                <w:rFonts w:ascii="StobiSerif Regular" w:eastAsia="Times New Roman" w:hAnsi="StobiSerif Regular" w:cs="Arial"/>
                <w:sz w:val="16"/>
                <w:szCs w:val="16"/>
                <w:lang w:eastAsia="mk-MK"/>
              </w:rPr>
            </w:pPr>
            <w:r w:rsidRPr="00E350F8">
              <w:rPr>
                <w:rFonts w:ascii="StobiSerif Regular" w:eastAsia="Times New Roman" w:hAnsi="StobiSerif Regular" w:cs="Arial"/>
                <w:sz w:val="16"/>
                <w:szCs w:val="16"/>
                <w:lang w:eastAsia="mk-MK"/>
              </w:rPr>
              <w:t>Земјоделски машини и опрема</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546</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187</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359</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32</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243</w:t>
            </w:r>
          </w:p>
        </w:tc>
      </w:tr>
      <w:tr w:rsidR="00575137" w:rsidRPr="000B5E5D" w:rsidTr="001B32FA">
        <w:trPr>
          <w:trHeight w:val="135"/>
        </w:trPr>
        <w:tc>
          <w:tcPr>
            <w:tcW w:w="1185" w:type="dxa"/>
            <w:vMerge/>
            <w:tcBorders>
              <w:top w:val="nil"/>
              <w:left w:val="single" w:sz="4" w:space="0" w:color="auto"/>
              <w:bottom w:val="single" w:sz="4" w:space="0" w:color="auto"/>
              <w:right w:val="single" w:sz="4" w:space="0" w:color="auto"/>
            </w:tcBorders>
            <w:vAlign w:val="center"/>
            <w:hideMark/>
          </w:tcPr>
          <w:p w:rsidR="00575137" w:rsidRPr="00CB7625" w:rsidRDefault="00575137" w:rsidP="00575137">
            <w:pPr>
              <w:spacing w:after="0" w:line="240" w:lineRule="auto"/>
              <w:rPr>
                <w:rFonts w:ascii="StobiSerif Regular" w:eastAsia="Times New Roman" w:hAnsi="StobiSerif Regular" w:cs="Arial"/>
                <w:b/>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172699" w:rsidP="00575137">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Трактори и мотокултиватори</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625</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279</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346</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51</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219</w:t>
            </w:r>
          </w:p>
        </w:tc>
      </w:tr>
      <w:tr w:rsidR="00575137" w:rsidRPr="000B5E5D" w:rsidTr="001B32FA">
        <w:trPr>
          <w:trHeight w:val="269"/>
        </w:trPr>
        <w:tc>
          <w:tcPr>
            <w:tcW w:w="1185" w:type="dxa"/>
            <w:vMerge/>
            <w:tcBorders>
              <w:top w:val="nil"/>
              <w:left w:val="single" w:sz="4" w:space="0" w:color="auto"/>
              <w:bottom w:val="single" w:sz="4" w:space="0" w:color="auto"/>
              <w:right w:val="single" w:sz="4" w:space="0" w:color="auto"/>
            </w:tcBorders>
            <w:vAlign w:val="center"/>
            <w:hideMark/>
          </w:tcPr>
          <w:p w:rsidR="00575137" w:rsidRPr="00CB7625" w:rsidRDefault="00575137" w:rsidP="00575137">
            <w:pPr>
              <w:spacing w:after="0" w:line="240" w:lineRule="auto"/>
              <w:rPr>
                <w:rFonts w:ascii="StobiSerif Regular" w:eastAsia="Times New Roman" w:hAnsi="StobiSerif Regular" w:cs="Arial"/>
                <w:b/>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172699" w:rsidP="00575137">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Иригациони системи</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160</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105</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55</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21</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20</w:t>
            </w:r>
          </w:p>
        </w:tc>
      </w:tr>
      <w:tr w:rsidR="00575137" w:rsidRPr="000B5E5D" w:rsidTr="001B32FA">
        <w:trPr>
          <w:trHeight w:val="153"/>
        </w:trPr>
        <w:tc>
          <w:tcPr>
            <w:tcW w:w="1185" w:type="dxa"/>
            <w:vMerge/>
            <w:tcBorders>
              <w:top w:val="nil"/>
              <w:left w:val="single" w:sz="4" w:space="0" w:color="auto"/>
              <w:bottom w:val="single" w:sz="4" w:space="0" w:color="auto"/>
              <w:right w:val="single" w:sz="4" w:space="0" w:color="auto"/>
            </w:tcBorders>
            <w:vAlign w:val="center"/>
            <w:hideMark/>
          </w:tcPr>
          <w:p w:rsidR="00575137" w:rsidRPr="00CB7625" w:rsidRDefault="00575137" w:rsidP="00575137">
            <w:pPr>
              <w:spacing w:after="0" w:line="240" w:lineRule="auto"/>
              <w:rPr>
                <w:rFonts w:ascii="StobiSerif Regular" w:eastAsia="Times New Roman" w:hAnsi="StobiSerif Regular" w:cs="Arial"/>
                <w:b/>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172699" w:rsidP="00575137">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Реконс. овоштарници</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29</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19</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10</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7</w:t>
            </w:r>
          </w:p>
        </w:tc>
      </w:tr>
      <w:tr w:rsidR="00575137" w:rsidRPr="000B5E5D" w:rsidTr="001B32FA">
        <w:trPr>
          <w:trHeight w:val="271"/>
        </w:trPr>
        <w:tc>
          <w:tcPr>
            <w:tcW w:w="1185" w:type="dxa"/>
            <w:vMerge/>
            <w:tcBorders>
              <w:top w:val="nil"/>
              <w:left w:val="single" w:sz="4" w:space="0" w:color="auto"/>
              <w:bottom w:val="single" w:sz="4" w:space="0" w:color="auto"/>
              <w:right w:val="single" w:sz="4" w:space="0" w:color="auto"/>
            </w:tcBorders>
            <w:vAlign w:val="center"/>
            <w:hideMark/>
          </w:tcPr>
          <w:p w:rsidR="00575137" w:rsidRPr="00CB7625" w:rsidRDefault="00575137" w:rsidP="00575137">
            <w:pPr>
              <w:spacing w:after="0" w:line="240" w:lineRule="auto"/>
              <w:rPr>
                <w:rFonts w:ascii="StobiSerif Regular" w:eastAsia="Times New Roman" w:hAnsi="StobiSerif Regular" w:cs="Arial"/>
                <w:b/>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172699" w:rsidP="00575137">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Реконс. лозја</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20</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16</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4</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w:t>
            </w:r>
          </w:p>
        </w:tc>
      </w:tr>
      <w:tr w:rsidR="00575137" w:rsidRPr="000B5E5D" w:rsidTr="001B32FA">
        <w:trPr>
          <w:trHeight w:val="345"/>
        </w:trPr>
        <w:tc>
          <w:tcPr>
            <w:tcW w:w="1185" w:type="dxa"/>
            <w:vMerge w:val="restart"/>
            <w:tcBorders>
              <w:top w:val="nil"/>
              <w:left w:val="single" w:sz="4" w:space="0" w:color="auto"/>
              <w:right w:val="single" w:sz="4" w:space="0" w:color="auto"/>
            </w:tcBorders>
            <w:shd w:val="clear" w:color="auto" w:fill="auto"/>
            <w:noWrap/>
            <w:vAlign w:val="center"/>
            <w:hideMark/>
          </w:tcPr>
          <w:p w:rsidR="00575137" w:rsidRPr="00CB7625" w:rsidRDefault="00EF201C" w:rsidP="00575137">
            <w:pPr>
              <w:spacing w:after="0" w:line="240" w:lineRule="auto"/>
              <w:rPr>
                <w:rFonts w:ascii="StobiSerif Regular" w:eastAsia="Times New Roman" w:hAnsi="StobiSerif Regular" w:cs="Arial"/>
                <w:b/>
                <w:sz w:val="16"/>
                <w:szCs w:val="16"/>
                <w:lang w:val="en-US" w:eastAsia="mk-MK"/>
              </w:rPr>
            </w:pPr>
            <w:r w:rsidRPr="00CB7625">
              <w:rPr>
                <w:rFonts w:ascii="StobiSerif Regular" w:eastAsia="Times New Roman" w:hAnsi="StobiSerif Regular" w:cs="Arial"/>
                <w:b/>
                <w:sz w:val="16"/>
                <w:szCs w:val="16"/>
                <w:lang w:eastAsia="mk-MK"/>
              </w:rPr>
              <w:t xml:space="preserve">Градинарство </w:t>
            </w:r>
            <w:r w:rsidR="00575137" w:rsidRPr="00CB7625">
              <w:rPr>
                <w:rFonts w:ascii="StobiSerif Regular" w:eastAsia="Times New Roman" w:hAnsi="StobiSerif Regular" w:cs="Arial"/>
                <w:b/>
                <w:sz w:val="16"/>
                <w:szCs w:val="16"/>
                <w:lang w:val="en-US" w:eastAsia="mk-MK"/>
              </w:rPr>
              <w:t xml:space="preserve"> </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172699" w:rsidP="00575137">
            <w:pPr>
              <w:spacing w:after="0" w:line="240" w:lineRule="auto"/>
              <w:rPr>
                <w:rFonts w:ascii="StobiSerif Regular" w:eastAsia="Times New Roman" w:hAnsi="StobiSerif Regular" w:cs="Arial"/>
                <w:i/>
                <w:iCs/>
                <w:sz w:val="16"/>
                <w:szCs w:val="16"/>
                <w:lang w:eastAsia="mk-MK"/>
              </w:rPr>
            </w:pPr>
            <w:r>
              <w:rPr>
                <w:rFonts w:ascii="StobiSerif Regular" w:eastAsia="Times New Roman" w:hAnsi="StobiSerif Regular" w:cs="Arial"/>
                <w:sz w:val="16"/>
                <w:szCs w:val="16"/>
                <w:lang w:eastAsia="mk-MK"/>
              </w:rPr>
              <w:t>Земјоделски машини и опрема</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165</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78</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87</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4</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42</w:t>
            </w:r>
          </w:p>
        </w:tc>
      </w:tr>
      <w:tr w:rsidR="00575137" w:rsidRPr="000B5E5D" w:rsidTr="001B32FA">
        <w:trPr>
          <w:trHeight w:val="323"/>
        </w:trPr>
        <w:tc>
          <w:tcPr>
            <w:tcW w:w="1185" w:type="dxa"/>
            <w:vMerge/>
            <w:tcBorders>
              <w:left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rPr>
                <w:rFonts w:ascii="StobiSerif Regular" w:eastAsia="Times New Roman" w:hAnsi="StobiSerif Regular" w:cs="Arial"/>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0B5E5D" w:rsidRDefault="00172699" w:rsidP="00575137">
            <w:pPr>
              <w:spacing w:after="0" w:line="240" w:lineRule="auto"/>
              <w:rPr>
                <w:rFonts w:ascii="StobiSerif Regular" w:eastAsia="Times New Roman" w:hAnsi="StobiSerif Regular" w:cs="Arial"/>
                <w:i/>
                <w:iCs/>
                <w:sz w:val="16"/>
                <w:szCs w:val="16"/>
                <w:lang w:eastAsia="mk-MK"/>
              </w:rPr>
            </w:pPr>
            <w:r>
              <w:rPr>
                <w:rFonts w:ascii="StobiSerif Regular" w:eastAsia="Times New Roman" w:hAnsi="StobiSerif Regular" w:cs="Arial"/>
                <w:sz w:val="16"/>
                <w:szCs w:val="16"/>
                <w:lang w:eastAsia="mk-MK"/>
              </w:rPr>
              <w:t>Трактори и мотокултиватори</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790</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414</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376</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18</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149</w:t>
            </w:r>
          </w:p>
        </w:tc>
      </w:tr>
      <w:tr w:rsidR="00575137" w:rsidRPr="000B5E5D" w:rsidTr="001B32FA">
        <w:trPr>
          <w:trHeight w:val="279"/>
        </w:trPr>
        <w:tc>
          <w:tcPr>
            <w:tcW w:w="1185" w:type="dxa"/>
            <w:vMerge/>
            <w:tcBorders>
              <w:left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rPr>
                <w:rFonts w:ascii="StobiSerif Regular" w:eastAsia="Times New Roman" w:hAnsi="StobiSerif Regular" w:cs="Arial"/>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EF201C" w:rsidRDefault="00172699" w:rsidP="00575137">
            <w:pPr>
              <w:spacing w:after="0" w:line="240" w:lineRule="auto"/>
              <w:rPr>
                <w:rFonts w:ascii="StobiSerif Regular" w:eastAsia="Times New Roman" w:hAnsi="StobiSerif Regular" w:cs="Arial"/>
                <w:sz w:val="16"/>
                <w:szCs w:val="16"/>
                <w:lang w:eastAsia="mk-MK"/>
              </w:rPr>
            </w:pPr>
            <w:r w:rsidRPr="00EF201C">
              <w:rPr>
                <w:rFonts w:ascii="StobiSerif Regular" w:eastAsia="Times New Roman" w:hAnsi="StobiSerif Regular" w:cs="Arial"/>
                <w:sz w:val="16"/>
                <w:szCs w:val="16"/>
                <w:lang w:eastAsia="mk-MK"/>
              </w:rPr>
              <w:t>Иригациони системи</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22</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19</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r>
      <w:tr w:rsidR="00575137" w:rsidRPr="000B5E5D" w:rsidTr="001B32FA">
        <w:trPr>
          <w:trHeight w:val="235"/>
        </w:trPr>
        <w:tc>
          <w:tcPr>
            <w:tcW w:w="1185" w:type="dxa"/>
            <w:vMerge/>
            <w:tcBorders>
              <w:left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rPr>
                <w:rFonts w:ascii="StobiSerif Regular" w:eastAsia="Times New Roman" w:hAnsi="StobiSerif Regular" w:cs="Arial"/>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EF201C" w:rsidRDefault="00172699" w:rsidP="00EF201C">
            <w:pPr>
              <w:spacing w:after="0" w:line="240" w:lineRule="auto"/>
              <w:rPr>
                <w:rFonts w:ascii="StobiSerif Regular" w:eastAsia="Times New Roman" w:hAnsi="StobiSerif Regular" w:cs="Arial"/>
                <w:sz w:val="16"/>
                <w:szCs w:val="16"/>
                <w:lang w:eastAsia="mk-MK"/>
              </w:rPr>
            </w:pPr>
            <w:r w:rsidRPr="00EF201C">
              <w:rPr>
                <w:rFonts w:ascii="StobiSerif Regular" w:eastAsia="Times New Roman" w:hAnsi="StobiSerif Regular" w:cs="Arial"/>
                <w:sz w:val="16"/>
                <w:szCs w:val="16"/>
                <w:lang w:eastAsia="mk-MK"/>
              </w:rPr>
              <w:t>Конст./реконст. пластеници</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18</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12</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6</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4</w:t>
            </w:r>
          </w:p>
        </w:tc>
      </w:tr>
      <w:tr w:rsidR="00575137" w:rsidRPr="000B5E5D" w:rsidTr="001B32FA">
        <w:trPr>
          <w:trHeight w:val="268"/>
        </w:trPr>
        <w:tc>
          <w:tcPr>
            <w:tcW w:w="1185" w:type="dxa"/>
            <w:vMerge/>
            <w:tcBorders>
              <w:left w:val="single" w:sz="4" w:space="0" w:color="auto"/>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rPr>
                <w:rFonts w:ascii="StobiSerif Regular" w:eastAsia="Times New Roman" w:hAnsi="StobiSerif Regular" w:cs="Arial"/>
                <w:sz w:val="16"/>
                <w:szCs w:val="16"/>
                <w:lang w:eastAsia="mk-MK"/>
              </w:rPr>
            </w:pP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75137" w:rsidRPr="00EF201C" w:rsidRDefault="00172699" w:rsidP="00EF201C">
            <w:pPr>
              <w:spacing w:after="0" w:line="240" w:lineRule="auto"/>
              <w:rPr>
                <w:rFonts w:ascii="StobiSerif Regular" w:eastAsia="Times New Roman" w:hAnsi="StobiSerif Regular" w:cs="Arial"/>
                <w:sz w:val="16"/>
                <w:szCs w:val="16"/>
                <w:lang w:eastAsia="mk-MK"/>
              </w:rPr>
            </w:pPr>
            <w:r w:rsidRPr="00EF201C">
              <w:rPr>
                <w:rFonts w:ascii="StobiSerif Regular" w:eastAsia="Times New Roman" w:hAnsi="StobiSerif Regular" w:cs="Arial"/>
                <w:sz w:val="16"/>
                <w:szCs w:val="16"/>
                <w:lang w:eastAsia="mk-MK"/>
              </w:rPr>
              <w:t>Конст./реконст. оранжерии</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r>
      <w:tr w:rsidR="00575137" w:rsidRPr="000B5E5D" w:rsidTr="001B32FA">
        <w:trPr>
          <w:trHeight w:val="271"/>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 </w:t>
            </w:r>
          </w:p>
        </w:tc>
        <w:tc>
          <w:tcPr>
            <w:tcW w:w="2640" w:type="dxa"/>
            <w:tcBorders>
              <w:top w:val="nil"/>
              <w:left w:val="nil"/>
              <w:bottom w:val="single" w:sz="4" w:space="0" w:color="auto"/>
              <w:right w:val="single" w:sz="4" w:space="0" w:color="auto"/>
            </w:tcBorders>
            <w:shd w:val="clear" w:color="auto" w:fill="auto"/>
            <w:noWrap/>
            <w:vAlign w:val="center"/>
            <w:hideMark/>
          </w:tcPr>
          <w:p w:rsidR="00575137" w:rsidRPr="000B5E5D" w:rsidRDefault="001B32FA" w:rsidP="00575137">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Без тип</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36</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36</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 </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 </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 </w:t>
            </w:r>
          </w:p>
        </w:tc>
      </w:tr>
      <w:tr w:rsidR="00575137" w:rsidRPr="000B5E5D" w:rsidTr="001B32FA">
        <w:trPr>
          <w:trHeight w:val="275"/>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 </w:t>
            </w:r>
          </w:p>
        </w:tc>
        <w:tc>
          <w:tcPr>
            <w:tcW w:w="2640" w:type="dxa"/>
            <w:tcBorders>
              <w:top w:val="nil"/>
              <w:left w:val="nil"/>
              <w:bottom w:val="single" w:sz="4" w:space="0" w:color="auto"/>
              <w:right w:val="single" w:sz="4" w:space="0" w:color="auto"/>
            </w:tcBorders>
            <w:shd w:val="clear" w:color="auto" w:fill="auto"/>
            <w:noWrap/>
            <w:vAlign w:val="center"/>
            <w:hideMark/>
          </w:tcPr>
          <w:p w:rsidR="00575137" w:rsidRPr="001B32FA" w:rsidRDefault="00575137" w:rsidP="001B32FA">
            <w:pPr>
              <w:spacing w:after="0" w:line="240" w:lineRule="auto"/>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 </w:t>
            </w:r>
            <w:r w:rsidR="001B32FA">
              <w:rPr>
                <w:rFonts w:ascii="StobiSerif Regular" w:eastAsia="Times New Roman" w:hAnsi="StobiSerif Regular" w:cs="Arial"/>
                <w:sz w:val="16"/>
                <w:szCs w:val="16"/>
                <w:lang w:eastAsia="mk-MK"/>
              </w:rPr>
              <w:t xml:space="preserve">Вкупно </w:t>
            </w:r>
          </w:p>
        </w:tc>
        <w:tc>
          <w:tcPr>
            <w:tcW w:w="114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2532</w:t>
            </w:r>
          </w:p>
        </w:tc>
        <w:tc>
          <w:tcPr>
            <w:tcW w:w="960"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1266</w:t>
            </w:r>
          </w:p>
        </w:tc>
        <w:tc>
          <w:tcPr>
            <w:tcW w:w="996"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1266</w:t>
            </w:r>
          </w:p>
        </w:tc>
        <w:tc>
          <w:tcPr>
            <w:tcW w:w="1058"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141</w:t>
            </w:r>
          </w:p>
        </w:tc>
        <w:tc>
          <w:tcPr>
            <w:tcW w:w="1079" w:type="dxa"/>
            <w:tcBorders>
              <w:top w:val="nil"/>
              <w:left w:val="nil"/>
              <w:bottom w:val="single" w:sz="4" w:space="0" w:color="auto"/>
              <w:right w:val="single" w:sz="4" w:space="0" w:color="auto"/>
            </w:tcBorders>
            <w:shd w:val="clear" w:color="auto" w:fill="auto"/>
            <w:noWrap/>
            <w:vAlign w:val="center"/>
            <w:hideMark/>
          </w:tcPr>
          <w:p w:rsidR="00575137" w:rsidRPr="000B5E5D" w:rsidRDefault="00575137" w:rsidP="00575137">
            <w:pPr>
              <w:spacing w:after="0" w:line="240" w:lineRule="auto"/>
              <w:jc w:val="right"/>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693</w:t>
            </w:r>
          </w:p>
        </w:tc>
      </w:tr>
    </w:tbl>
    <w:p w:rsidR="00575137" w:rsidRPr="000B5E5D" w:rsidRDefault="001B32FA" w:rsidP="006D607B">
      <w:pPr>
        <w:spacing w:after="120"/>
        <w:jc w:val="both"/>
        <w:rPr>
          <w:rFonts w:ascii="StobiSerif Regular" w:hAnsi="StobiSerif Regular"/>
          <w:sz w:val="16"/>
          <w:szCs w:val="16"/>
          <w:lang w:val="en-GB"/>
        </w:rPr>
      </w:pPr>
      <w:r>
        <w:rPr>
          <w:rFonts w:ascii="StobiSerif Regular" w:eastAsia="Times New Roman" w:hAnsi="StobiSerif Regular" w:cs="Times New Roman"/>
          <w:sz w:val="16"/>
          <w:szCs w:val="16"/>
          <w:lang w:eastAsia="mk-MK"/>
        </w:rPr>
        <w:t>Извор: Мониторинг систем  (2016)</w:t>
      </w:r>
    </w:p>
    <w:p w:rsidR="005C658D" w:rsidRPr="000D0555" w:rsidRDefault="005C658D" w:rsidP="000359E3">
      <w:pPr>
        <w:spacing w:after="120"/>
        <w:ind w:firstLine="284"/>
        <w:jc w:val="both"/>
        <w:rPr>
          <w:rFonts w:ascii="StobiSerif Regular" w:hAnsi="StobiSerif Regular"/>
        </w:rPr>
      </w:pPr>
      <w:r w:rsidRPr="000D0555">
        <w:rPr>
          <w:rFonts w:ascii="StobiSerif Regular" w:hAnsi="StobiSerif Regular"/>
        </w:rPr>
        <w:t xml:space="preserve">Исто така, значителен интерес е забележан во побарувачката на поддршка на земјоделска механизација и опрема, каде беа поднесени 748 апликации во сите сектори заедно. 446 беа одобрени и 285 или 38% од поднесените биле исплатени. Овие податоци укажуваат на состојбата со земјоделска механизација во земјата - прашање </w:t>
      </w:r>
      <w:r w:rsidR="006B7A5F">
        <w:rPr>
          <w:rFonts w:ascii="StobiSerif Regular" w:hAnsi="StobiSerif Regular"/>
        </w:rPr>
        <w:t xml:space="preserve">за </w:t>
      </w:r>
      <w:r w:rsidRPr="000D0555">
        <w:rPr>
          <w:rFonts w:ascii="StobiSerif Regular" w:hAnsi="StobiSerif Regular"/>
        </w:rPr>
        <w:t>кое треба да се направат конкретни анализи.</w:t>
      </w:r>
    </w:p>
    <w:p w:rsidR="00A622CB" w:rsidRDefault="001948B3" w:rsidP="00A622CB">
      <w:pPr>
        <w:spacing w:before="120" w:after="120"/>
        <w:ind w:firstLine="284"/>
        <w:jc w:val="both"/>
        <w:rPr>
          <w:rFonts w:ascii="StobiSerif Regular" w:hAnsi="StobiSerif Regular"/>
        </w:rPr>
      </w:pPr>
      <w:r w:rsidRPr="000D0555">
        <w:rPr>
          <w:rFonts w:ascii="StobiSerif Regular" w:hAnsi="StobiSerif Regular"/>
        </w:rPr>
        <w:t>Солиден интер</w:t>
      </w:r>
      <w:r w:rsidR="00CB7625">
        <w:rPr>
          <w:rFonts w:ascii="StobiSerif Regular" w:hAnsi="StobiSerif Regular"/>
        </w:rPr>
        <w:t>ес има зако-финансирање на</w:t>
      </w:r>
      <w:r w:rsidRPr="000D0555">
        <w:rPr>
          <w:rFonts w:ascii="StobiSerif Regular" w:hAnsi="StobiSerif Regular"/>
        </w:rPr>
        <w:t xml:space="preserve"> набавка на системи за наводнување, каде 21 проекти беа реализирани и  исплатени. Сепак, ова е лоша стапка на имплементација, ако се земе во предвид фактот дека 182 апликации беа поднесени и 124 беа одобрени</w:t>
      </w:r>
      <w:r w:rsidR="00A622CB">
        <w:rPr>
          <w:rFonts w:ascii="StobiSerif Regular" w:hAnsi="StobiSerif Regular"/>
        </w:rPr>
        <w:t>.</w:t>
      </w:r>
    </w:p>
    <w:p w:rsidR="00196696" w:rsidRPr="006B7A5F" w:rsidRDefault="00A622CB" w:rsidP="002158FA">
      <w:pPr>
        <w:spacing w:after="0"/>
        <w:ind w:firstLine="284"/>
        <w:rPr>
          <w:rFonts w:ascii="StobiSerif Regular" w:hAnsi="StobiSerif Regular"/>
          <w:b/>
        </w:rPr>
      </w:pPr>
      <w:bookmarkStart w:id="30" w:name="_Toc485394988"/>
      <w:r w:rsidRPr="006B7A5F">
        <w:rPr>
          <w:rFonts w:ascii="StobiSerif Regular" w:hAnsi="StobiSerif Regular"/>
          <w:b/>
        </w:rPr>
        <w:t>Слика</w:t>
      </w:r>
      <w:r w:rsidR="00EC1053" w:rsidRPr="006B7A5F">
        <w:rPr>
          <w:rFonts w:ascii="StobiSerif Regular" w:hAnsi="StobiSerif Regular"/>
          <w:b/>
        </w:rPr>
        <w:t xml:space="preserve"> </w:t>
      </w:r>
      <w:r w:rsidR="00EC1053" w:rsidRPr="006B7A5F">
        <w:rPr>
          <w:rFonts w:ascii="StobiSerif Regular" w:hAnsi="StobiSerif Regular"/>
          <w:b/>
        </w:rPr>
        <w:fldChar w:fldCharType="begin"/>
      </w:r>
      <w:r w:rsidR="00EC1053" w:rsidRPr="006B7A5F">
        <w:rPr>
          <w:rFonts w:ascii="StobiSerif Regular" w:hAnsi="StobiSerif Regular"/>
          <w:b/>
        </w:rPr>
        <w:instrText xml:space="preserve"> SEQ Figure \* ARABIC </w:instrText>
      </w:r>
      <w:r w:rsidR="00EC1053" w:rsidRPr="006B7A5F">
        <w:rPr>
          <w:rFonts w:ascii="StobiSerif Regular" w:hAnsi="StobiSerif Regular"/>
          <w:b/>
        </w:rPr>
        <w:fldChar w:fldCharType="separate"/>
      </w:r>
      <w:r w:rsidR="00AA4CF3" w:rsidRPr="006B7A5F">
        <w:rPr>
          <w:rFonts w:ascii="StobiSerif Regular" w:hAnsi="StobiSerif Regular"/>
          <w:b/>
          <w:noProof/>
        </w:rPr>
        <w:t>4</w:t>
      </w:r>
      <w:r w:rsidR="00EC1053" w:rsidRPr="006B7A5F">
        <w:rPr>
          <w:rFonts w:ascii="StobiSerif Regular" w:hAnsi="StobiSerif Regular"/>
          <w:b/>
        </w:rPr>
        <w:fldChar w:fldCharType="end"/>
      </w:r>
      <w:r w:rsidR="00EC1053" w:rsidRPr="006B7A5F">
        <w:rPr>
          <w:rFonts w:ascii="StobiSerif Regular" w:hAnsi="StobiSerif Regular"/>
          <w:b/>
          <w:lang w:val="en-US"/>
        </w:rPr>
        <w:t>:</w:t>
      </w:r>
      <w:r w:rsidR="00784CD1" w:rsidRPr="006B7A5F">
        <w:rPr>
          <w:b/>
        </w:rPr>
        <w:t xml:space="preserve"> </w:t>
      </w:r>
      <w:r w:rsidRPr="006B7A5F">
        <w:rPr>
          <w:rFonts w:ascii="StobiSerif Regular" w:hAnsi="StobiSerif Regular"/>
          <w:b/>
        </w:rPr>
        <w:t xml:space="preserve">Апликации по тип на ивестиција во </w:t>
      </w:r>
      <w:r w:rsidR="002158FA" w:rsidRPr="006B7A5F">
        <w:rPr>
          <w:rFonts w:ascii="StobiSerif Regular" w:hAnsi="StobiSerif Regular"/>
          <w:b/>
        </w:rPr>
        <w:t>М101</w:t>
      </w:r>
      <w:bookmarkEnd w:id="30"/>
    </w:p>
    <w:p w:rsidR="00575137" w:rsidRPr="00196696" w:rsidRDefault="00196696" w:rsidP="00196696">
      <w:pPr>
        <w:spacing w:before="120" w:after="120"/>
        <w:ind w:firstLine="284"/>
        <w:jc w:val="both"/>
        <w:rPr>
          <w:rFonts w:ascii="StobiSerif Regular" w:eastAsia="Times New Roman" w:hAnsi="StobiSerif Regular" w:cs="Times New Roman"/>
          <w:lang w:eastAsia="en-GB"/>
        </w:rPr>
      </w:pPr>
      <w:r>
        <w:rPr>
          <w:rFonts w:ascii="StobiSerif Regular" w:eastAsia="Times New Roman" w:hAnsi="StobiSerif Regular" w:cs="Times New Roman"/>
          <w:noProof/>
          <w:lang w:val="en-US"/>
        </w:rPr>
        <w:drawing>
          <wp:inline distT="0" distB="0" distL="0" distR="0" wp14:anchorId="58B92AE7" wp14:editId="52AFD0C2">
            <wp:extent cx="6184093" cy="2177646"/>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075" cy="2179048"/>
                    </a:xfrm>
                    <a:prstGeom prst="rect">
                      <a:avLst/>
                    </a:prstGeom>
                    <a:noFill/>
                  </pic:spPr>
                </pic:pic>
              </a:graphicData>
            </a:graphic>
          </wp:inline>
        </w:drawing>
      </w:r>
      <w:r w:rsidR="00C11701">
        <w:rPr>
          <w:rFonts w:ascii="StobiSerif Regular" w:eastAsia="Times New Roman" w:hAnsi="StobiSerif Regular" w:cs="Times New Roman"/>
          <w:sz w:val="16"/>
          <w:szCs w:val="16"/>
          <w:lang w:eastAsia="mk-MK"/>
        </w:rPr>
        <w:t>Извор: Мониторинг систем  (2016)</w:t>
      </w:r>
    </w:p>
    <w:p w:rsidR="00B64A08" w:rsidRDefault="000D0555" w:rsidP="006B7A5F">
      <w:pPr>
        <w:spacing w:before="120" w:after="120"/>
        <w:jc w:val="both"/>
        <w:rPr>
          <w:rFonts w:ascii="StobiSerif Regular" w:eastAsia="Times New Roman" w:hAnsi="StobiSerif Regular" w:cs="Times New Roman"/>
          <w:lang w:eastAsia="en-GB"/>
        </w:rPr>
      </w:pPr>
      <w:r w:rsidRPr="000D0555">
        <w:rPr>
          <w:rFonts w:ascii="StobiSerif Regular" w:eastAsia="Times New Roman" w:hAnsi="StobiSerif Regular" w:cs="Times New Roman"/>
          <w:lang w:eastAsia="en-GB"/>
        </w:rPr>
        <w:t xml:space="preserve">Во споредба со 2015 година (28,6%), стапката на </w:t>
      </w:r>
      <w:r w:rsidR="00B64A08">
        <w:rPr>
          <w:rFonts w:ascii="StobiSerif Regular" w:eastAsia="Times New Roman" w:hAnsi="StobiSerif Regular" w:cs="Times New Roman"/>
          <w:lang w:eastAsia="en-GB"/>
        </w:rPr>
        <w:t>одобрување (одобрени / поднесени</w:t>
      </w:r>
      <w:r w:rsidRPr="000D0555">
        <w:rPr>
          <w:rFonts w:ascii="StobiSerif Regular" w:eastAsia="Times New Roman" w:hAnsi="StobiSerif Regular" w:cs="Times New Roman"/>
          <w:lang w:eastAsia="en-GB"/>
        </w:rPr>
        <w:t xml:space="preserve">) во М 101 е зголемена и изнесува 50%. Апликациите во оваа мерка се од мала вредност. </w:t>
      </w:r>
    </w:p>
    <w:p w:rsidR="00FC5AA7" w:rsidRPr="006B7A5F" w:rsidRDefault="00A622CB" w:rsidP="00367879">
      <w:pPr>
        <w:spacing w:after="0"/>
        <w:rPr>
          <w:rFonts w:ascii="StobiSerif Regular" w:eastAsia="Times New Roman" w:hAnsi="StobiSerif Regular" w:cs="Times New Roman"/>
          <w:b/>
          <w:lang w:eastAsia="en-GB"/>
        </w:rPr>
      </w:pPr>
      <w:bookmarkStart w:id="31" w:name="_Toc485394902"/>
      <w:r w:rsidRPr="006B7A5F">
        <w:rPr>
          <w:rFonts w:ascii="StobiSerif Regular" w:eastAsia="Times New Roman" w:hAnsi="StobiSerif Regular" w:cs="Times New Roman"/>
          <w:b/>
          <w:lang w:eastAsia="zh-CN"/>
        </w:rPr>
        <w:t>Табела</w:t>
      </w:r>
      <w:r w:rsidR="00BC15CF" w:rsidRPr="006B7A5F">
        <w:rPr>
          <w:rFonts w:ascii="StobiSerif Regular" w:eastAsia="Times New Roman" w:hAnsi="StobiSerif Regular" w:cs="Times New Roman"/>
          <w:b/>
          <w:lang w:val="en-GB" w:eastAsia="zh-CN"/>
        </w:rPr>
        <w:t xml:space="preserve"> </w:t>
      </w:r>
      <w:r w:rsidR="00BC15CF" w:rsidRPr="006B7A5F">
        <w:rPr>
          <w:rFonts w:ascii="StobiSerif Regular" w:eastAsia="Times New Roman" w:hAnsi="StobiSerif Regular" w:cs="Times New Roman"/>
          <w:b/>
          <w:lang w:val="en-GB" w:eastAsia="zh-CN"/>
        </w:rPr>
        <w:fldChar w:fldCharType="begin"/>
      </w:r>
      <w:r w:rsidR="00BC15CF" w:rsidRPr="006B7A5F">
        <w:rPr>
          <w:rFonts w:ascii="StobiSerif Regular" w:eastAsia="Times New Roman" w:hAnsi="StobiSerif Regular" w:cs="Times New Roman"/>
          <w:b/>
          <w:lang w:val="en-GB" w:eastAsia="zh-CN"/>
        </w:rPr>
        <w:instrText xml:space="preserve"> SEQ Table \* ARABIC </w:instrText>
      </w:r>
      <w:r w:rsidR="00BC15CF" w:rsidRPr="006B7A5F">
        <w:rPr>
          <w:rFonts w:ascii="StobiSerif Regular" w:eastAsia="Times New Roman" w:hAnsi="StobiSerif Regular" w:cs="Times New Roman"/>
          <w:b/>
          <w:lang w:val="en-GB" w:eastAsia="zh-CN"/>
        </w:rPr>
        <w:fldChar w:fldCharType="separate"/>
      </w:r>
      <w:r w:rsidR="00EC1053" w:rsidRPr="006B7A5F">
        <w:rPr>
          <w:rFonts w:ascii="StobiSerif Regular" w:eastAsia="Times New Roman" w:hAnsi="StobiSerif Regular" w:cs="Times New Roman"/>
          <w:b/>
          <w:noProof/>
          <w:lang w:val="en-GB" w:eastAsia="zh-CN"/>
        </w:rPr>
        <w:t>10</w:t>
      </w:r>
      <w:r w:rsidR="00BC15CF" w:rsidRPr="006B7A5F">
        <w:rPr>
          <w:rFonts w:ascii="StobiSerif Regular" w:eastAsia="Times New Roman" w:hAnsi="StobiSerif Regular" w:cs="Times New Roman"/>
          <w:b/>
          <w:lang w:val="en-GB" w:eastAsia="zh-CN"/>
        </w:rPr>
        <w:fldChar w:fldCharType="end"/>
      </w:r>
      <w:r w:rsidR="00BC15CF" w:rsidRPr="006B7A5F">
        <w:rPr>
          <w:rFonts w:ascii="StobiSerif Regular" w:eastAsia="Times New Roman" w:hAnsi="StobiSerif Regular" w:cs="Times New Roman"/>
          <w:b/>
          <w:lang w:val="en-GB" w:eastAsia="zh-CN"/>
        </w:rPr>
        <w:t xml:space="preserve">: </w:t>
      </w:r>
      <w:r w:rsidRPr="006B7A5F">
        <w:rPr>
          <w:rFonts w:ascii="StobiSerif Regular" w:eastAsia="Times New Roman" w:hAnsi="StobiSerif Regular" w:cs="Times New Roman"/>
          <w:b/>
          <w:bCs/>
          <w:lang w:val="en-US"/>
        </w:rPr>
        <w:t>Показатели на квалитет на апликации за Мерка 101</w:t>
      </w:r>
      <w:bookmarkEnd w:id="31"/>
    </w:p>
    <w:tbl>
      <w:tblPr>
        <w:tblW w:w="0" w:type="auto"/>
        <w:tblInd w:w="108" w:type="dxa"/>
        <w:tblCellMar>
          <w:left w:w="0" w:type="dxa"/>
          <w:right w:w="0" w:type="dxa"/>
        </w:tblCellMar>
        <w:tblLook w:val="04A0" w:firstRow="1" w:lastRow="0" w:firstColumn="1" w:lastColumn="0" w:noHBand="0" w:noVBand="1"/>
      </w:tblPr>
      <w:tblGrid>
        <w:gridCol w:w="5760"/>
        <w:gridCol w:w="3312"/>
      </w:tblGrid>
      <w:tr w:rsidR="00817366" w:rsidRPr="000B5E5D" w:rsidTr="00817366">
        <w:trPr>
          <w:trHeight w:val="260"/>
        </w:trPr>
        <w:tc>
          <w:tcPr>
            <w:tcW w:w="9072"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C5AA7" w:rsidRPr="000B5E5D" w:rsidRDefault="00FC5AA7" w:rsidP="002158FA">
            <w:pPr>
              <w:spacing w:after="0" w:line="240" w:lineRule="auto"/>
              <w:jc w:val="center"/>
              <w:rPr>
                <w:rFonts w:ascii="StobiSerif Regular" w:eastAsia="Times New Roman" w:hAnsi="StobiSerif Regular" w:cs="Times New Roman"/>
                <w:b/>
                <w:bCs/>
              </w:rPr>
            </w:pPr>
            <w:r w:rsidRPr="000B5E5D">
              <w:rPr>
                <w:rFonts w:ascii="StobiSerif Regular" w:eastAsia="Times New Roman" w:hAnsi="StobiSerif Regular" w:cs="Times New Roman"/>
                <w:lang w:val="en-GB" w:eastAsia="en-GB"/>
              </w:rPr>
              <w:br w:type="page"/>
            </w:r>
            <w:r w:rsidRPr="000B5E5D">
              <w:rPr>
                <w:rFonts w:ascii="StobiSerif Regular" w:eastAsia="Times New Roman" w:hAnsi="StobiSerif Regular" w:cs="Times New Roman"/>
                <w:lang w:val="en-GB" w:eastAsia="en-GB"/>
              </w:rPr>
              <w:br w:type="page"/>
            </w:r>
            <w:r w:rsidRPr="000B5E5D">
              <w:rPr>
                <w:rFonts w:ascii="StobiSerif Regular" w:eastAsia="Times New Roman" w:hAnsi="StobiSerif Regular" w:cs="Times New Roman"/>
                <w:lang w:val="en-GB" w:eastAsia="en-GB"/>
              </w:rPr>
              <w:br w:type="page"/>
            </w:r>
            <w:r w:rsidRPr="000B5E5D">
              <w:rPr>
                <w:rFonts w:ascii="StobiSerif Regular" w:eastAsia="Times New Roman" w:hAnsi="StobiSerif Regular" w:cs="Times New Roman"/>
                <w:b/>
                <w:bCs/>
                <w:lang w:val="en-GB"/>
              </w:rPr>
              <w:t xml:space="preserve"> </w:t>
            </w:r>
          </w:p>
        </w:tc>
      </w:tr>
      <w:tr w:rsidR="009615C6" w:rsidRPr="000B5E5D" w:rsidTr="00817366">
        <w:trPr>
          <w:trHeight w:val="350"/>
        </w:trPr>
        <w:tc>
          <w:tcPr>
            <w:tcW w:w="57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5C6" w:rsidRPr="00E02730" w:rsidRDefault="009615C6" w:rsidP="001E2FAB">
            <w:pPr>
              <w:spacing w:after="0" w:line="240" w:lineRule="auto"/>
              <w:rPr>
                <w:rFonts w:ascii="StobiSerif Regular" w:eastAsia="Times New Roman" w:hAnsi="StobiSerif Regular" w:cs="Arial"/>
                <w:lang w:val="en-US"/>
              </w:rPr>
            </w:pPr>
            <w:r w:rsidRPr="00E02730">
              <w:rPr>
                <w:rFonts w:ascii="StobiSerif Regular" w:eastAsia="Times New Roman" w:hAnsi="StobiSerif Regular" w:cs="Arial"/>
                <w:sz w:val="20"/>
                <w:szCs w:val="20"/>
              </w:rPr>
              <w:t>Вкупен број на поднесени барања</w:t>
            </w:r>
          </w:p>
        </w:tc>
        <w:tc>
          <w:tcPr>
            <w:tcW w:w="3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5C6" w:rsidRPr="000B5E5D" w:rsidRDefault="009615C6" w:rsidP="00FC5AA7">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2532</w:t>
            </w:r>
          </w:p>
        </w:tc>
      </w:tr>
      <w:tr w:rsidR="009615C6" w:rsidRPr="000B5E5D" w:rsidTr="00817366">
        <w:trPr>
          <w:trHeight w:val="350"/>
        </w:trPr>
        <w:tc>
          <w:tcPr>
            <w:tcW w:w="57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5C6" w:rsidRPr="00E02730" w:rsidRDefault="009615C6" w:rsidP="001E2FAB">
            <w:pPr>
              <w:spacing w:after="0" w:line="240" w:lineRule="auto"/>
              <w:rPr>
                <w:rFonts w:ascii="StobiSerif Regular" w:eastAsia="Times New Roman" w:hAnsi="StobiSerif Regular" w:cs="Arial"/>
                <w:lang w:val="en-US"/>
              </w:rPr>
            </w:pPr>
            <w:r w:rsidRPr="00E02730">
              <w:rPr>
                <w:rFonts w:ascii="StobiSerif Regular" w:eastAsia="Times New Roman" w:hAnsi="StobiSerif Regular" w:cs="Arial"/>
                <w:sz w:val="20"/>
                <w:szCs w:val="20"/>
              </w:rPr>
              <w:t>Број на одобрени договори</w:t>
            </w:r>
          </w:p>
        </w:tc>
        <w:tc>
          <w:tcPr>
            <w:tcW w:w="3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5C6" w:rsidRPr="000B5E5D" w:rsidRDefault="009615C6" w:rsidP="00FC5AA7">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1266</w:t>
            </w:r>
          </w:p>
        </w:tc>
      </w:tr>
      <w:tr w:rsidR="009615C6" w:rsidRPr="000B5E5D" w:rsidTr="00817366">
        <w:trPr>
          <w:trHeight w:val="350"/>
        </w:trPr>
        <w:tc>
          <w:tcPr>
            <w:tcW w:w="57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15C6" w:rsidRPr="00E02730" w:rsidRDefault="009615C6" w:rsidP="001E2FAB">
            <w:pPr>
              <w:spacing w:after="0" w:line="240" w:lineRule="auto"/>
              <w:rPr>
                <w:rFonts w:ascii="StobiSerif Regular" w:eastAsia="Times New Roman" w:hAnsi="StobiSerif Regular" w:cs="Arial"/>
                <w:lang w:val="en-US"/>
              </w:rPr>
            </w:pPr>
            <w:r w:rsidRPr="00E02730">
              <w:rPr>
                <w:rFonts w:ascii="StobiSerif Regular" w:eastAsia="Times New Roman" w:hAnsi="StobiSerif Regular" w:cs="Arial"/>
                <w:sz w:val="20"/>
                <w:szCs w:val="20"/>
              </w:rPr>
              <w:t>Број на исплатени договори</w:t>
            </w:r>
          </w:p>
        </w:tc>
        <w:tc>
          <w:tcPr>
            <w:tcW w:w="3312" w:type="dxa"/>
            <w:tcBorders>
              <w:top w:val="nil"/>
              <w:left w:val="nil"/>
              <w:bottom w:val="single" w:sz="8" w:space="0" w:color="auto"/>
              <w:right w:val="single" w:sz="8" w:space="0" w:color="auto"/>
            </w:tcBorders>
            <w:tcMar>
              <w:top w:w="0" w:type="dxa"/>
              <w:left w:w="108" w:type="dxa"/>
              <w:bottom w:w="0" w:type="dxa"/>
              <w:right w:w="108" w:type="dxa"/>
            </w:tcMar>
            <w:vAlign w:val="center"/>
          </w:tcPr>
          <w:p w:rsidR="009615C6" w:rsidRPr="000B5E5D" w:rsidRDefault="009615C6" w:rsidP="00FC5AA7">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693</w:t>
            </w:r>
          </w:p>
        </w:tc>
      </w:tr>
      <w:tr w:rsidR="009615C6" w:rsidRPr="000B5E5D" w:rsidTr="00817366">
        <w:trPr>
          <w:trHeight w:val="350"/>
        </w:trPr>
        <w:tc>
          <w:tcPr>
            <w:tcW w:w="57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15C6" w:rsidRPr="00E02730" w:rsidRDefault="009615C6" w:rsidP="001E2FAB">
            <w:pPr>
              <w:spacing w:after="0" w:line="240" w:lineRule="auto"/>
              <w:rPr>
                <w:rFonts w:ascii="StobiSerif Regular" w:eastAsia="Times New Roman" w:hAnsi="StobiSerif Regular" w:cs="Arial"/>
                <w:sz w:val="20"/>
                <w:szCs w:val="20"/>
                <w:lang w:eastAsia="en-GB"/>
              </w:rPr>
            </w:pPr>
            <w:r w:rsidRPr="00E02730">
              <w:rPr>
                <w:rFonts w:ascii="StobiSerif Regular" w:eastAsia="Times New Roman" w:hAnsi="StobiSerif Regular" w:cs="Arial"/>
                <w:sz w:val="20"/>
                <w:szCs w:val="20"/>
                <w:lang w:eastAsia="en-GB"/>
              </w:rPr>
              <w:t xml:space="preserve">Број на раскинати договори </w:t>
            </w:r>
          </w:p>
        </w:tc>
        <w:tc>
          <w:tcPr>
            <w:tcW w:w="3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15C6" w:rsidRPr="000B5E5D" w:rsidRDefault="009615C6" w:rsidP="00FC5AA7">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141</w:t>
            </w:r>
          </w:p>
        </w:tc>
      </w:tr>
      <w:tr w:rsidR="009615C6" w:rsidRPr="000B5E5D" w:rsidTr="00817366">
        <w:trPr>
          <w:trHeight w:val="350"/>
        </w:trPr>
        <w:tc>
          <w:tcPr>
            <w:tcW w:w="576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9615C6" w:rsidRPr="00E02730" w:rsidRDefault="009615C6" w:rsidP="001E2FAB">
            <w:pPr>
              <w:spacing w:after="0" w:line="240" w:lineRule="auto"/>
              <w:rPr>
                <w:rFonts w:ascii="StobiSerif Regular" w:eastAsia="Times New Roman" w:hAnsi="StobiSerif Regular" w:cs="Arial"/>
                <w:sz w:val="20"/>
                <w:szCs w:val="20"/>
                <w:lang w:val="en-GB" w:eastAsia="en-GB"/>
              </w:rPr>
            </w:pPr>
            <w:r w:rsidRPr="00E02730">
              <w:rPr>
                <w:rFonts w:ascii="StobiSerif Regular" w:eastAsia="Times New Roman" w:hAnsi="StobiSerif Regular" w:cs="Arial"/>
                <w:sz w:val="20"/>
                <w:szCs w:val="20"/>
                <w:lang w:eastAsia="en-GB"/>
              </w:rPr>
              <w:t>Број на тековни договори</w:t>
            </w:r>
          </w:p>
        </w:tc>
        <w:tc>
          <w:tcPr>
            <w:tcW w:w="331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615C6" w:rsidRPr="000B5E5D" w:rsidRDefault="009615C6" w:rsidP="00FC5AA7">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432</w:t>
            </w:r>
          </w:p>
        </w:tc>
      </w:tr>
    </w:tbl>
    <w:tbl>
      <w:tblPr>
        <w:tblStyle w:val="TableGrid3"/>
        <w:tblW w:w="0" w:type="auto"/>
        <w:tblInd w:w="108" w:type="dxa"/>
        <w:tblLook w:val="04A0" w:firstRow="1" w:lastRow="0" w:firstColumn="1" w:lastColumn="0" w:noHBand="0" w:noVBand="1"/>
      </w:tblPr>
      <w:tblGrid>
        <w:gridCol w:w="5742"/>
        <w:gridCol w:w="3330"/>
      </w:tblGrid>
      <w:tr w:rsidR="002D5400" w:rsidRPr="000B5E5D" w:rsidTr="002D5400">
        <w:trPr>
          <w:trHeight w:val="80"/>
        </w:trPr>
        <w:tc>
          <w:tcPr>
            <w:tcW w:w="9072" w:type="dxa"/>
            <w:gridSpan w:val="2"/>
            <w:shd w:val="clear" w:color="auto" w:fill="92D050"/>
            <w:vAlign w:val="center"/>
          </w:tcPr>
          <w:p w:rsidR="00FC5AA7" w:rsidRPr="000B5E5D" w:rsidRDefault="00FC5AA7" w:rsidP="00FC5AA7">
            <w:pPr>
              <w:spacing w:after="120"/>
              <w:jc w:val="center"/>
              <w:rPr>
                <w:rFonts w:ascii="StobiSerif Regular" w:hAnsi="StobiSerif Regular" w:cs="Arial"/>
              </w:rPr>
            </w:pPr>
          </w:p>
        </w:tc>
      </w:tr>
      <w:tr w:rsidR="009615C6" w:rsidRPr="000B5E5D" w:rsidTr="001E2FAB">
        <w:trPr>
          <w:trHeight w:val="350"/>
        </w:trPr>
        <w:tc>
          <w:tcPr>
            <w:tcW w:w="5742" w:type="dxa"/>
            <w:vAlign w:val="center"/>
          </w:tcPr>
          <w:p w:rsidR="009615C6" w:rsidRPr="00E02730" w:rsidRDefault="009615C6" w:rsidP="001E2FAB">
            <w:pPr>
              <w:spacing w:after="120"/>
              <w:rPr>
                <w:rFonts w:ascii="StobiSerif Regular" w:hAnsi="StobiSerif Regular" w:cs="Arial"/>
                <w:lang w:eastAsia="en-GB"/>
              </w:rPr>
            </w:pPr>
            <w:r w:rsidRPr="00E02730">
              <w:rPr>
                <w:rFonts w:ascii="StobiSerif Regular" w:hAnsi="StobiSerif Regular" w:cs="Arial"/>
                <w:lang w:eastAsia="en-GB"/>
              </w:rPr>
              <w:t>%  на одобрување на барањата (одобрени/</w:t>
            </w:r>
            <w:r>
              <w:rPr>
                <w:rFonts w:ascii="StobiSerif Regular" w:hAnsi="StobiSerif Regular" w:cs="Arial"/>
                <w:lang w:val="mk-MK" w:eastAsia="en-GB"/>
              </w:rPr>
              <w:t>прифатени</w:t>
            </w:r>
            <w:r w:rsidRPr="00E02730">
              <w:rPr>
                <w:rFonts w:ascii="StobiSerif Regular" w:hAnsi="StobiSerif Regular" w:cs="Arial"/>
                <w:lang w:eastAsia="en-GB"/>
              </w:rPr>
              <w:t>)</w:t>
            </w:r>
          </w:p>
        </w:tc>
        <w:tc>
          <w:tcPr>
            <w:tcW w:w="3330" w:type="dxa"/>
            <w:vAlign w:val="center"/>
          </w:tcPr>
          <w:p w:rsidR="009615C6" w:rsidRPr="000B5E5D" w:rsidRDefault="009615C6" w:rsidP="00FC5AA7">
            <w:pPr>
              <w:spacing w:after="120"/>
              <w:jc w:val="right"/>
              <w:rPr>
                <w:rFonts w:ascii="StobiSerif Regular" w:hAnsi="StobiSerif Regular" w:cs="Arial"/>
              </w:rPr>
            </w:pPr>
            <w:r w:rsidRPr="000B5E5D">
              <w:rPr>
                <w:rFonts w:ascii="StobiSerif Regular" w:hAnsi="StobiSerif Regular" w:cs="Arial"/>
              </w:rPr>
              <w:t>50%</w:t>
            </w:r>
          </w:p>
        </w:tc>
      </w:tr>
      <w:tr w:rsidR="009615C6" w:rsidRPr="000B5E5D" w:rsidTr="001E2FAB">
        <w:trPr>
          <w:trHeight w:val="350"/>
        </w:trPr>
        <w:tc>
          <w:tcPr>
            <w:tcW w:w="5742" w:type="dxa"/>
            <w:vAlign w:val="center"/>
          </w:tcPr>
          <w:p w:rsidR="009615C6" w:rsidRPr="00E02730" w:rsidRDefault="009615C6" w:rsidP="001E2FAB">
            <w:pPr>
              <w:spacing w:after="120"/>
              <w:rPr>
                <w:rFonts w:ascii="StobiSerif Regular" w:hAnsi="StobiSerif Regular" w:cs="Arial"/>
                <w:lang w:eastAsia="en-GB"/>
              </w:rPr>
            </w:pPr>
            <w:r w:rsidRPr="00E02730">
              <w:rPr>
                <w:rFonts w:ascii="StobiSerif Regular" w:hAnsi="StobiSerif Regular" w:cs="Arial"/>
                <w:lang w:eastAsia="en-GB"/>
              </w:rPr>
              <w:t>%  на раскинување на договори (раскинати/одобрени)</w:t>
            </w:r>
          </w:p>
        </w:tc>
        <w:tc>
          <w:tcPr>
            <w:tcW w:w="3330" w:type="dxa"/>
            <w:vAlign w:val="center"/>
          </w:tcPr>
          <w:p w:rsidR="009615C6" w:rsidRPr="000B5E5D" w:rsidRDefault="009615C6" w:rsidP="00FC5AA7">
            <w:pPr>
              <w:spacing w:after="120"/>
              <w:jc w:val="right"/>
              <w:rPr>
                <w:rFonts w:ascii="StobiSerif Regular" w:hAnsi="StobiSerif Regular" w:cs="Arial"/>
              </w:rPr>
            </w:pPr>
            <w:r w:rsidRPr="000B5E5D">
              <w:rPr>
                <w:rFonts w:ascii="StobiSerif Regular" w:hAnsi="StobiSerif Regular" w:cs="Arial"/>
              </w:rPr>
              <w:t>11.1%</w:t>
            </w:r>
          </w:p>
        </w:tc>
      </w:tr>
      <w:tr w:rsidR="009615C6" w:rsidRPr="000B5E5D" w:rsidTr="001E2FAB">
        <w:trPr>
          <w:trHeight w:val="350"/>
        </w:trPr>
        <w:tc>
          <w:tcPr>
            <w:tcW w:w="5742" w:type="dxa"/>
            <w:vAlign w:val="center"/>
          </w:tcPr>
          <w:p w:rsidR="009615C6" w:rsidRPr="00E02730" w:rsidRDefault="009615C6" w:rsidP="001E2FAB">
            <w:pPr>
              <w:spacing w:after="120"/>
              <w:rPr>
                <w:rFonts w:ascii="StobiSerif Regular" w:hAnsi="StobiSerif Regular" w:cs="Arial"/>
                <w:lang w:eastAsia="en-GB"/>
              </w:rPr>
            </w:pPr>
            <w:r w:rsidRPr="00E02730">
              <w:rPr>
                <w:rFonts w:ascii="StobiSerif Regular" w:hAnsi="StobiSerif Regular" w:cs="Arial"/>
                <w:lang w:eastAsia="en-GB"/>
              </w:rPr>
              <w:t>%  на исплата на договори (исплатени/(одобрени-раскинати)</w:t>
            </w:r>
          </w:p>
        </w:tc>
        <w:tc>
          <w:tcPr>
            <w:tcW w:w="3330" w:type="dxa"/>
            <w:vAlign w:val="center"/>
          </w:tcPr>
          <w:p w:rsidR="009615C6" w:rsidRPr="000B5E5D" w:rsidRDefault="009615C6" w:rsidP="00FC5AA7">
            <w:pPr>
              <w:spacing w:after="120"/>
              <w:jc w:val="right"/>
              <w:rPr>
                <w:rFonts w:ascii="StobiSerif Regular" w:hAnsi="StobiSerif Regular" w:cs="Arial"/>
              </w:rPr>
            </w:pPr>
            <w:r w:rsidRPr="000B5E5D">
              <w:rPr>
                <w:rFonts w:ascii="StobiSerif Regular" w:hAnsi="StobiSerif Regular" w:cs="Arial"/>
              </w:rPr>
              <w:t>61.6 %</w:t>
            </w:r>
          </w:p>
        </w:tc>
      </w:tr>
    </w:tbl>
    <w:p w:rsidR="00E442FF" w:rsidRPr="000B5E5D" w:rsidRDefault="009615C6" w:rsidP="00E442FF">
      <w:pPr>
        <w:spacing w:after="0"/>
        <w:jc w:val="both"/>
        <w:rPr>
          <w:rFonts w:ascii="StobiSerif Regular" w:hAnsi="StobiSerif Regular"/>
          <w:highlight w:val="yellow"/>
        </w:rPr>
      </w:pPr>
      <w:r>
        <w:rPr>
          <w:rFonts w:ascii="StobiSerif Regular" w:eastAsia="Times New Roman" w:hAnsi="StobiSerif Regular" w:cs="Times New Roman"/>
          <w:sz w:val="16"/>
          <w:szCs w:val="16"/>
          <w:lang w:eastAsia="mk-MK"/>
        </w:rPr>
        <w:t>Извор: Мониторинг систем  (2016)</w:t>
      </w:r>
    </w:p>
    <w:p w:rsidR="00B64A08" w:rsidRDefault="00B64A08" w:rsidP="000359E3">
      <w:pPr>
        <w:spacing w:before="120" w:after="120"/>
        <w:ind w:firstLine="284"/>
        <w:jc w:val="both"/>
        <w:rPr>
          <w:rFonts w:ascii="StobiSerif Regular" w:hAnsi="StobiSerif Regular"/>
        </w:rPr>
      </w:pPr>
      <w:r w:rsidRPr="00B64A08">
        <w:rPr>
          <w:rFonts w:ascii="StobiSerif Regular" w:hAnsi="StobiSerif Regular"/>
        </w:rPr>
        <w:t>11,1% односно 141 договори од вкупно склучените договори</w:t>
      </w:r>
      <w:r w:rsidR="003D6B78">
        <w:rPr>
          <w:rFonts w:ascii="StobiSerif Regular" w:hAnsi="StobiSerif Regular"/>
        </w:rPr>
        <w:t>,</w:t>
      </w:r>
      <w:r w:rsidRPr="00B64A08">
        <w:rPr>
          <w:rFonts w:ascii="StobiSerif Regular" w:hAnsi="StobiSerif Regular"/>
        </w:rPr>
        <w:t xml:space="preserve"> во оваа мерка беа откажани. Огромното мнозинство или 87 од договорите се </w:t>
      </w:r>
      <w:r w:rsidR="003D6B78">
        <w:rPr>
          <w:rFonts w:ascii="StobiSerif Regular" w:hAnsi="StobiSerif Regular"/>
        </w:rPr>
        <w:t>раскинати</w:t>
      </w:r>
      <w:r w:rsidRPr="00B64A08">
        <w:rPr>
          <w:rFonts w:ascii="StobiSerif Regular" w:hAnsi="StobiSerif Regular"/>
        </w:rPr>
        <w:t xml:space="preserve"> поради </w:t>
      </w:r>
      <w:r>
        <w:rPr>
          <w:rFonts w:ascii="StobiSerif Regular" w:hAnsi="StobiSerif Regular"/>
        </w:rPr>
        <w:t xml:space="preserve"> не </w:t>
      </w:r>
      <w:r w:rsidRPr="00B64A08">
        <w:rPr>
          <w:rFonts w:ascii="StobiSerif Regular" w:hAnsi="StobiSerif Regular"/>
        </w:rPr>
        <w:t>поднесе</w:t>
      </w:r>
      <w:r>
        <w:rPr>
          <w:rFonts w:ascii="StobiSerif Regular" w:hAnsi="StobiSerif Regular"/>
        </w:rPr>
        <w:t xml:space="preserve">но уредно </w:t>
      </w:r>
      <w:r w:rsidRPr="00B64A08">
        <w:rPr>
          <w:rFonts w:ascii="StobiSerif Regular" w:hAnsi="StobiSerif Regular"/>
        </w:rPr>
        <w:t xml:space="preserve"> барање за </w:t>
      </w:r>
      <w:r>
        <w:rPr>
          <w:rFonts w:ascii="StobiSerif Regular" w:hAnsi="StobiSerif Regular"/>
        </w:rPr>
        <w:t xml:space="preserve">исплата </w:t>
      </w:r>
      <w:r w:rsidRPr="00B64A08">
        <w:rPr>
          <w:rFonts w:ascii="StobiSerif Regular" w:hAnsi="StobiSerif Regular"/>
        </w:rPr>
        <w:t xml:space="preserve"> од страна на носителот на проектот. Во </w:t>
      </w:r>
      <w:r>
        <w:rPr>
          <w:rFonts w:ascii="StobiSerif Regular" w:hAnsi="StobiSerif Regular"/>
        </w:rPr>
        <w:t xml:space="preserve">врска со </w:t>
      </w:r>
      <w:r w:rsidR="00441F9B">
        <w:rPr>
          <w:rFonts w:ascii="StobiSerif Regular" w:hAnsi="StobiSerif Regular"/>
        </w:rPr>
        <w:t>овие</w:t>
      </w:r>
      <w:r>
        <w:rPr>
          <w:rFonts w:ascii="StobiSerif Regular" w:hAnsi="StobiSerif Regular"/>
        </w:rPr>
        <w:t xml:space="preserve"> договори, ТУ </w:t>
      </w:r>
      <w:r w:rsidRPr="00B64A08">
        <w:rPr>
          <w:rFonts w:ascii="StobiSerif Regular" w:hAnsi="StobiSerif Regular"/>
        </w:rPr>
        <w:t xml:space="preserve"> во изминатиот период направи </w:t>
      </w:r>
      <w:r w:rsidR="00441F9B">
        <w:rPr>
          <w:rFonts w:ascii="StobiSerif Regular" w:hAnsi="StobiSerif Regular"/>
        </w:rPr>
        <w:t>анкета</w:t>
      </w:r>
      <w:r w:rsidRPr="00B64A08">
        <w:rPr>
          <w:rFonts w:ascii="StobiSerif Regular" w:hAnsi="StobiSerif Regular"/>
        </w:rPr>
        <w:t xml:space="preserve"> </w:t>
      </w:r>
      <w:r w:rsidR="00441F9B">
        <w:rPr>
          <w:rFonts w:ascii="StobiSerif Regular" w:hAnsi="StobiSerif Regular"/>
        </w:rPr>
        <w:t>кај</w:t>
      </w:r>
      <w:r w:rsidRPr="00B64A08">
        <w:rPr>
          <w:rFonts w:ascii="StobiSerif Regular" w:hAnsi="StobiSerif Regular"/>
        </w:rPr>
        <w:t xml:space="preserve"> овие апликанти, </w:t>
      </w:r>
      <w:r w:rsidR="00441F9B">
        <w:rPr>
          <w:rFonts w:ascii="StobiSerif Regular" w:hAnsi="StobiSerif Regular"/>
        </w:rPr>
        <w:t xml:space="preserve">но </w:t>
      </w:r>
      <w:r w:rsidR="001912EC">
        <w:rPr>
          <w:rFonts w:ascii="StobiSerif Regular" w:hAnsi="StobiSerif Regular"/>
        </w:rPr>
        <w:t>само</w:t>
      </w:r>
      <w:r w:rsidRPr="00B64A08">
        <w:rPr>
          <w:rFonts w:ascii="StobiSerif Regular" w:hAnsi="StobiSerif Regular"/>
        </w:rPr>
        <w:t xml:space="preserve"> </w:t>
      </w:r>
      <w:r w:rsidR="00441F9B">
        <w:rPr>
          <w:rFonts w:ascii="StobiSerif Regular" w:hAnsi="StobiSerif Regular"/>
        </w:rPr>
        <w:t>кај 16,</w:t>
      </w:r>
      <w:r w:rsidRPr="00B64A08">
        <w:rPr>
          <w:rFonts w:ascii="StobiSerif Regular" w:hAnsi="StobiSerif Regular"/>
        </w:rPr>
        <w:t xml:space="preserve"> за кои </w:t>
      </w:r>
      <w:r w:rsidR="001912EC">
        <w:rPr>
          <w:rFonts w:ascii="StobiSerif Regular" w:hAnsi="StobiSerif Regular"/>
        </w:rPr>
        <w:t>беа</w:t>
      </w:r>
      <w:r w:rsidR="00441F9B">
        <w:rPr>
          <w:rFonts w:ascii="StobiSerif Regular" w:hAnsi="StobiSerif Regular"/>
        </w:rPr>
        <w:t xml:space="preserve"> обезбедени контакти. Р</w:t>
      </w:r>
      <w:r w:rsidRPr="00B64A08">
        <w:rPr>
          <w:rFonts w:ascii="StobiSerif Regular" w:hAnsi="StobiSerif Regular"/>
        </w:rPr>
        <w:t>езултатите од истражувањето не даваат јасна слика за причините. Општо земено, најчестата причина е финансиската состојба.</w:t>
      </w:r>
    </w:p>
    <w:p w:rsidR="00784B4F" w:rsidRDefault="00784B4F" w:rsidP="00784B4F">
      <w:pPr>
        <w:autoSpaceDE w:val="0"/>
        <w:autoSpaceDN w:val="0"/>
        <w:adjustRightInd w:val="0"/>
        <w:spacing w:before="120" w:after="120"/>
        <w:jc w:val="both"/>
        <w:rPr>
          <w:rFonts w:ascii="StobiSerif Regular" w:hAnsi="StobiSerif Regular"/>
        </w:rPr>
      </w:pPr>
      <w:r w:rsidRPr="00784B4F">
        <w:rPr>
          <w:rFonts w:ascii="StobiSerif Regular" w:hAnsi="StobiSerif Regular"/>
        </w:rPr>
        <w:t>Во 38 сл</w:t>
      </w:r>
      <w:r w:rsidR="000621F7">
        <w:rPr>
          <w:rFonts w:ascii="StobiSerif Regular" w:hAnsi="StobiSerif Regular"/>
        </w:rPr>
        <w:t xml:space="preserve">учаи </w:t>
      </w:r>
      <w:r w:rsidRPr="00784B4F">
        <w:rPr>
          <w:rFonts w:ascii="StobiSerif Regular" w:hAnsi="StobiSerif Regular"/>
        </w:rPr>
        <w:t xml:space="preserve"> А</w:t>
      </w:r>
      <w:r w:rsidR="00441F9B">
        <w:rPr>
          <w:rFonts w:ascii="StobiSerif Regular" w:hAnsi="StobiSerif Regular"/>
        </w:rPr>
        <w:t>генцијата  утврд</w:t>
      </w:r>
      <w:r>
        <w:rPr>
          <w:rFonts w:ascii="StobiSerif Regular" w:hAnsi="StobiSerif Regular"/>
        </w:rPr>
        <w:t xml:space="preserve">и </w:t>
      </w:r>
      <w:r w:rsidRPr="00784B4F">
        <w:rPr>
          <w:rFonts w:ascii="StobiSerif Regular" w:hAnsi="StobiSerif Regular"/>
        </w:rPr>
        <w:t xml:space="preserve"> неправилности и </w:t>
      </w:r>
      <w:r w:rsidR="00441F9B">
        <w:rPr>
          <w:rFonts w:ascii="StobiSerif Regular" w:hAnsi="StobiSerif Regular"/>
        </w:rPr>
        <w:t>ги раскина</w:t>
      </w:r>
      <w:r>
        <w:rPr>
          <w:rFonts w:ascii="StobiSerif Regular" w:hAnsi="StobiSerif Regular"/>
        </w:rPr>
        <w:t xml:space="preserve"> </w:t>
      </w:r>
      <w:r w:rsidRPr="00784B4F">
        <w:rPr>
          <w:rFonts w:ascii="StobiSerif Regular" w:hAnsi="StobiSerif Regular"/>
        </w:rPr>
        <w:t xml:space="preserve"> договори</w:t>
      </w:r>
      <w:r>
        <w:rPr>
          <w:rFonts w:ascii="StobiSerif Regular" w:hAnsi="StobiSerif Regular"/>
        </w:rPr>
        <w:t>те</w:t>
      </w:r>
      <w:r w:rsidRPr="00784B4F">
        <w:rPr>
          <w:rFonts w:ascii="StobiSerif Regular" w:hAnsi="StobiSerif Regular"/>
        </w:rPr>
        <w:t xml:space="preserve">. Шест од нив беа </w:t>
      </w:r>
      <w:r w:rsidR="00441F9B">
        <w:rPr>
          <w:rFonts w:ascii="StobiSerif Regular" w:hAnsi="StobiSerif Regular"/>
        </w:rPr>
        <w:t>раскинати</w:t>
      </w:r>
      <w:r w:rsidRPr="00784B4F">
        <w:rPr>
          <w:rFonts w:ascii="StobiSerif Regular" w:hAnsi="StobiSerif Regular"/>
        </w:rPr>
        <w:t xml:space="preserve"> </w:t>
      </w:r>
      <w:r>
        <w:rPr>
          <w:rFonts w:ascii="StobiSerif Regular" w:hAnsi="StobiSerif Regular"/>
        </w:rPr>
        <w:t xml:space="preserve">бидејќи се утврдени неправилности во поглед на </w:t>
      </w:r>
      <w:r w:rsidR="00441F9B">
        <w:rPr>
          <w:rFonts w:ascii="StobiSerif Regular" w:hAnsi="StobiSerif Regular"/>
        </w:rPr>
        <w:t>правилото на три</w:t>
      </w:r>
      <w:r>
        <w:rPr>
          <w:rFonts w:ascii="StobiSerif Regular" w:hAnsi="StobiSerif Regular"/>
        </w:rPr>
        <w:t xml:space="preserve"> понуди</w:t>
      </w:r>
      <w:r w:rsidRPr="00784B4F">
        <w:rPr>
          <w:rFonts w:ascii="StobiSerif Regular" w:hAnsi="StobiSerif Regular"/>
        </w:rPr>
        <w:t>, шест инвестиции се започнати пред п</w:t>
      </w:r>
      <w:r>
        <w:rPr>
          <w:rFonts w:ascii="StobiSerif Regular" w:hAnsi="StobiSerif Regular"/>
        </w:rPr>
        <w:t xml:space="preserve">отпишувањето на договорот, две </w:t>
      </w:r>
      <w:r w:rsidRPr="00784B4F">
        <w:rPr>
          <w:rFonts w:ascii="StobiSerif Regular" w:hAnsi="StobiSerif Regular"/>
        </w:rPr>
        <w:t xml:space="preserve"> не </w:t>
      </w:r>
      <w:r>
        <w:rPr>
          <w:rFonts w:ascii="StobiSerif Regular" w:hAnsi="StobiSerif Regular"/>
        </w:rPr>
        <w:t xml:space="preserve"> ги постигнале стандардите</w:t>
      </w:r>
      <w:r w:rsidRPr="00784B4F">
        <w:rPr>
          <w:rFonts w:ascii="StobiSerif Regular" w:hAnsi="StobiSerif Regular"/>
        </w:rPr>
        <w:t xml:space="preserve"> и</w:t>
      </w:r>
      <w:r>
        <w:rPr>
          <w:rFonts w:ascii="StobiSerif Regular" w:hAnsi="StobiSerif Regular"/>
        </w:rPr>
        <w:t xml:space="preserve"> кај </w:t>
      </w:r>
      <w:r w:rsidRPr="00784B4F">
        <w:rPr>
          <w:rFonts w:ascii="StobiSerif Regular" w:hAnsi="StobiSerif Regular"/>
        </w:rPr>
        <w:t xml:space="preserve"> двајца</w:t>
      </w:r>
      <w:r w:rsidR="000621F7">
        <w:rPr>
          <w:rFonts w:ascii="StobiSerif Regular" w:hAnsi="StobiSerif Regular"/>
        </w:rPr>
        <w:t xml:space="preserve"> апликантио</w:t>
      </w:r>
      <w:r w:rsidRPr="00784B4F">
        <w:rPr>
          <w:rFonts w:ascii="StobiSerif Regular" w:hAnsi="StobiSerif Regular"/>
        </w:rPr>
        <w:t xml:space="preserve"> е утврден судар на интереси.</w:t>
      </w:r>
      <w:r>
        <w:rPr>
          <w:rFonts w:ascii="StobiSerif Regular" w:hAnsi="StobiSerif Regular"/>
        </w:rPr>
        <w:t xml:space="preserve"> </w:t>
      </w:r>
      <w:r w:rsidRPr="00784B4F">
        <w:rPr>
          <w:rFonts w:ascii="StobiSerif Regular" w:hAnsi="StobiSerif Regular"/>
        </w:rPr>
        <w:t xml:space="preserve">Во 17 случаи контролата на терен утврди </w:t>
      </w:r>
      <w:r w:rsidR="000621F7">
        <w:rPr>
          <w:rFonts w:ascii="StobiSerif Regular" w:hAnsi="StobiSerif Regular"/>
        </w:rPr>
        <w:t>непочитување</w:t>
      </w:r>
      <w:r w:rsidRPr="00784B4F">
        <w:rPr>
          <w:rFonts w:ascii="StobiSerif Regular" w:hAnsi="StobiSerif Regular"/>
        </w:rPr>
        <w:t xml:space="preserve"> на договорот </w:t>
      </w:r>
      <w:r w:rsidR="000621F7">
        <w:rPr>
          <w:rFonts w:ascii="StobiSerif Regular" w:hAnsi="StobiSerif Regular"/>
        </w:rPr>
        <w:t>односно</w:t>
      </w:r>
      <w:r w:rsidRPr="00784B4F">
        <w:rPr>
          <w:rFonts w:ascii="StobiSerif Regular" w:hAnsi="StobiSerif Regular"/>
        </w:rPr>
        <w:t xml:space="preserve"> инвестицијата се реализира</w:t>
      </w:r>
      <w:r w:rsidR="000621F7">
        <w:rPr>
          <w:rFonts w:ascii="StobiSerif Regular" w:hAnsi="StobiSerif Regular"/>
        </w:rPr>
        <w:t>ла</w:t>
      </w:r>
      <w:r w:rsidRPr="00784B4F">
        <w:rPr>
          <w:rFonts w:ascii="StobiSerif Regular" w:hAnsi="StobiSerif Regular"/>
        </w:rPr>
        <w:t xml:space="preserve"> на поинаков начин од </w:t>
      </w:r>
      <w:r>
        <w:rPr>
          <w:rFonts w:ascii="StobiSerif Regular" w:hAnsi="StobiSerif Regular"/>
        </w:rPr>
        <w:t xml:space="preserve">што е </w:t>
      </w:r>
      <w:r w:rsidRPr="00784B4F">
        <w:rPr>
          <w:rFonts w:ascii="StobiSerif Regular" w:hAnsi="StobiSerif Regular"/>
        </w:rPr>
        <w:t>наведна во проектот.</w:t>
      </w:r>
    </w:p>
    <w:p w:rsidR="00784B4F" w:rsidRDefault="00784B4F" w:rsidP="003D3B43">
      <w:pPr>
        <w:spacing w:before="120" w:after="120"/>
        <w:jc w:val="both"/>
        <w:rPr>
          <w:rFonts w:ascii="StobiSerif Regular" w:hAnsi="StobiSerif Regular"/>
        </w:rPr>
      </w:pPr>
      <w:r w:rsidRPr="00784B4F">
        <w:rPr>
          <w:rFonts w:ascii="StobiSerif Regular" w:hAnsi="StobiSerif Regular"/>
        </w:rPr>
        <w:t>Во однос на излезните индикатори, во релација со предметните сектори за оваа мерка, резултатите се задовилителни само во бројот на примени апликации, односно 93,7 проценти од предвидената квота е исполнета</w:t>
      </w:r>
      <w:r>
        <w:rPr>
          <w:rFonts w:ascii="StobiSerif Regular" w:hAnsi="StobiSerif Regular"/>
        </w:rPr>
        <w:t>.</w:t>
      </w:r>
    </w:p>
    <w:p w:rsidR="00EC1053" w:rsidRPr="000621F7" w:rsidRDefault="006347EB" w:rsidP="003C592B">
      <w:pPr>
        <w:spacing w:before="120" w:after="0"/>
        <w:jc w:val="both"/>
        <w:rPr>
          <w:rFonts w:ascii="StobiSerif Regular" w:eastAsia="Times New Roman" w:hAnsi="StobiSerif Regular" w:cs="Times New Roman"/>
          <w:b/>
          <w:bCs/>
          <w:lang w:val="en-US"/>
        </w:rPr>
      </w:pPr>
      <w:bookmarkStart w:id="32" w:name="_Toc485394903"/>
      <w:r w:rsidRPr="000621F7">
        <w:rPr>
          <w:rFonts w:ascii="StobiSerif Regular" w:eastAsia="Times New Roman" w:hAnsi="StobiSerif Regular" w:cs="Times New Roman"/>
          <w:b/>
          <w:lang w:eastAsia="zh-CN"/>
        </w:rPr>
        <w:t>Табела</w:t>
      </w:r>
      <w:r w:rsidR="00EC1053" w:rsidRPr="000621F7">
        <w:rPr>
          <w:rFonts w:ascii="StobiSerif Regular" w:eastAsia="Times New Roman" w:hAnsi="StobiSerif Regular" w:cs="Times New Roman"/>
          <w:b/>
          <w:lang w:val="en-GB" w:eastAsia="zh-CN"/>
        </w:rPr>
        <w:t xml:space="preserve"> </w:t>
      </w:r>
      <w:r w:rsidR="00EC1053" w:rsidRPr="000621F7">
        <w:rPr>
          <w:rFonts w:ascii="StobiSerif Regular" w:eastAsia="Times New Roman" w:hAnsi="StobiSerif Regular" w:cs="Times New Roman"/>
          <w:b/>
          <w:lang w:val="en-GB" w:eastAsia="zh-CN"/>
        </w:rPr>
        <w:fldChar w:fldCharType="begin"/>
      </w:r>
      <w:r w:rsidR="00EC1053" w:rsidRPr="000621F7">
        <w:rPr>
          <w:rFonts w:ascii="StobiSerif Regular" w:eastAsia="Times New Roman" w:hAnsi="StobiSerif Regular" w:cs="Times New Roman"/>
          <w:b/>
          <w:lang w:val="en-GB" w:eastAsia="zh-CN"/>
        </w:rPr>
        <w:instrText xml:space="preserve"> SEQ Table \* ARABIC </w:instrText>
      </w:r>
      <w:r w:rsidR="00EC1053" w:rsidRPr="000621F7">
        <w:rPr>
          <w:rFonts w:ascii="StobiSerif Regular" w:eastAsia="Times New Roman" w:hAnsi="StobiSerif Regular" w:cs="Times New Roman"/>
          <w:b/>
          <w:lang w:val="en-GB" w:eastAsia="zh-CN"/>
        </w:rPr>
        <w:fldChar w:fldCharType="separate"/>
      </w:r>
      <w:r w:rsidR="006C55E6" w:rsidRPr="000621F7">
        <w:rPr>
          <w:rFonts w:ascii="StobiSerif Regular" w:eastAsia="Times New Roman" w:hAnsi="StobiSerif Regular" w:cs="Times New Roman"/>
          <w:b/>
          <w:noProof/>
          <w:lang w:val="en-GB" w:eastAsia="zh-CN"/>
        </w:rPr>
        <w:t>11</w:t>
      </w:r>
      <w:r w:rsidR="00EC1053" w:rsidRPr="000621F7">
        <w:rPr>
          <w:rFonts w:ascii="StobiSerif Regular" w:eastAsia="Times New Roman" w:hAnsi="StobiSerif Regular" w:cs="Times New Roman"/>
          <w:b/>
          <w:lang w:val="en-GB" w:eastAsia="zh-CN"/>
        </w:rPr>
        <w:fldChar w:fldCharType="end"/>
      </w:r>
      <w:r w:rsidR="00EC1053" w:rsidRPr="000621F7">
        <w:rPr>
          <w:rFonts w:ascii="StobiSerif Regular" w:eastAsia="Times New Roman" w:hAnsi="StobiSerif Regular" w:cs="Times New Roman"/>
          <w:b/>
          <w:lang w:val="en-GB" w:eastAsia="zh-CN"/>
        </w:rPr>
        <w:t xml:space="preserve">: </w:t>
      </w:r>
      <w:r w:rsidR="003C592B" w:rsidRPr="000621F7">
        <w:rPr>
          <w:rFonts w:ascii="StobiSerif Regular" w:eastAsia="Times New Roman" w:hAnsi="StobiSerif Regular" w:cs="Times New Roman"/>
          <w:b/>
          <w:bCs/>
        </w:rPr>
        <w:t>Излезни индикатори за М101</w:t>
      </w:r>
      <w:bookmarkEnd w:id="32"/>
    </w:p>
    <w:tbl>
      <w:tblPr>
        <w:tblW w:w="7371" w:type="dxa"/>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513"/>
        <w:gridCol w:w="1456"/>
        <w:gridCol w:w="1418"/>
        <w:gridCol w:w="1984"/>
      </w:tblGrid>
      <w:tr w:rsidR="003C592B" w:rsidRPr="000B5E5D" w:rsidTr="00784CD1">
        <w:trPr>
          <w:trHeight w:val="300"/>
        </w:trPr>
        <w:tc>
          <w:tcPr>
            <w:tcW w:w="2513"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rsidR="003C592B" w:rsidRPr="00A15D06" w:rsidRDefault="003C592B" w:rsidP="001E2FAB">
            <w:pPr>
              <w:spacing w:after="0" w:line="240" w:lineRule="auto"/>
              <w:jc w:val="center"/>
              <w:rPr>
                <w:rFonts w:ascii="StobiSerif Regular" w:eastAsia="MS Mincho" w:hAnsi="StobiSerif Regular" w:cs="Arial"/>
                <w:b/>
                <w:bCs/>
                <w:sz w:val="18"/>
                <w:szCs w:val="18"/>
                <w:lang w:eastAsia="ja-JP"/>
              </w:rPr>
            </w:pPr>
            <w:r w:rsidRPr="00A15D06">
              <w:rPr>
                <w:rFonts w:ascii="StobiSerif Regular" w:eastAsia="MS Mincho" w:hAnsi="StobiSerif Regular" w:cs="Arial"/>
                <w:b/>
                <w:bCs/>
                <w:sz w:val="18"/>
                <w:szCs w:val="18"/>
                <w:lang w:eastAsia="ja-JP"/>
              </w:rPr>
              <w:t>Индикатори</w:t>
            </w:r>
          </w:p>
        </w:tc>
        <w:tc>
          <w:tcPr>
            <w:tcW w:w="1456" w:type="dxa"/>
            <w:tcBorders>
              <w:top w:val="double" w:sz="4" w:space="0" w:color="auto"/>
              <w:left w:val="double" w:sz="4" w:space="0" w:color="auto"/>
              <w:bottom w:val="double" w:sz="4" w:space="0" w:color="auto"/>
              <w:right w:val="double" w:sz="4" w:space="0" w:color="auto"/>
            </w:tcBorders>
            <w:shd w:val="clear" w:color="auto" w:fill="C6D9F1" w:themeFill="text2" w:themeFillTint="33"/>
            <w:noWrap/>
            <w:vAlign w:val="center"/>
          </w:tcPr>
          <w:p w:rsidR="003C592B" w:rsidRPr="00A15D06" w:rsidRDefault="003C592B" w:rsidP="001E2FAB">
            <w:pPr>
              <w:spacing w:after="0" w:line="240" w:lineRule="auto"/>
              <w:jc w:val="center"/>
              <w:rPr>
                <w:rFonts w:ascii="StobiSerif Regular" w:eastAsia="MS Mincho" w:hAnsi="StobiSerif Regular" w:cs="Arial"/>
                <w:b/>
                <w:bCs/>
                <w:sz w:val="18"/>
                <w:szCs w:val="18"/>
                <w:lang w:eastAsia="ja-JP"/>
              </w:rPr>
            </w:pPr>
            <w:r w:rsidRPr="00A15D06">
              <w:rPr>
                <w:rFonts w:ascii="StobiSerif Regular" w:eastAsia="MS Mincho" w:hAnsi="StobiSerif Regular" w:cs="Arial"/>
                <w:b/>
                <w:bCs/>
                <w:sz w:val="18"/>
                <w:szCs w:val="18"/>
                <w:lang w:eastAsia="ja-JP"/>
              </w:rPr>
              <w:t>Цел</w:t>
            </w:r>
          </w:p>
        </w:tc>
        <w:tc>
          <w:tcPr>
            <w:tcW w:w="1418"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rsidR="003C592B" w:rsidRPr="003C592B" w:rsidRDefault="003C592B" w:rsidP="003C592B">
            <w:pPr>
              <w:spacing w:after="0" w:line="240" w:lineRule="auto"/>
              <w:jc w:val="center"/>
              <w:rPr>
                <w:rFonts w:ascii="StobiSerif Regular" w:eastAsia="MS Mincho" w:hAnsi="StobiSerif Regular" w:cs="Arial"/>
                <w:b/>
                <w:bCs/>
                <w:sz w:val="18"/>
                <w:szCs w:val="18"/>
                <w:lang w:eastAsia="ja-JP"/>
              </w:rPr>
            </w:pPr>
            <w:r w:rsidRPr="00A15D06">
              <w:rPr>
                <w:rFonts w:ascii="StobiSerif Regular" w:eastAsia="MS Mincho" w:hAnsi="StobiSerif Regular" w:cs="Arial"/>
                <w:b/>
                <w:bCs/>
                <w:sz w:val="18"/>
                <w:szCs w:val="18"/>
                <w:lang w:val="en-US" w:eastAsia="ja-JP"/>
              </w:rPr>
              <w:t>201</w:t>
            </w:r>
            <w:r>
              <w:rPr>
                <w:rFonts w:ascii="StobiSerif Regular" w:eastAsia="MS Mincho" w:hAnsi="StobiSerif Regular" w:cs="Arial"/>
                <w:b/>
                <w:bCs/>
                <w:sz w:val="18"/>
                <w:szCs w:val="18"/>
                <w:lang w:eastAsia="ja-JP"/>
              </w:rPr>
              <w:t>6</w:t>
            </w:r>
          </w:p>
        </w:tc>
        <w:tc>
          <w:tcPr>
            <w:tcW w:w="1984"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rsidR="003C592B" w:rsidRPr="00A15D06" w:rsidRDefault="003C592B" w:rsidP="001E2FAB">
            <w:pPr>
              <w:spacing w:after="0" w:line="240" w:lineRule="auto"/>
              <w:jc w:val="center"/>
              <w:rPr>
                <w:rFonts w:ascii="StobiSerif Regular" w:eastAsia="MS Mincho" w:hAnsi="StobiSerif Regular" w:cs="Arial"/>
                <w:b/>
                <w:bCs/>
                <w:sz w:val="18"/>
                <w:szCs w:val="18"/>
                <w:lang w:eastAsia="ja-JP"/>
              </w:rPr>
            </w:pPr>
            <w:r w:rsidRPr="00A15D06">
              <w:rPr>
                <w:rFonts w:ascii="StobiSerif Regular" w:eastAsia="MS Mincho" w:hAnsi="StobiSerif Regular" w:cs="Arial"/>
                <w:b/>
                <w:bCs/>
                <w:sz w:val="18"/>
                <w:szCs w:val="18"/>
                <w:lang w:val="en-US" w:eastAsia="ja-JP"/>
              </w:rPr>
              <w:t xml:space="preserve">% </w:t>
            </w:r>
            <w:r w:rsidRPr="00A15D06">
              <w:rPr>
                <w:rFonts w:ascii="StobiSerif Regular" w:eastAsia="MS Mincho" w:hAnsi="StobiSerif Regular" w:cs="Arial"/>
                <w:b/>
                <w:bCs/>
                <w:sz w:val="18"/>
                <w:szCs w:val="18"/>
                <w:lang w:eastAsia="ja-JP"/>
              </w:rPr>
              <w:t>на остварување</w:t>
            </w:r>
          </w:p>
        </w:tc>
      </w:tr>
      <w:tr w:rsidR="003C592B" w:rsidRPr="000B5E5D" w:rsidTr="00784CD1">
        <w:trPr>
          <w:trHeight w:val="300"/>
        </w:trPr>
        <w:tc>
          <w:tcPr>
            <w:tcW w:w="2513" w:type="dxa"/>
            <w:tcBorders>
              <w:top w:val="double" w:sz="4" w:space="0" w:color="auto"/>
              <w:left w:val="double" w:sz="4" w:space="0" w:color="auto"/>
              <w:bottom w:val="double" w:sz="4" w:space="0" w:color="auto"/>
              <w:right w:val="double" w:sz="4" w:space="0" w:color="auto"/>
            </w:tcBorders>
            <w:shd w:val="clear" w:color="auto" w:fill="auto"/>
          </w:tcPr>
          <w:p w:rsidR="003C592B" w:rsidRPr="000621F7" w:rsidRDefault="003C592B" w:rsidP="001E2FAB">
            <w:pPr>
              <w:spacing w:after="0" w:line="240" w:lineRule="auto"/>
              <w:rPr>
                <w:rFonts w:ascii="StobiSerif Regular" w:eastAsia="MS Mincho" w:hAnsi="StobiSerif Regular" w:cs="Arial"/>
                <w:b/>
                <w:bCs/>
                <w:sz w:val="18"/>
                <w:szCs w:val="18"/>
                <w:lang w:eastAsia="ja-JP"/>
              </w:rPr>
            </w:pPr>
            <w:r w:rsidRPr="000621F7">
              <w:rPr>
                <w:rFonts w:ascii="StobiSerif Regular" w:eastAsia="MS Mincho" w:hAnsi="StobiSerif Regular" w:cs="Arial"/>
                <w:b/>
                <w:bCs/>
                <w:sz w:val="18"/>
                <w:szCs w:val="18"/>
                <w:lang w:eastAsia="ja-JP"/>
              </w:rPr>
              <w:t>Примени апликации</w:t>
            </w:r>
          </w:p>
        </w:tc>
        <w:tc>
          <w:tcPr>
            <w:tcW w:w="1456" w:type="dxa"/>
            <w:tcBorders>
              <w:top w:val="double" w:sz="4" w:space="0" w:color="auto"/>
              <w:left w:val="double" w:sz="4" w:space="0" w:color="auto"/>
              <w:bottom w:val="double" w:sz="4" w:space="0" w:color="auto"/>
              <w:right w:val="double" w:sz="4" w:space="0" w:color="auto"/>
            </w:tcBorders>
            <w:shd w:val="clear" w:color="auto" w:fill="auto"/>
            <w:noWrap/>
            <w:vAlign w:val="center"/>
          </w:tcPr>
          <w:p w:rsidR="003C592B" w:rsidRPr="000B5E5D" w:rsidRDefault="003D3B43" w:rsidP="00514E56">
            <w:pPr>
              <w:spacing w:after="0" w:line="240" w:lineRule="auto"/>
              <w:rPr>
                <w:rFonts w:ascii="StobiSerif Regular" w:eastAsia="MS Mincho" w:hAnsi="StobiSerif Regular" w:cs="Arial"/>
                <w:bCs/>
                <w:sz w:val="18"/>
                <w:szCs w:val="18"/>
                <w:lang w:eastAsia="ja-JP"/>
              </w:rPr>
            </w:pPr>
            <w:r>
              <w:rPr>
                <w:rFonts w:ascii="StobiSerif Regular" w:eastAsia="MS Mincho" w:hAnsi="StobiSerif Regular" w:cs="Arial"/>
                <w:bCs/>
                <w:sz w:val="18"/>
                <w:szCs w:val="18"/>
                <w:lang w:eastAsia="ja-JP"/>
              </w:rPr>
              <w:t>2.</w:t>
            </w:r>
            <w:r w:rsidR="003C592B" w:rsidRPr="000B5E5D">
              <w:rPr>
                <w:rFonts w:ascii="StobiSerif Regular" w:eastAsia="MS Mincho" w:hAnsi="StobiSerif Regular" w:cs="Arial"/>
                <w:bCs/>
                <w:sz w:val="18"/>
                <w:szCs w:val="18"/>
                <w:lang w:eastAsia="ja-JP"/>
              </w:rPr>
              <w:t>700</w:t>
            </w:r>
          </w:p>
        </w:tc>
        <w:tc>
          <w:tcPr>
            <w:tcW w:w="1418" w:type="dxa"/>
            <w:tcBorders>
              <w:top w:val="double" w:sz="4" w:space="0" w:color="auto"/>
              <w:left w:val="double" w:sz="4" w:space="0" w:color="auto"/>
              <w:bottom w:val="double" w:sz="4" w:space="0" w:color="auto"/>
              <w:right w:val="double" w:sz="4" w:space="0" w:color="auto"/>
            </w:tcBorders>
            <w:vAlign w:val="center"/>
          </w:tcPr>
          <w:p w:rsidR="003C592B" w:rsidRPr="000B5E5D" w:rsidRDefault="003C592B" w:rsidP="00EC1053">
            <w:pPr>
              <w:spacing w:after="0"/>
              <w:jc w:val="right"/>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2532</w:t>
            </w:r>
          </w:p>
        </w:tc>
        <w:tc>
          <w:tcPr>
            <w:tcW w:w="1984" w:type="dxa"/>
            <w:tcBorders>
              <w:top w:val="double" w:sz="4" w:space="0" w:color="auto"/>
              <w:left w:val="double" w:sz="4" w:space="0" w:color="auto"/>
              <w:bottom w:val="double" w:sz="4" w:space="0" w:color="auto"/>
              <w:right w:val="double" w:sz="4" w:space="0" w:color="auto"/>
            </w:tcBorders>
            <w:vAlign w:val="center"/>
          </w:tcPr>
          <w:p w:rsidR="003C592B" w:rsidRPr="000B5E5D" w:rsidRDefault="003D3B43" w:rsidP="00EC1053">
            <w:pPr>
              <w:spacing w:after="0"/>
              <w:jc w:val="right"/>
              <w:rPr>
                <w:rFonts w:ascii="StobiSerif Regular" w:eastAsia="MS Mincho" w:hAnsi="StobiSerif Regular" w:cs="Arial"/>
                <w:bCs/>
                <w:sz w:val="18"/>
                <w:szCs w:val="18"/>
                <w:lang w:val="en-US" w:eastAsia="ja-JP"/>
              </w:rPr>
            </w:pPr>
            <w:r>
              <w:rPr>
                <w:rFonts w:ascii="StobiSerif Regular" w:eastAsia="MS Mincho" w:hAnsi="StobiSerif Regular" w:cs="Arial"/>
                <w:bCs/>
                <w:sz w:val="18"/>
                <w:szCs w:val="18"/>
                <w:lang w:val="en-US" w:eastAsia="ja-JP"/>
              </w:rPr>
              <w:t>93</w:t>
            </w:r>
            <w:r>
              <w:rPr>
                <w:rFonts w:ascii="StobiSerif Regular" w:eastAsia="MS Mincho" w:hAnsi="StobiSerif Regular" w:cs="Arial"/>
                <w:bCs/>
                <w:sz w:val="18"/>
                <w:szCs w:val="18"/>
                <w:lang w:eastAsia="ja-JP"/>
              </w:rPr>
              <w:t>,</w:t>
            </w:r>
            <w:r w:rsidR="003C592B" w:rsidRPr="000B5E5D">
              <w:rPr>
                <w:rFonts w:ascii="StobiSerif Regular" w:eastAsia="MS Mincho" w:hAnsi="StobiSerif Regular" w:cs="Arial"/>
                <w:bCs/>
                <w:sz w:val="18"/>
                <w:szCs w:val="18"/>
                <w:lang w:val="en-US" w:eastAsia="ja-JP"/>
              </w:rPr>
              <w:t>7%</w:t>
            </w:r>
          </w:p>
        </w:tc>
      </w:tr>
      <w:tr w:rsidR="003C592B" w:rsidRPr="000B5E5D" w:rsidTr="00784CD1">
        <w:trPr>
          <w:trHeight w:val="300"/>
        </w:trPr>
        <w:tc>
          <w:tcPr>
            <w:tcW w:w="2513" w:type="dxa"/>
            <w:tcBorders>
              <w:top w:val="double" w:sz="4" w:space="0" w:color="auto"/>
              <w:left w:val="double" w:sz="4" w:space="0" w:color="auto"/>
              <w:bottom w:val="double" w:sz="4" w:space="0" w:color="auto"/>
              <w:right w:val="double" w:sz="4" w:space="0" w:color="auto"/>
            </w:tcBorders>
            <w:shd w:val="clear" w:color="auto" w:fill="auto"/>
          </w:tcPr>
          <w:p w:rsidR="003C592B" w:rsidRPr="000621F7" w:rsidRDefault="003C592B" w:rsidP="001E2FAB">
            <w:pPr>
              <w:spacing w:after="0" w:line="240" w:lineRule="auto"/>
              <w:rPr>
                <w:rFonts w:ascii="StobiSerif Regular" w:eastAsia="MS Mincho" w:hAnsi="StobiSerif Regular" w:cs="Arial"/>
                <w:b/>
                <w:bCs/>
                <w:sz w:val="18"/>
                <w:szCs w:val="18"/>
                <w:lang w:eastAsia="ja-JP"/>
              </w:rPr>
            </w:pPr>
            <w:r w:rsidRPr="000621F7">
              <w:rPr>
                <w:rFonts w:ascii="StobiSerif Regular" w:eastAsia="MS Mincho" w:hAnsi="StobiSerif Regular" w:cs="Arial"/>
                <w:b/>
                <w:bCs/>
                <w:sz w:val="18"/>
                <w:szCs w:val="18"/>
                <w:lang w:eastAsia="ja-JP"/>
              </w:rPr>
              <w:t>Одобрени апликации</w:t>
            </w:r>
          </w:p>
        </w:tc>
        <w:tc>
          <w:tcPr>
            <w:tcW w:w="1456" w:type="dxa"/>
            <w:tcBorders>
              <w:top w:val="double" w:sz="4" w:space="0" w:color="auto"/>
              <w:left w:val="double" w:sz="4" w:space="0" w:color="auto"/>
              <w:bottom w:val="double" w:sz="4" w:space="0" w:color="auto"/>
              <w:right w:val="double" w:sz="4" w:space="0" w:color="auto"/>
            </w:tcBorders>
            <w:shd w:val="clear" w:color="auto" w:fill="auto"/>
            <w:noWrap/>
            <w:vAlign w:val="center"/>
          </w:tcPr>
          <w:p w:rsidR="003C592B" w:rsidRPr="000B5E5D" w:rsidRDefault="003D3B43" w:rsidP="00514E56">
            <w:pPr>
              <w:spacing w:after="0" w:line="240" w:lineRule="auto"/>
              <w:rPr>
                <w:rFonts w:ascii="StobiSerif Regular" w:eastAsia="MS Mincho" w:hAnsi="StobiSerif Regular" w:cs="Arial"/>
                <w:bCs/>
                <w:sz w:val="18"/>
                <w:szCs w:val="18"/>
                <w:lang w:eastAsia="ja-JP"/>
              </w:rPr>
            </w:pPr>
            <w:r>
              <w:rPr>
                <w:rFonts w:ascii="StobiSerif Regular" w:eastAsia="MS Mincho" w:hAnsi="StobiSerif Regular" w:cs="Arial"/>
                <w:bCs/>
                <w:sz w:val="18"/>
                <w:szCs w:val="18"/>
                <w:lang w:eastAsia="ja-JP"/>
              </w:rPr>
              <w:t>2.</w:t>
            </w:r>
            <w:r w:rsidR="003C592B" w:rsidRPr="000B5E5D">
              <w:rPr>
                <w:rFonts w:ascii="StobiSerif Regular" w:eastAsia="MS Mincho" w:hAnsi="StobiSerif Regular" w:cs="Arial"/>
                <w:bCs/>
                <w:sz w:val="18"/>
                <w:szCs w:val="18"/>
                <w:lang w:eastAsia="ja-JP"/>
              </w:rPr>
              <w:t>160</w:t>
            </w:r>
          </w:p>
        </w:tc>
        <w:tc>
          <w:tcPr>
            <w:tcW w:w="1418" w:type="dxa"/>
            <w:tcBorders>
              <w:top w:val="double" w:sz="4" w:space="0" w:color="auto"/>
              <w:left w:val="double" w:sz="4" w:space="0" w:color="auto"/>
              <w:bottom w:val="double" w:sz="4" w:space="0" w:color="auto"/>
              <w:right w:val="double" w:sz="4" w:space="0" w:color="auto"/>
            </w:tcBorders>
            <w:vAlign w:val="center"/>
          </w:tcPr>
          <w:p w:rsidR="003C592B" w:rsidRPr="000B5E5D" w:rsidRDefault="003C592B" w:rsidP="00EC1053">
            <w:pPr>
              <w:spacing w:after="0"/>
              <w:jc w:val="right"/>
              <w:rPr>
                <w:rFonts w:ascii="StobiSerif Regular" w:eastAsia="MS Mincho" w:hAnsi="StobiSerif Regular" w:cs="Arial"/>
                <w:bCs/>
                <w:sz w:val="18"/>
                <w:szCs w:val="18"/>
                <w:lang w:eastAsia="ja-JP"/>
              </w:rPr>
            </w:pPr>
            <w:r w:rsidRPr="000B5E5D">
              <w:rPr>
                <w:rFonts w:ascii="StobiSerif Regular" w:eastAsia="MS Mincho" w:hAnsi="StobiSerif Regular" w:cs="Arial"/>
                <w:bCs/>
                <w:sz w:val="18"/>
                <w:szCs w:val="18"/>
                <w:lang w:eastAsia="ja-JP"/>
              </w:rPr>
              <w:t>1266</w:t>
            </w:r>
          </w:p>
        </w:tc>
        <w:tc>
          <w:tcPr>
            <w:tcW w:w="1984" w:type="dxa"/>
            <w:tcBorders>
              <w:top w:val="double" w:sz="4" w:space="0" w:color="auto"/>
              <w:left w:val="double" w:sz="4" w:space="0" w:color="auto"/>
              <w:bottom w:val="double" w:sz="4" w:space="0" w:color="auto"/>
              <w:right w:val="double" w:sz="4" w:space="0" w:color="auto"/>
            </w:tcBorders>
            <w:vAlign w:val="center"/>
          </w:tcPr>
          <w:p w:rsidR="003C592B" w:rsidRPr="000B5E5D" w:rsidRDefault="003D3B43" w:rsidP="00EC1053">
            <w:pPr>
              <w:spacing w:after="0"/>
              <w:jc w:val="right"/>
              <w:rPr>
                <w:rFonts w:ascii="StobiSerif Regular" w:eastAsia="MS Mincho" w:hAnsi="StobiSerif Regular" w:cs="Arial"/>
                <w:bCs/>
                <w:sz w:val="18"/>
                <w:szCs w:val="18"/>
                <w:highlight w:val="yellow"/>
                <w:lang w:val="en-US" w:eastAsia="ja-JP"/>
              </w:rPr>
            </w:pPr>
            <w:r>
              <w:rPr>
                <w:rFonts w:ascii="StobiSerif Regular" w:eastAsia="MS Mincho" w:hAnsi="StobiSerif Regular" w:cs="Arial"/>
                <w:bCs/>
                <w:sz w:val="18"/>
                <w:szCs w:val="18"/>
                <w:lang w:val="en-US" w:eastAsia="ja-JP"/>
              </w:rPr>
              <w:t>58</w:t>
            </w:r>
            <w:r>
              <w:rPr>
                <w:rFonts w:ascii="StobiSerif Regular" w:eastAsia="MS Mincho" w:hAnsi="StobiSerif Regular" w:cs="Arial"/>
                <w:bCs/>
                <w:sz w:val="18"/>
                <w:szCs w:val="18"/>
                <w:lang w:eastAsia="ja-JP"/>
              </w:rPr>
              <w:t>,</w:t>
            </w:r>
            <w:r w:rsidR="003C592B" w:rsidRPr="000B5E5D">
              <w:rPr>
                <w:rFonts w:ascii="StobiSerif Regular" w:eastAsia="MS Mincho" w:hAnsi="StobiSerif Regular" w:cs="Arial"/>
                <w:bCs/>
                <w:sz w:val="18"/>
                <w:szCs w:val="18"/>
                <w:lang w:val="en-US" w:eastAsia="ja-JP"/>
              </w:rPr>
              <w:t>6%</w:t>
            </w:r>
          </w:p>
        </w:tc>
      </w:tr>
      <w:tr w:rsidR="003C592B" w:rsidRPr="000B5E5D" w:rsidTr="00784CD1">
        <w:trPr>
          <w:trHeight w:val="300"/>
        </w:trPr>
        <w:tc>
          <w:tcPr>
            <w:tcW w:w="2513" w:type="dxa"/>
            <w:tcBorders>
              <w:top w:val="double" w:sz="4" w:space="0" w:color="auto"/>
              <w:left w:val="double" w:sz="4" w:space="0" w:color="auto"/>
              <w:bottom w:val="double" w:sz="4" w:space="0" w:color="auto"/>
              <w:right w:val="double" w:sz="4" w:space="0" w:color="auto"/>
            </w:tcBorders>
            <w:shd w:val="clear" w:color="auto" w:fill="auto"/>
          </w:tcPr>
          <w:p w:rsidR="003C592B" w:rsidRPr="000621F7" w:rsidRDefault="003C592B" w:rsidP="001E2FAB">
            <w:pPr>
              <w:spacing w:after="0" w:line="240" w:lineRule="auto"/>
              <w:rPr>
                <w:rFonts w:ascii="StobiSerif Regular" w:eastAsia="MS Mincho" w:hAnsi="StobiSerif Regular" w:cs="Arial"/>
                <w:b/>
                <w:bCs/>
                <w:sz w:val="18"/>
                <w:szCs w:val="18"/>
                <w:lang w:eastAsia="ja-JP"/>
              </w:rPr>
            </w:pPr>
            <w:r w:rsidRPr="000621F7">
              <w:rPr>
                <w:rFonts w:ascii="StobiSerif Regular" w:eastAsia="MS Mincho" w:hAnsi="StobiSerif Regular" w:cs="Arial"/>
                <w:b/>
                <w:bCs/>
                <w:sz w:val="18"/>
                <w:szCs w:val="18"/>
                <w:lang w:eastAsia="ja-JP"/>
              </w:rPr>
              <w:t>Број на подржани стопанства</w:t>
            </w:r>
          </w:p>
        </w:tc>
        <w:tc>
          <w:tcPr>
            <w:tcW w:w="1456" w:type="dxa"/>
            <w:tcBorders>
              <w:top w:val="double" w:sz="4" w:space="0" w:color="auto"/>
              <w:left w:val="double" w:sz="4" w:space="0" w:color="auto"/>
              <w:bottom w:val="double" w:sz="4" w:space="0" w:color="auto"/>
              <w:right w:val="double" w:sz="4" w:space="0" w:color="auto"/>
            </w:tcBorders>
            <w:shd w:val="clear" w:color="auto" w:fill="auto"/>
            <w:noWrap/>
            <w:vAlign w:val="center"/>
          </w:tcPr>
          <w:p w:rsidR="003C592B" w:rsidRPr="000B5E5D" w:rsidRDefault="003D3B43" w:rsidP="00514E56">
            <w:pPr>
              <w:spacing w:after="0" w:line="240" w:lineRule="auto"/>
              <w:rPr>
                <w:rFonts w:ascii="StobiSerif Regular" w:eastAsia="MS Mincho" w:hAnsi="StobiSerif Regular" w:cs="Arial"/>
                <w:bCs/>
                <w:sz w:val="18"/>
                <w:szCs w:val="18"/>
                <w:lang w:eastAsia="ja-JP"/>
              </w:rPr>
            </w:pPr>
            <w:r>
              <w:rPr>
                <w:rFonts w:ascii="StobiSerif Regular" w:eastAsia="MS Mincho" w:hAnsi="StobiSerif Regular" w:cs="Arial"/>
                <w:bCs/>
                <w:sz w:val="18"/>
                <w:szCs w:val="18"/>
                <w:lang w:eastAsia="ja-JP"/>
              </w:rPr>
              <w:t>2.</w:t>
            </w:r>
            <w:r w:rsidR="003C592B" w:rsidRPr="000B5E5D">
              <w:rPr>
                <w:rFonts w:ascii="StobiSerif Regular" w:eastAsia="MS Mincho" w:hAnsi="StobiSerif Regular" w:cs="Arial"/>
                <w:bCs/>
                <w:sz w:val="18"/>
                <w:szCs w:val="18"/>
                <w:lang w:eastAsia="ja-JP"/>
              </w:rPr>
              <w:t>160</w:t>
            </w:r>
          </w:p>
        </w:tc>
        <w:tc>
          <w:tcPr>
            <w:tcW w:w="1418" w:type="dxa"/>
            <w:tcBorders>
              <w:top w:val="double" w:sz="4" w:space="0" w:color="auto"/>
              <w:left w:val="double" w:sz="4" w:space="0" w:color="auto"/>
              <w:bottom w:val="double" w:sz="4" w:space="0" w:color="auto"/>
              <w:right w:val="double" w:sz="4" w:space="0" w:color="auto"/>
            </w:tcBorders>
            <w:vAlign w:val="center"/>
          </w:tcPr>
          <w:p w:rsidR="003C592B" w:rsidRPr="000B5E5D" w:rsidRDefault="003C592B" w:rsidP="00EC1053">
            <w:pPr>
              <w:spacing w:after="0"/>
              <w:jc w:val="right"/>
              <w:rPr>
                <w:rFonts w:ascii="StobiSerif Regular" w:eastAsia="MS Mincho" w:hAnsi="StobiSerif Regular" w:cs="Arial"/>
                <w:bCs/>
                <w:sz w:val="18"/>
                <w:szCs w:val="18"/>
                <w:lang w:eastAsia="ja-JP"/>
              </w:rPr>
            </w:pPr>
            <w:r w:rsidRPr="000B5E5D">
              <w:rPr>
                <w:rFonts w:ascii="StobiSerif Regular" w:eastAsia="MS Mincho" w:hAnsi="StobiSerif Regular" w:cs="Arial"/>
                <w:bCs/>
                <w:sz w:val="18"/>
                <w:szCs w:val="18"/>
                <w:lang w:eastAsia="ja-JP"/>
              </w:rPr>
              <w:t>693</w:t>
            </w:r>
          </w:p>
        </w:tc>
        <w:tc>
          <w:tcPr>
            <w:tcW w:w="1984" w:type="dxa"/>
            <w:tcBorders>
              <w:top w:val="double" w:sz="4" w:space="0" w:color="auto"/>
              <w:left w:val="double" w:sz="4" w:space="0" w:color="auto"/>
              <w:bottom w:val="double" w:sz="4" w:space="0" w:color="auto"/>
              <w:right w:val="double" w:sz="4" w:space="0" w:color="auto"/>
            </w:tcBorders>
            <w:vAlign w:val="center"/>
          </w:tcPr>
          <w:p w:rsidR="003C592B" w:rsidRPr="000B5E5D" w:rsidRDefault="003C592B" w:rsidP="00EC1053">
            <w:pPr>
              <w:spacing w:after="0"/>
              <w:jc w:val="right"/>
              <w:rPr>
                <w:rFonts w:ascii="StobiSerif Regular" w:eastAsia="MS Mincho" w:hAnsi="StobiSerif Regular" w:cs="Arial"/>
                <w:bCs/>
                <w:sz w:val="18"/>
                <w:szCs w:val="18"/>
                <w:highlight w:val="yellow"/>
                <w:lang w:val="en-US" w:eastAsia="ja-JP"/>
              </w:rPr>
            </w:pPr>
            <w:r w:rsidRPr="000B5E5D">
              <w:rPr>
                <w:rFonts w:ascii="StobiSerif Regular" w:eastAsia="MS Mincho" w:hAnsi="StobiSerif Regular" w:cs="Arial"/>
                <w:bCs/>
                <w:sz w:val="18"/>
                <w:szCs w:val="18"/>
                <w:lang w:val="en-US" w:eastAsia="ja-JP"/>
              </w:rPr>
              <w:t>32%</w:t>
            </w:r>
          </w:p>
        </w:tc>
      </w:tr>
      <w:tr w:rsidR="003C592B" w:rsidRPr="000B5E5D" w:rsidTr="00784CD1">
        <w:trPr>
          <w:trHeight w:val="300"/>
        </w:trPr>
        <w:tc>
          <w:tcPr>
            <w:tcW w:w="2513" w:type="dxa"/>
            <w:tcBorders>
              <w:top w:val="double" w:sz="4" w:space="0" w:color="auto"/>
              <w:left w:val="double" w:sz="4" w:space="0" w:color="auto"/>
              <w:bottom w:val="double" w:sz="4" w:space="0" w:color="auto"/>
              <w:right w:val="double" w:sz="4" w:space="0" w:color="auto"/>
            </w:tcBorders>
            <w:shd w:val="clear" w:color="auto" w:fill="auto"/>
          </w:tcPr>
          <w:p w:rsidR="003C592B" w:rsidRPr="000621F7" w:rsidRDefault="003C592B" w:rsidP="001E2FAB">
            <w:pPr>
              <w:spacing w:after="0" w:line="240" w:lineRule="auto"/>
              <w:rPr>
                <w:rFonts w:ascii="StobiSerif Regular" w:eastAsia="MS Mincho" w:hAnsi="StobiSerif Regular" w:cs="Arial"/>
                <w:b/>
                <w:bCs/>
                <w:sz w:val="18"/>
                <w:szCs w:val="18"/>
                <w:lang w:eastAsia="ja-JP"/>
              </w:rPr>
            </w:pPr>
            <w:r w:rsidRPr="000621F7">
              <w:rPr>
                <w:rFonts w:ascii="StobiSerif Regular" w:eastAsia="MS Mincho" w:hAnsi="StobiSerif Regular" w:cs="Arial"/>
                <w:b/>
                <w:bCs/>
                <w:sz w:val="18"/>
                <w:szCs w:val="18"/>
                <w:lang w:eastAsia="ja-JP"/>
              </w:rPr>
              <w:t>Број на подржани субјекти во поплавени подрачја</w:t>
            </w:r>
          </w:p>
        </w:tc>
        <w:tc>
          <w:tcPr>
            <w:tcW w:w="1456" w:type="dxa"/>
            <w:tcBorders>
              <w:top w:val="double" w:sz="4" w:space="0" w:color="auto"/>
              <w:left w:val="double" w:sz="4" w:space="0" w:color="auto"/>
              <w:bottom w:val="double" w:sz="4" w:space="0" w:color="auto"/>
              <w:right w:val="double" w:sz="4" w:space="0" w:color="auto"/>
            </w:tcBorders>
            <w:shd w:val="clear" w:color="auto" w:fill="auto"/>
            <w:noWrap/>
            <w:vAlign w:val="center"/>
          </w:tcPr>
          <w:p w:rsidR="003C592B" w:rsidRPr="000B5E5D" w:rsidRDefault="003C592B" w:rsidP="00514E56">
            <w:pPr>
              <w:spacing w:after="0" w:line="240" w:lineRule="auto"/>
              <w:rPr>
                <w:rFonts w:ascii="StobiSerif Regular" w:eastAsia="MS Mincho" w:hAnsi="StobiSerif Regular" w:cs="Arial"/>
                <w:bCs/>
                <w:sz w:val="18"/>
                <w:szCs w:val="18"/>
                <w:lang w:eastAsia="ja-JP"/>
              </w:rPr>
            </w:pPr>
            <w:r w:rsidRPr="000B5E5D">
              <w:rPr>
                <w:rFonts w:ascii="StobiSerif Regular" w:eastAsia="MS Mincho" w:hAnsi="StobiSerif Regular" w:cs="Arial"/>
                <w:bCs/>
                <w:sz w:val="18"/>
                <w:szCs w:val="18"/>
                <w:lang w:eastAsia="ja-JP"/>
              </w:rPr>
              <w:t>350</w:t>
            </w:r>
          </w:p>
        </w:tc>
        <w:tc>
          <w:tcPr>
            <w:tcW w:w="1418" w:type="dxa"/>
            <w:tcBorders>
              <w:top w:val="double" w:sz="4" w:space="0" w:color="auto"/>
              <w:left w:val="double" w:sz="4" w:space="0" w:color="auto"/>
              <w:bottom w:val="double" w:sz="4" w:space="0" w:color="auto"/>
              <w:right w:val="double" w:sz="4" w:space="0" w:color="auto"/>
            </w:tcBorders>
            <w:vAlign w:val="center"/>
          </w:tcPr>
          <w:p w:rsidR="003C592B" w:rsidRPr="000B5E5D" w:rsidRDefault="003C592B" w:rsidP="00EC1053">
            <w:pPr>
              <w:spacing w:after="0"/>
              <w:jc w:val="right"/>
              <w:rPr>
                <w:rFonts w:ascii="StobiSerif Regular" w:eastAsia="MS Mincho" w:hAnsi="StobiSerif Regular" w:cs="Arial"/>
                <w:bCs/>
                <w:sz w:val="18"/>
                <w:szCs w:val="18"/>
                <w:highlight w:val="yellow"/>
                <w:lang w:val="en-US" w:eastAsia="ja-JP"/>
              </w:rPr>
            </w:pPr>
            <w:r w:rsidRPr="000B5E5D">
              <w:rPr>
                <w:rFonts w:ascii="StobiSerif Regular" w:eastAsia="MS Mincho" w:hAnsi="StobiSerif Regular" w:cs="Arial"/>
                <w:bCs/>
                <w:sz w:val="18"/>
                <w:szCs w:val="18"/>
                <w:lang w:val="en-US" w:eastAsia="ja-JP"/>
              </w:rPr>
              <w:t>49</w:t>
            </w:r>
          </w:p>
        </w:tc>
        <w:tc>
          <w:tcPr>
            <w:tcW w:w="1984" w:type="dxa"/>
            <w:tcBorders>
              <w:top w:val="double" w:sz="4" w:space="0" w:color="auto"/>
              <w:left w:val="double" w:sz="4" w:space="0" w:color="auto"/>
              <w:bottom w:val="double" w:sz="4" w:space="0" w:color="auto"/>
              <w:right w:val="double" w:sz="4" w:space="0" w:color="auto"/>
            </w:tcBorders>
            <w:vAlign w:val="center"/>
          </w:tcPr>
          <w:p w:rsidR="003C592B" w:rsidRPr="000B5E5D" w:rsidRDefault="003C592B" w:rsidP="00EC1053">
            <w:pPr>
              <w:spacing w:after="0"/>
              <w:jc w:val="right"/>
              <w:rPr>
                <w:rFonts w:ascii="StobiSerif Regular" w:eastAsia="MS Mincho" w:hAnsi="StobiSerif Regular" w:cs="Arial"/>
                <w:bCs/>
                <w:sz w:val="18"/>
                <w:szCs w:val="18"/>
                <w:highlight w:val="yellow"/>
                <w:lang w:val="en-US" w:eastAsia="ja-JP"/>
              </w:rPr>
            </w:pPr>
            <w:r w:rsidRPr="000B5E5D">
              <w:rPr>
                <w:rFonts w:ascii="StobiSerif Regular" w:eastAsia="MS Mincho" w:hAnsi="StobiSerif Regular" w:cs="Arial"/>
                <w:bCs/>
                <w:sz w:val="18"/>
                <w:szCs w:val="18"/>
                <w:lang w:val="en-US" w:eastAsia="ja-JP"/>
              </w:rPr>
              <w:t>14%</w:t>
            </w:r>
          </w:p>
        </w:tc>
      </w:tr>
      <w:tr w:rsidR="003C592B" w:rsidRPr="000B5E5D" w:rsidTr="00784CD1">
        <w:trPr>
          <w:trHeight w:val="300"/>
        </w:trPr>
        <w:tc>
          <w:tcPr>
            <w:tcW w:w="2513" w:type="dxa"/>
            <w:tcBorders>
              <w:top w:val="double" w:sz="4" w:space="0" w:color="auto"/>
              <w:left w:val="double" w:sz="4" w:space="0" w:color="auto"/>
              <w:bottom w:val="double" w:sz="4" w:space="0" w:color="auto"/>
              <w:right w:val="double" w:sz="4" w:space="0" w:color="auto"/>
            </w:tcBorders>
            <w:shd w:val="clear" w:color="auto" w:fill="auto"/>
          </w:tcPr>
          <w:p w:rsidR="003C592B" w:rsidRPr="000621F7" w:rsidRDefault="003C592B" w:rsidP="001E2FAB">
            <w:pPr>
              <w:spacing w:after="0" w:line="240" w:lineRule="auto"/>
              <w:rPr>
                <w:rFonts w:ascii="StobiSerif Regular" w:eastAsia="MS Mincho" w:hAnsi="StobiSerif Regular" w:cs="Arial"/>
                <w:b/>
                <w:bCs/>
                <w:sz w:val="18"/>
                <w:szCs w:val="18"/>
                <w:lang w:eastAsia="ja-JP"/>
              </w:rPr>
            </w:pPr>
            <w:r w:rsidRPr="000621F7">
              <w:rPr>
                <w:rFonts w:ascii="StobiSerif Regular" w:eastAsia="MS Mincho" w:hAnsi="StobiSerif Regular" w:cs="Arial"/>
                <w:b/>
                <w:bCs/>
                <w:sz w:val="18"/>
                <w:szCs w:val="18"/>
                <w:lang w:eastAsia="ja-JP"/>
              </w:rPr>
              <w:t>Вкупна сума на инвестиција</w:t>
            </w:r>
          </w:p>
        </w:tc>
        <w:tc>
          <w:tcPr>
            <w:tcW w:w="1456" w:type="dxa"/>
            <w:tcBorders>
              <w:top w:val="double" w:sz="4" w:space="0" w:color="auto"/>
              <w:left w:val="double" w:sz="4" w:space="0" w:color="auto"/>
              <w:bottom w:val="double" w:sz="4" w:space="0" w:color="auto"/>
              <w:right w:val="double" w:sz="4" w:space="0" w:color="auto"/>
            </w:tcBorders>
            <w:shd w:val="clear" w:color="auto" w:fill="auto"/>
            <w:noWrap/>
            <w:vAlign w:val="center"/>
          </w:tcPr>
          <w:p w:rsidR="003C592B" w:rsidRPr="000B5E5D" w:rsidRDefault="003C592B" w:rsidP="003C592B">
            <w:pPr>
              <w:spacing w:after="0" w:line="240" w:lineRule="auto"/>
              <w:rPr>
                <w:rFonts w:ascii="StobiSerif Regular" w:eastAsia="MS Mincho" w:hAnsi="StobiSerif Regular" w:cs="Arial"/>
                <w:bCs/>
                <w:sz w:val="18"/>
                <w:szCs w:val="18"/>
                <w:lang w:eastAsia="ja-JP"/>
              </w:rPr>
            </w:pPr>
            <w:r w:rsidRPr="000B5E5D">
              <w:rPr>
                <w:rFonts w:ascii="StobiSerif Regular" w:eastAsia="MS Mincho" w:hAnsi="StobiSerif Regular" w:cs="Arial"/>
                <w:bCs/>
                <w:sz w:val="18"/>
                <w:szCs w:val="18"/>
                <w:lang w:eastAsia="ja-JP"/>
              </w:rPr>
              <w:t xml:space="preserve">37.8 </w:t>
            </w:r>
            <w:r>
              <w:rPr>
                <w:rFonts w:ascii="StobiSerif Regular" w:eastAsia="MS Mincho" w:hAnsi="StobiSerif Regular" w:cs="Arial"/>
                <w:bCs/>
                <w:sz w:val="18"/>
                <w:szCs w:val="18"/>
                <w:lang w:eastAsia="ja-JP"/>
              </w:rPr>
              <w:t>мил</w:t>
            </w:r>
            <w:r w:rsidRPr="000B5E5D">
              <w:rPr>
                <w:rFonts w:ascii="StobiSerif Regular" w:eastAsia="MS Mincho" w:hAnsi="StobiSerif Regular" w:cs="Arial"/>
                <w:bCs/>
                <w:sz w:val="18"/>
                <w:szCs w:val="18"/>
                <w:lang w:eastAsia="ja-JP"/>
              </w:rPr>
              <w:t>. EUR</w:t>
            </w:r>
          </w:p>
        </w:tc>
        <w:tc>
          <w:tcPr>
            <w:tcW w:w="1418" w:type="dxa"/>
            <w:tcBorders>
              <w:top w:val="double" w:sz="4" w:space="0" w:color="auto"/>
              <w:left w:val="double" w:sz="4" w:space="0" w:color="auto"/>
              <w:bottom w:val="double" w:sz="4" w:space="0" w:color="auto"/>
              <w:right w:val="double" w:sz="4" w:space="0" w:color="auto"/>
            </w:tcBorders>
            <w:vAlign w:val="center"/>
          </w:tcPr>
          <w:p w:rsidR="003C592B" w:rsidRPr="000B5E5D" w:rsidRDefault="003C592B" w:rsidP="003C592B">
            <w:pPr>
              <w:spacing w:after="0"/>
              <w:jc w:val="right"/>
              <w:rPr>
                <w:rFonts w:ascii="StobiSerif Regular" w:eastAsia="MS Mincho" w:hAnsi="StobiSerif Regular" w:cs="Arial"/>
                <w:bCs/>
                <w:sz w:val="18"/>
                <w:szCs w:val="18"/>
                <w:lang w:eastAsia="ja-JP"/>
              </w:rPr>
            </w:pPr>
            <w:r w:rsidRPr="000B5E5D">
              <w:rPr>
                <w:rFonts w:ascii="StobiSerif Regular" w:eastAsia="MS Mincho" w:hAnsi="StobiSerif Regular" w:cs="Arial"/>
                <w:bCs/>
                <w:sz w:val="18"/>
                <w:szCs w:val="18"/>
                <w:lang w:val="en-US" w:eastAsia="ja-JP"/>
              </w:rPr>
              <w:t xml:space="preserve">22.3 </w:t>
            </w:r>
            <w:r>
              <w:rPr>
                <w:rFonts w:ascii="StobiSerif Regular" w:eastAsia="MS Mincho" w:hAnsi="StobiSerif Regular" w:cs="Arial"/>
                <w:bCs/>
                <w:sz w:val="18"/>
                <w:szCs w:val="18"/>
                <w:lang w:eastAsia="ja-JP"/>
              </w:rPr>
              <w:t>мил</w:t>
            </w:r>
            <w:r w:rsidRPr="000B5E5D">
              <w:rPr>
                <w:rFonts w:ascii="StobiSerif Regular" w:eastAsia="MS Mincho" w:hAnsi="StobiSerif Regular" w:cs="Arial"/>
                <w:bCs/>
                <w:sz w:val="18"/>
                <w:szCs w:val="18"/>
                <w:lang w:val="en-US" w:eastAsia="ja-JP"/>
              </w:rPr>
              <w:t xml:space="preserve"> €</w:t>
            </w:r>
          </w:p>
        </w:tc>
        <w:tc>
          <w:tcPr>
            <w:tcW w:w="1984" w:type="dxa"/>
            <w:tcBorders>
              <w:top w:val="double" w:sz="4" w:space="0" w:color="auto"/>
              <w:left w:val="double" w:sz="4" w:space="0" w:color="auto"/>
              <w:bottom w:val="double" w:sz="4" w:space="0" w:color="auto"/>
              <w:right w:val="double" w:sz="4" w:space="0" w:color="auto"/>
            </w:tcBorders>
            <w:vAlign w:val="center"/>
          </w:tcPr>
          <w:p w:rsidR="003C592B" w:rsidRPr="000B5E5D" w:rsidRDefault="003C592B" w:rsidP="001972BE">
            <w:pPr>
              <w:spacing w:after="0"/>
              <w:jc w:val="right"/>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59%</w:t>
            </w:r>
          </w:p>
        </w:tc>
      </w:tr>
    </w:tbl>
    <w:p w:rsidR="00EC1053" w:rsidRPr="000B5E5D" w:rsidRDefault="003C592B" w:rsidP="00EC1053">
      <w:pPr>
        <w:autoSpaceDE w:val="0"/>
        <w:autoSpaceDN w:val="0"/>
        <w:adjustRightInd w:val="0"/>
        <w:spacing w:after="120"/>
        <w:jc w:val="both"/>
        <w:rPr>
          <w:rFonts w:ascii="StobiSerif Regular" w:hAnsi="StobiSerif Regular"/>
          <w:sz w:val="16"/>
          <w:szCs w:val="16"/>
        </w:rPr>
      </w:pPr>
      <w:r>
        <w:rPr>
          <w:rFonts w:ascii="StobiSerif Regular" w:eastAsia="Times New Roman" w:hAnsi="StobiSerif Regular" w:cs="Times New Roman"/>
          <w:sz w:val="16"/>
          <w:szCs w:val="16"/>
          <w:lang w:eastAsia="mk-MK"/>
        </w:rPr>
        <w:t>Извор: Мониторинг систем  (2016)</w:t>
      </w:r>
    </w:p>
    <w:p w:rsidR="00EC1053" w:rsidRDefault="00AB6F9E" w:rsidP="00E60673">
      <w:pPr>
        <w:ind w:firstLine="284"/>
        <w:jc w:val="both"/>
        <w:rPr>
          <w:rFonts w:ascii="StobiSerif Regular" w:hAnsi="StobiSerif Regular"/>
        </w:rPr>
      </w:pPr>
      <w:r w:rsidRPr="00AB6F9E">
        <w:rPr>
          <w:rFonts w:ascii="StobiSerif Regular" w:hAnsi="StobiSerif Regular"/>
        </w:rPr>
        <w:t>Во споредба со претходната година показатели</w:t>
      </w:r>
      <w:r w:rsidR="000B2A48">
        <w:rPr>
          <w:rFonts w:ascii="StobiSerif Regular" w:hAnsi="StobiSerif Regular"/>
        </w:rPr>
        <w:t>те</w:t>
      </w:r>
      <w:r w:rsidRPr="00AB6F9E">
        <w:rPr>
          <w:rFonts w:ascii="StobiSerif Regular" w:hAnsi="StobiSerif Regular"/>
        </w:rPr>
        <w:t xml:space="preserve"> покажуваат постепено зголемување на резултати</w:t>
      </w:r>
      <w:r w:rsidR="000621F7">
        <w:rPr>
          <w:rFonts w:ascii="StobiSerif Regular" w:hAnsi="StobiSerif Regular"/>
        </w:rPr>
        <w:t>те</w:t>
      </w:r>
      <w:r w:rsidRPr="00AB6F9E">
        <w:rPr>
          <w:rFonts w:ascii="StobiSerif Regular" w:hAnsi="StobiSerif Regular"/>
        </w:rPr>
        <w:t xml:space="preserve">, </w:t>
      </w:r>
      <w:r w:rsidR="000B2A48">
        <w:rPr>
          <w:rFonts w:ascii="StobiSerif Regular" w:hAnsi="StobiSerif Regular"/>
        </w:rPr>
        <w:t>односно</w:t>
      </w:r>
      <w:r w:rsidRPr="00AB6F9E">
        <w:rPr>
          <w:rFonts w:ascii="StobiSerif Regular" w:hAnsi="StobiSerif Regular"/>
        </w:rPr>
        <w:t xml:space="preserve"> 33, 5% се одобрени во 2015 година, </w:t>
      </w:r>
      <w:r w:rsidR="000B2A48">
        <w:rPr>
          <w:rFonts w:ascii="StobiSerif Regular" w:hAnsi="StobiSerif Regular"/>
        </w:rPr>
        <w:t xml:space="preserve">додека </w:t>
      </w:r>
      <w:r w:rsidRPr="00AB6F9E">
        <w:rPr>
          <w:rFonts w:ascii="StobiSerif Regular" w:hAnsi="StobiSerif Regular"/>
        </w:rPr>
        <w:t xml:space="preserve">58, 6% </w:t>
      </w:r>
      <w:r w:rsidR="000B2A48">
        <w:rPr>
          <w:rFonts w:ascii="StobiSerif Regular" w:hAnsi="StobiSerif Regular"/>
        </w:rPr>
        <w:t xml:space="preserve">во </w:t>
      </w:r>
      <w:r w:rsidRPr="00AB6F9E">
        <w:rPr>
          <w:rFonts w:ascii="StobiSerif Regular" w:hAnsi="StobiSerif Regular"/>
        </w:rPr>
        <w:t xml:space="preserve">2016 година и </w:t>
      </w:r>
      <w:r>
        <w:rPr>
          <w:rFonts w:ascii="StobiSerif Regular" w:hAnsi="StobiSerif Regular"/>
        </w:rPr>
        <w:t>ис</w:t>
      </w:r>
      <w:r w:rsidRPr="00AB6F9E">
        <w:rPr>
          <w:rFonts w:ascii="StobiSerif Regular" w:hAnsi="StobiSerif Regular"/>
        </w:rPr>
        <w:t xml:space="preserve">платени </w:t>
      </w:r>
      <w:r w:rsidR="000B2A48">
        <w:rPr>
          <w:rFonts w:ascii="StobiSerif Regular" w:hAnsi="StobiSerif Regular"/>
        </w:rPr>
        <w:t xml:space="preserve">се </w:t>
      </w:r>
      <w:r w:rsidRPr="00AB6F9E">
        <w:rPr>
          <w:rFonts w:ascii="StobiSerif Regular" w:hAnsi="StobiSerif Regular"/>
        </w:rPr>
        <w:t>19, 6% во 2015 година, наспроти 32% во 2016 година</w:t>
      </w:r>
      <w:r w:rsidR="00E60673">
        <w:rPr>
          <w:rFonts w:ascii="StobiSerif Regular" w:hAnsi="StobiSerif Regular"/>
        </w:rPr>
        <w:t>. В</w:t>
      </w:r>
      <w:r w:rsidRPr="00AB6F9E">
        <w:rPr>
          <w:rFonts w:ascii="StobiSerif Regular" w:hAnsi="StobiSerif Regular"/>
        </w:rPr>
        <w:t xml:space="preserve">о поплавените подрачја </w:t>
      </w:r>
      <w:r>
        <w:rPr>
          <w:rFonts w:ascii="StobiSerif Regular" w:hAnsi="StobiSerif Regular"/>
        </w:rPr>
        <w:t xml:space="preserve"> беа исплатени  </w:t>
      </w:r>
      <w:r w:rsidRPr="00AB6F9E">
        <w:rPr>
          <w:rFonts w:ascii="StobiSerif Regular" w:hAnsi="StobiSerif Regular"/>
        </w:rPr>
        <w:t xml:space="preserve">49 </w:t>
      </w:r>
      <w:r w:rsidR="00E60673">
        <w:rPr>
          <w:rFonts w:ascii="StobiSerif Regular" w:hAnsi="StobiSerif Regular"/>
        </w:rPr>
        <w:t>проекти</w:t>
      </w:r>
      <w:r>
        <w:rPr>
          <w:rFonts w:ascii="StobiSerif Regular" w:hAnsi="StobiSerif Regular"/>
        </w:rPr>
        <w:t xml:space="preserve">. </w:t>
      </w:r>
      <w:r w:rsidR="00406324">
        <w:rPr>
          <w:rFonts w:ascii="StobiSerif Regular" w:hAnsi="StobiSerif Regular"/>
        </w:rPr>
        <w:t>О</w:t>
      </w:r>
      <w:r w:rsidR="0063366A">
        <w:rPr>
          <w:rFonts w:ascii="StobiSerif Regular" w:hAnsi="StobiSerif Regular"/>
        </w:rPr>
        <w:t>д</w:t>
      </w:r>
      <w:r w:rsidRPr="00AB6F9E">
        <w:rPr>
          <w:rFonts w:ascii="StobiSerif Regular" w:hAnsi="StobiSerif Regular"/>
        </w:rPr>
        <w:t xml:space="preserve"> 1266 одобрени пр</w:t>
      </w:r>
      <w:r w:rsidR="0063366A">
        <w:rPr>
          <w:rFonts w:ascii="StobiSerif Regular" w:hAnsi="StobiSerif Regular"/>
        </w:rPr>
        <w:t>оекти на крајот на 2016 година</w:t>
      </w:r>
      <w:r w:rsidR="00406324">
        <w:rPr>
          <w:rFonts w:ascii="StobiSerif Regular" w:hAnsi="StobiSerif Regular"/>
        </w:rPr>
        <w:t>,</w:t>
      </w:r>
      <w:r w:rsidR="0063366A">
        <w:rPr>
          <w:rFonts w:ascii="StobiSerif Regular" w:hAnsi="StobiSerif Regular"/>
        </w:rPr>
        <w:t xml:space="preserve"> </w:t>
      </w:r>
      <w:r w:rsidR="00406324">
        <w:rPr>
          <w:rFonts w:ascii="StobiSerif Regular" w:hAnsi="StobiSerif Regular"/>
        </w:rPr>
        <w:t xml:space="preserve">вкупно  прифатливи трошоци </w:t>
      </w:r>
      <w:r w:rsidR="0063366A">
        <w:rPr>
          <w:rFonts w:ascii="StobiSerif Regular" w:hAnsi="StobiSerif Regular"/>
        </w:rPr>
        <w:t xml:space="preserve">изнесуваат </w:t>
      </w:r>
      <w:r w:rsidRPr="00AB6F9E">
        <w:rPr>
          <w:rFonts w:ascii="StobiSerif Regular" w:hAnsi="StobiSerif Regular"/>
        </w:rPr>
        <w:t xml:space="preserve">22.278.827 € </w:t>
      </w:r>
      <w:r w:rsidR="0063366A">
        <w:rPr>
          <w:rFonts w:ascii="StobiSerif Regular" w:hAnsi="StobiSerif Regular"/>
        </w:rPr>
        <w:t xml:space="preserve">односно </w:t>
      </w:r>
      <w:r w:rsidRPr="00AB6F9E">
        <w:rPr>
          <w:rFonts w:ascii="StobiSerif Regular" w:hAnsi="StobiSerif Regular"/>
        </w:rPr>
        <w:t>59%</w:t>
      </w:r>
      <w:r w:rsidR="0063366A">
        <w:rPr>
          <w:rFonts w:ascii="StobiSerif Regular" w:hAnsi="StobiSerif Regular"/>
        </w:rPr>
        <w:t xml:space="preserve"> од предвидената сума е одобрена</w:t>
      </w:r>
      <w:r w:rsidR="00E60673">
        <w:rPr>
          <w:rFonts w:ascii="StobiSerif Regular" w:hAnsi="StobiSerif Regular"/>
        </w:rPr>
        <w:t>.</w:t>
      </w:r>
    </w:p>
    <w:p w:rsidR="00784CD1" w:rsidRPr="000621F7" w:rsidRDefault="001E2FAB" w:rsidP="00784CD1">
      <w:pPr>
        <w:autoSpaceDE w:val="0"/>
        <w:autoSpaceDN w:val="0"/>
        <w:adjustRightInd w:val="0"/>
        <w:spacing w:before="120" w:after="120"/>
        <w:jc w:val="both"/>
        <w:rPr>
          <w:rFonts w:ascii="StobiSerif Regular" w:hAnsi="StobiSerif Regular"/>
          <w:b/>
        </w:rPr>
      </w:pPr>
      <w:bookmarkStart w:id="33" w:name="_Toc485394904"/>
      <w:r w:rsidRPr="000621F7">
        <w:rPr>
          <w:rFonts w:ascii="StobiSerif Regular" w:eastAsia="Times New Roman" w:hAnsi="StobiSerif Regular" w:cs="Times New Roman"/>
          <w:b/>
          <w:lang w:eastAsia="zh-CN"/>
        </w:rPr>
        <w:t xml:space="preserve">Табела </w:t>
      </w:r>
      <w:r w:rsidR="006C55E6" w:rsidRPr="000621F7">
        <w:rPr>
          <w:rFonts w:ascii="StobiSerif Regular" w:eastAsia="Times New Roman" w:hAnsi="StobiSerif Regular" w:cs="Times New Roman"/>
          <w:b/>
          <w:lang w:val="en-GB" w:eastAsia="zh-CN"/>
        </w:rPr>
        <w:fldChar w:fldCharType="begin"/>
      </w:r>
      <w:r w:rsidR="006C55E6" w:rsidRPr="000621F7">
        <w:rPr>
          <w:rFonts w:ascii="StobiSerif Regular" w:eastAsia="Times New Roman" w:hAnsi="StobiSerif Regular" w:cs="Times New Roman"/>
          <w:b/>
          <w:lang w:val="en-GB" w:eastAsia="zh-CN"/>
        </w:rPr>
        <w:instrText xml:space="preserve"> SEQ Table \* ARABIC </w:instrText>
      </w:r>
      <w:r w:rsidR="006C55E6" w:rsidRPr="000621F7">
        <w:rPr>
          <w:rFonts w:ascii="StobiSerif Regular" w:eastAsia="Times New Roman" w:hAnsi="StobiSerif Regular" w:cs="Times New Roman"/>
          <w:b/>
          <w:lang w:val="en-GB" w:eastAsia="zh-CN"/>
        </w:rPr>
        <w:fldChar w:fldCharType="separate"/>
      </w:r>
      <w:r w:rsidR="006C55E6" w:rsidRPr="000621F7">
        <w:rPr>
          <w:rFonts w:ascii="StobiSerif Regular" w:eastAsia="Times New Roman" w:hAnsi="StobiSerif Regular" w:cs="Times New Roman"/>
          <w:b/>
          <w:noProof/>
          <w:lang w:val="en-GB" w:eastAsia="zh-CN"/>
        </w:rPr>
        <w:t>12</w:t>
      </w:r>
      <w:r w:rsidR="006C55E6" w:rsidRPr="000621F7">
        <w:rPr>
          <w:rFonts w:ascii="StobiSerif Regular" w:eastAsia="Times New Roman" w:hAnsi="StobiSerif Regular" w:cs="Times New Roman"/>
          <w:b/>
          <w:lang w:val="en-GB" w:eastAsia="zh-CN"/>
        </w:rPr>
        <w:fldChar w:fldCharType="end"/>
      </w:r>
      <w:r w:rsidR="006C55E6" w:rsidRPr="000621F7">
        <w:rPr>
          <w:rFonts w:ascii="StobiSerif Regular" w:eastAsia="Times New Roman" w:hAnsi="StobiSerif Regular" w:cs="Times New Roman"/>
          <w:b/>
          <w:lang w:val="en-GB" w:eastAsia="zh-CN"/>
        </w:rPr>
        <w:t xml:space="preserve">: </w:t>
      </w:r>
      <w:r w:rsidRPr="000621F7">
        <w:rPr>
          <w:rFonts w:ascii="StobiSerif Regular" w:hAnsi="StobiSerif Regular"/>
          <w:b/>
        </w:rPr>
        <w:t>Специфични индикатори според исплатени проекти во M101</w:t>
      </w:r>
      <w:bookmarkEnd w:id="33"/>
    </w:p>
    <w:tbl>
      <w:tblPr>
        <w:tblStyle w:val="TableGrid"/>
        <w:tblW w:w="91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EEEF8"/>
        <w:tblLook w:val="04A0" w:firstRow="1" w:lastRow="0" w:firstColumn="1" w:lastColumn="0" w:noHBand="0" w:noVBand="1"/>
      </w:tblPr>
      <w:tblGrid>
        <w:gridCol w:w="4678"/>
        <w:gridCol w:w="992"/>
        <w:gridCol w:w="1877"/>
        <w:gridCol w:w="1559"/>
      </w:tblGrid>
      <w:tr w:rsidR="00406324" w:rsidRPr="000B5E5D" w:rsidTr="00F401B1">
        <w:tc>
          <w:tcPr>
            <w:tcW w:w="5670" w:type="dxa"/>
            <w:gridSpan w:val="2"/>
            <w:shd w:val="clear" w:color="auto" w:fill="BEEEF8"/>
          </w:tcPr>
          <w:p w:rsidR="00406324" w:rsidRPr="00D56438" w:rsidRDefault="00406324" w:rsidP="001E2FAB">
            <w:pPr>
              <w:autoSpaceDE w:val="0"/>
              <w:autoSpaceDN w:val="0"/>
              <w:adjustRightInd w:val="0"/>
              <w:spacing w:line="276" w:lineRule="auto"/>
              <w:jc w:val="both"/>
              <w:rPr>
                <w:rFonts w:ascii="StobiSerif Regular" w:hAnsi="StobiSerif Regular"/>
                <w:b/>
                <w:sz w:val="16"/>
                <w:szCs w:val="16"/>
              </w:rPr>
            </w:pPr>
            <w:r w:rsidRPr="00D56438">
              <w:rPr>
                <w:rFonts w:ascii="StobiSerif Regular" w:hAnsi="StobiSerif Regular"/>
                <w:b/>
                <w:sz w:val="16"/>
                <w:szCs w:val="16"/>
              </w:rPr>
              <w:t>Индикатор</w:t>
            </w:r>
          </w:p>
        </w:tc>
        <w:tc>
          <w:tcPr>
            <w:tcW w:w="1877" w:type="dxa"/>
            <w:shd w:val="clear" w:color="auto" w:fill="BEEEF8"/>
          </w:tcPr>
          <w:p w:rsidR="00406324" w:rsidRPr="00D56438" w:rsidRDefault="00406324" w:rsidP="001E2FAB">
            <w:pPr>
              <w:autoSpaceDE w:val="0"/>
              <w:autoSpaceDN w:val="0"/>
              <w:adjustRightInd w:val="0"/>
              <w:spacing w:line="276" w:lineRule="auto"/>
              <w:jc w:val="both"/>
              <w:rPr>
                <w:rFonts w:ascii="StobiSerif Regular" w:hAnsi="StobiSerif Regular"/>
                <w:b/>
                <w:sz w:val="16"/>
                <w:szCs w:val="16"/>
                <w:lang w:val="en-GB"/>
              </w:rPr>
            </w:pPr>
            <w:r w:rsidRPr="00D56438">
              <w:rPr>
                <w:rFonts w:ascii="StobiSerif Regular" w:hAnsi="StobiSerif Regular"/>
                <w:b/>
                <w:sz w:val="16"/>
                <w:szCs w:val="16"/>
                <w:lang w:val="en-GB"/>
              </w:rPr>
              <w:t>цели</w:t>
            </w:r>
          </w:p>
        </w:tc>
        <w:tc>
          <w:tcPr>
            <w:tcW w:w="1559" w:type="dxa"/>
            <w:shd w:val="clear" w:color="auto" w:fill="BEEEF8"/>
          </w:tcPr>
          <w:p w:rsidR="00406324" w:rsidRPr="000B5E5D" w:rsidRDefault="00406324" w:rsidP="00A63D46">
            <w:pPr>
              <w:autoSpaceDE w:val="0"/>
              <w:autoSpaceDN w:val="0"/>
              <w:adjustRightInd w:val="0"/>
              <w:jc w:val="center"/>
              <w:rPr>
                <w:rFonts w:ascii="StobiSerif Regular" w:hAnsi="StobiSerif Regular"/>
                <w:b/>
                <w:sz w:val="16"/>
                <w:szCs w:val="16"/>
                <w:lang w:val="en-US"/>
              </w:rPr>
            </w:pPr>
            <w:r w:rsidRPr="000B5E5D">
              <w:rPr>
                <w:rFonts w:ascii="StobiSerif Regular" w:hAnsi="StobiSerif Regular"/>
                <w:b/>
                <w:sz w:val="16"/>
                <w:szCs w:val="16"/>
                <w:lang w:val="en-GB"/>
              </w:rPr>
              <w:t>201</w:t>
            </w:r>
            <w:r w:rsidRPr="000B5E5D">
              <w:rPr>
                <w:rFonts w:ascii="StobiSerif Regular" w:hAnsi="StobiSerif Regular"/>
                <w:b/>
                <w:sz w:val="16"/>
                <w:szCs w:val="16"/>
                <w:lang w:val="en-US"/>
              </w:rPr>
              <w:t>6</w:t>
            </w:r>
          </w:p>
        </w:tc>
      </w:tr>
      <w:tr w:rsidR="00406324" w:rsidRPr="000B5E5D" w:rsidTr="00F401B1">
        <w:trPr>
          <w:trHeight w:val="195"/>
        </w:trPr>
        <w:tc>
          <w:tcPr>
            <w:tcW w:w="4678" w:type="dxa"/>
            <w:vMerge w:val="restart"/>
            <w:tcBorders>
              <w:right w:val="single" w:sz="4" w:space="0" w:color="auto"/>
            </w:tcBorders>
            <w:shd w:val="clear" w:color="auto" w:fill="BEEEF8"/>
          </w:tcPr>
          <w:p w:rsidR="00406324" w:rsidRPr="00D56438" w:rsidRDefault="00406324" w:rsidP="001E2FAB">
            <w:pPr>
              <w:autoSpaceDE w:val="0"/>
              <w:autoSpaceDN w:val="0"/>
              <w:adjustRightInd w:val="0"/>
              <w:spacing w:line="276" w:lineRule="auto"/>
              <w:jc w:val="both"/>
              <w:rPr>
                <w:rFonts w:ascii="StobiSerif Regular" w:hAnsi="StobiSerif Regular"/>
                <w:sz w:val="16"/>
                <w:szCs w:val="16"/>
                <w:lang w:val="en-GB"/>
              </w:rPr>
            </w:pPr>
            <w:r>
              <w:rPr>
                <w:rFonts w:ascii="StobiSerif Regular" w:hAnsi="StobiSerif Regular"/>
                <w:sz w:val="16"/>
                <w:szCs w:val="16"/>
              </w:rPr>
              <w:t xml:space="preserve">Број на реконструирани лозови насади   </w:t>
            </w:r>
          </w:p>
        </w:tc>
        <w:tc>
          <w:tcPr>
            <w:tcW w:w="992" w:type="dxa"/>
            <w:tcBorders>
              <w:left w:val="single" w:sz="4" w:space="0" w:color="auto"/>
              <w:bottom w:val="single" w:sz="4" w:space="0" w:color="auto"/>
            </w:tcBorders>
            <w:shd w:val="clear" w:color="auto" w:fill="BEEEF8"/>
          </w:tcPr>
          <w:p w:rsidR="00406324" w:rsidRPr="00D56438" w:rsidRDefault="00406324" w:rsidP="001E2FAB">
            <w:pPr>
              <w:autoSpaceDE w:val="0"/>
              <w:autoSpaceDN w:val="0"/>
              <w:adjustRightInd w:val="0"/>
              <w:jc w:val="both"/>
              <w:rPr>
                <w:rFonts w:ascii="StobiSerif Regular" w:hAnsi="StobiSerif Regular"/>
                <w:sz w:val="16"/>
                <w:szCs w:val="16"/>
              </w:rPr>
            </w:pPr>
            <w:r w:rsidRPr="00D56438">
              <w:rPr>
                <w:rFonts w:ascii="StobiSerif Regular" w:hAnsi="StobiSerif Regular"/>
                <w:sz w:val="16"/>
                <w:szCs w:val="16"/>
              </w:rPr>
              <w:t>0,5-5ха</w:t>
            </w:r>
          </w:p>
        </w:tc>
        <w:tc>
          <w:tcPr>
            <w:tcW w:w="1877" w:type="dxa"/>
            <w:vMerge w:val="restart"/>
            <w:shd w:val="clear" w:color="auto" w:fill="BEEEF8"/>
          </w:tcPr>
          <w:p w:rsidR="00406324" w:rsidRPr="00D56438" w:rsidRDefault="00406324" w:rsidP="001E2FAB">
            <w:pPr>
              <w:autoSpaceDE w:val="0"/>
              <w:autoSpaceDN w:val="0"/>
              <w:adjustRightInd w:val="0"/>
              <w:spacing w:line="276" w:lineRule="auto"/>
              <w:jc w:val="both"/>
              <w:rPr>
                <w:rFonts w:ascii="StobiSerif Regular" w:hAnsi="StobiSerif Regular"/>
                <w:sz w:val="16"/>
                <w:szCs w:val="16"/>
              </w:rPr>
            </w:pPr>
            <w:r w:rsidRPr="00D56438">
              <w:rPr>
                <w:rFonts w:ascii="StobiSerif Regular" w:hAnsi="StobiSerif Regular"/>
                <w:sz w:val="16"/>
                <w:szCs w:val="16"/>
                <w:lang w:val="en-GB"/>
              </w:rPr>
              <w:t>прибл.5%</w:t>
            </w:r>
            <w:r w:rsidRPr="00D56438">
              <w:rPr>
                <w:rFonts w:ascii="StobiSerif Regular" w:hAnsi="StobiSerif Regular"/>
                <w:sz w:val="16"/>
                <w:szCs w:val="16"/>
              </w:rPr>
              <w:t xml:space="preserve"> </w:t>
            </w:r>
          </w:p>
        </w:tc>
        <w:tc>
          <w:tcPr>
            <w:tcW w:w="1559" w:type="dxa"/>
            <w:tcBorders>
              <w:bottom w:val="single" w:sz="4" w:space="0" w:color="auto"/>
            </w:tcBorders>
            <w:shd w:val="clear" w:color="auto" w:fill="F1FA98"/>
          </w:tcPr>
          <w:p w:rsidR="00406324" w:rsidRPr="000B5E5D" w:rsidRDefault="00406324" w:rsidP="00F401B1">
            <w:pPr>
              <w:autoSpaceDE w:val="0"/>
              <w:autoSpaceDN w:val="0"/>
              <w:adjustRightInd w:val="0"/>
              <w:jc w:val="both"/>
              <w:rPr>
                <w:rFonts w:ascii="StobiSerif Regular" w:hAnsi="StobiSerif Regular"/>
                <w:sz w:val="16"/>
                <w:szCs w:val="16"/>
                <w:lang w:val="en-US"/>
              </w:rPr>
            </w:pPr>
            <w:r w:rsidRPr="000B5E5D">
              <w:rPr>
                <w:rFonts w:ascii="StobiSerif Regular" w:hAnsi="StobiSerif Regular"/>
                <w:sz w:val="16"/>
                <w:szCs w:val="16"/>
                <w:lang w:val="en-US"/>
              </w:rPr>
              <w:t>115</w:t>
            </w:r>
          </w:p>
        </w:tc>
      </w:tr>
      <w:tr w:rsidR="00406324" w:rsidRPr="000B5E5D" w:rsidTr="00F401B1">
        <w:trPr>
          <w:trHeight w:val="227"/>
        </w:trPr>
        <w:tc>
          <w:tcPr>
            <w:tcW w:w="4678" w:type="dxa"/>
            <w:vMerge/>
            <w:tcBorders>
              <w:right w:val="single" w:sz="4" w:space="0" w:color="auto"/>
            </w:tcBorders>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lang w:val="en-GB"/>
              </w:rPr>
            </w:pPr>
          </w:p>
        </w:tc>
        <w:tc>
          <w:tcPr>
            <w:tcW w:w="992" w:type="dxa"/>
            <w:tcBorders>
              <w:top w:val="single" w:sz="4" w:space="0" w:color="auto"/>
              <w:left w:val="single" w:sz="4" w:space="0" w:color="auto"/>
              <w:bottom w:val="single" w:sz="4" w:space="0" w:color="auto"/>
            </w:tcBorders>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rPr>
            </w:pPr>
            <w:r w:rsidRPr="00D56438">
              <w:rPr>
                <w:rFonts w:ascii="StobiSerif Regular" w:hAnsi="StobiSerif Regular"/>
                <w:sz w:val="16"/>
                <w:szCs w:val="16"/>
              </w:rPr>
              <w:t>5-10 ха</w:t>
            </w:r>
          </w:p>
        </w:tc>
        <w:tc>
          <w:tcPr>
            <w:tcW w:w="1877" w:type="dxa"/>
            <w:vMerge/>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lang w:val="en-GB"/>
              </w:rPr>
            </w:pPr>
          </w:p>
        </w:tc>
        <w:tc>
          <w:tcPr>
            <w:tcW w:w="1559" w:type="dxa"/>
            <w:tcBorders>
              <w:top w:val="single" w:sz="4" w:space="0" w:color="auto"/>
              <w:bottom w:val="single" w:sz="4" w:space="0" w:color="auto"/>
            </w:tcBorders>
            <w:shd w:val="clear" w:color="auto" w:fill="F1FA98"/>
          </w:tcPr>
          <w:p w:rsidR="00406324" w:rsidRPr="000B5E5D" w:rsidRDefault="00406324" w:rsidP="00F401B1">
            <w:pPr>
              <w:autoSpaceDE w:val="0"/>
              <w:autoSpaceDN w:val="0"/>
              <w:adjustRightInd w:val="0"/>
              <w:jc w:val="both"/>
              <w:rPr>
                <w:rFonts w:ascii="StobiSerif Regular" w:hAnsi="StobiSerif Regular"/>
                <w:sz w:val="16"/>
                <w:szCs w:val="16"/>
                <w:lang w:val="en-US"/>
              </w:rPr>
            </w:pPr>
            <w:r w:rsidRPr="000B5E5D">
              <w:rPr>
                <w:rFonts w:ascii="StobiSerif Regular" w:hAnsi="StobiSerif Regular"/>
                <w:sz w:val="16"/>
                <w:szCs w:val="16"/>
                <w:lang w:val="en-US"/>
              </w:rPr>
              <w:t>27</w:t>
            </w:r>
          </w:p>
        </w:tc>
      </w:tr>
      <w:tr w:rsidR="00406324" w:rsidRPr="000B5E5D" w:rsidTr="00F401B1">
        <w:trPr>
          <w:trHeight w:val="259"/>
        </w:trPr>
        <w:tc>
          <w:tcPr>
            <w:tcW w:w="4678" w:type="dxa"/>
            <w:vMerge/>
            <w:tcBorders>
              <w:right w:val="single" w:sz="4" w:space="0" w:color="auto"/>
            </w:tcBorders>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lang w:val="en-GB"/>
              </w:rPr>
            </w:pPr>
          </w:p>
        </w:tc>
        <w:tc>
          <w:tcPr>
            <w:tcW w:w="992" w:type="dxa"/>
            <w:tcBorders>
              <w:top w:val="single" w:sz="4" w:space="0" w:color="auto"/>
              <w:left w:val="single" w:sz="4" w:space="0" w:color="auto"/>
            </w:tcBorders>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rPr>
            </w:pPr>
            <w:r w:rsidRPr="00D56438">
              <w:rPr>
                <w:rFonts w:ascii="StobiSerif Regular" w:hAnsi="StobiSerif Regular"/>
                <w:sz w:val="16"/>
                <w:szCs w:val="16"/>
              </w:rPr>
              <w:t xml:space="preserve">10-20 ха </w:t>
            </w:r>
          </w:p>
        </w:tc>
        <w:tc>
          <w:tcPr>
            <w:tcW w:w="1877" w:type="dxa"/>
            <w:vMerge/>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lang w:val="en-GB"/>
              </w:rPr>
            </w:pPr>
          </w:p>
        </w:tc>
        <w:tc>
          <w:tcPr>
            <w:tcW w:w="1559" w:type="dxa"/>
            <w:tcBorders>
              <w:top w:val="single" w:sz="4" w:space="0" w:color="auto"/>
            </w:tcBorders>
            <w:shd w:val="clear" w:color="auto" w:fill="F1FA98"/>
          </w:tcPr>
          <w:p w:rsidR="00406324" w:rsidRPr="000B5E5D" w:rsidRDefault="00406324" w:rsidP="00F401B1">
            <w:pPr>
              <w:autoSpaceDE w:val="0"/>
              <w:autoSpaceDN w:val="0"/>
              <w:adjustRightInd w:val="0"/>
              <w:jc w:val="both"/>
              <w:rPr>
                <w:rFonts w:ascii="StobiSerif Regular" w:hAnsi="StobiSerif Regular"/>
                <w:sz w:val="16"/>
                <w:szCs w:val="16"/>
                <w:lang w:val="en-US"/>
              </w:rPr>
            </w:pPr>
            <w:r w:rsidRPr="000B5E5D">
              <w:rPr>
                <w:rFonts w:ascii="StobiSerif Regular" w:hAnsi="StobiSerif Regular"/>
                <w:sz w:val="16"/>
                <w:szCs w:val="16"/>
                <w:lang w:val="en-US"/>
              </w:rPr>
              <w:t>3</w:t>
            </w:r>
          </w:p>
        </w:tc>
      </w:tr>
      <w:tr w:rsidR="00406324" w:rsidRPr="000B5E5D" w:rsidTr="00F401B1">
        <w:trPr>
          <w:trHeight w:val="249"/>
        </w:trPr>
        <w:tc>
          <w:tcPr>
            <w:tcW w:w="4678" w:type="dxa"/>
            <w:vMerge w:val="restart"/>
            <w:tcBorders>
              <w:right w:val="single" w:sz="4" w:space="0" w:color="auto"/>
            </w:tcBorders>
            <w:shd w:val="clear" w:color="auto" w:fill="BEEEF8"/>
          </w:tcPr>
          <w:p w:rsidR="00406324" w:rsidRDefault="00406324" w:rsidP="001E2FAB">
            <w:pPr>
              <w:autoSpaceDE w:val="0"/>
              <w:autoSpaceDN w:val="0"/>
              <w:adjustRightInd w:val="0"/>
              <w:jc w:val="both"/>
              <w:rPr>
                <w:rFonts w:ascii="StobiSerif Regular" w:hAnsi="StobiSerif Regular"/>
                <w:sz w:val="16"/>
                <w:szCs w:val="16"/>
              </w:rPr>
            </w:pPr>
            <w:r>
              <w:rPr>
                <w:rFonts w:ascii="StobiSerif Regular" w:hAnsi="StobiSerif Regular"/>
                <w:sz w:val="16"/>
                <w:szCs w:val="16"/>
              </w:rPr>
              <w:t>Број на реконструирани овошни насади</w:t>
            </w:r>
          </w:p>
          <w:p w:rsidR="00406324" w:rsidRPr="00D56438" w:rsidRDefault="00406324" w:rsidP="001E2FAB">
            <w:pPr>
              <w:autoSpaceDE w:val="0"/>
              <w:autoSpaceDN w:val="0"/>
              <w:adjustRightInd w:val="0"/>
              <w:spacing w:line="276" w:lineRule="auto"/>
              <w:jc w:val="both"/>
              <w:rPr>
                <w:rFonts w:ascii="StobiSerif Regular" w:hAnsi="StobiSerif Regular"/>
                <w:sz w:val="16"/>
                <w:szCs w:val="16"/>
                <w:lang w:val="en-GB"/>
              </w:rPr>
            </w:pPr>
            <w:r w:rsidRPr="00D56438">
              <w:rPr>
                <w:rFonts w:ascii="StobiSerif Regular" w:hAnsi="StobiSerif Regular"/>
                <w:sz w:val="16"/>
                <w:szCs w:val="16"/>
                <w:lang w:val="en-GB"/>
              </w:rPr>
              <w:t xml:space="preserve"> </w:t>
            </w:r>
          </w:p>
        </w:tc>
        <w:tc>
          <w:tcPr>
            <w:tcW w:w="992" w:type="dxa"/>
            <w:tcBorders>
              <w:left w:val="single" w:sz="4" w:space="0" w:color="auto"/>
              <w:bottom w:val="single" w:sz="4" w:space="0" w:color="auto"/>
            </w:tcBorders>
            <w:shd w:val="clear" w:color="auto" w:fill="BEEEF8"/>
          </w:tcPr>
          <w:p w:rsidR="00406324" w:rsidRPr="00D56438" w:rsidRDefault="00406324" w:rsidP="001E2FAB">
            <w:pPr>
              <w:autoSpaceDE w:val="0"/>
              <w:autoSpaceDN w:val="0"/>
              <w:adjustRightInd w:val="0"/>
              <w:jc w:val="both"/>
              <w:rPr>
                <w:rFonts w:ascii="StobiSerif Regular" w:hAnsi="StobiSerif Regular"/>
                <w:sz w:val="16"/>
                <w:szCs w:val="16"/>
              </w:rPr>
            </w:pPr>
            <w:r w:rsidRPr="00D56438">
              <w:rPr>
                <w:rFonts w:ascii="StobiSerif Regular" w:hAnsi="StobiSerif Regular"/>
                <w:sz w:val="16"/>
                <w:szCs w:val="16"/>
              </w:rPr>
              <w:t>0,5-5 ха</w:t>
            </w:r>
          </w:p>
        </w:tc>
        <w:tc>
          <w:tcPr>
            <w:tcW w:w="1877" w:type="dxa"/>
            <w:vMerge w:val="restart"/>
            <w:shd w:val="clear" w:color="auto" w:fill="BEEEF8"/>
          </w:tcPr>
          <w:p w:rsidR="00406324" w:rsidRPr="00D56438" w:rsidRDefault="00406324" w:rsidP="001E2FAB">
            <w:pPr>
              <w:autoSpaceDE w:val="0"/>
              <w:autoSpaceDN w:val="0"/>
              <w:adjustRightInd w:val="0"/>
              <w:spacing w:line="276" w:lineRule="auto"/>
              <w:jc w:val="both"/>
              <w:rPr>
                <w:rFonts w:ascii="StobiSerif Regular" w:hAnsi="StobiSerif Regular"/>
                <w:sz w:val="16"/>
                <w:szCs w:val="16"/>
              </w:rPr>
            </w:pPr>
            <w:r w:rsidRPr="00D56438">
              <w:rPr>
                <w:rFonts w:ascii="StobiSerif Regular" w:hAnsi="StobiSerif Regular"/>
                <w:sz w:val="16"/>
                <w:szCs w:val="16"/>
                <w:lang w:val="en-GB"/>
              </w:rPr>
              <w:t>прибл. 2%</w:t>
            </w:r>
            <w:r w:rsidRPr="00D56438">
              <w:rPr>
                <w:rFonts w:ascii="StobiSerif Regular" w:hAnsi="StobiSerif Regular"/>
                <w:sz w:val="16"/>
                <w:szCs w:val="16"/>
              </w:rPr>
              <w:t xml:space="preserve"> </w:t>
            </w:r>
          </w:p>
        </w:tc>
        <w:tc>
          <w:tcPr>
            <w:tcW w:w="1559" w:type="dxa"/>
            <w:tcBorders>
              <w:bottom w:val="single" w:sz="4" w:space="0" w:color="auto"/>
            </w:tcBorders>
            <w:shd w:val="clear" w:color="auto" w:fill="F1FA98"/>
          </w:tcPr>
          <w:p w:rsidR="00406324" w:rsidRPr="000B5E5D" w:rsidRDefault="00406324" w:rsidP="00F401B1">
            <w:pPr>
              <w:autoSpaceDE w:val="0"/>
              <w:autoSpaceDN w:val="0"/>
              <w:adjustRightInd w:val="0"/>
              <w:jc w:val="both"/>
              <w:rPr>
                <w:rFonts w:ascii="StobiSerif Regular" w:hAnsi="StobiSerif Regular"/>
                <w:sz w:val="16"/>
                <w:szCs w:val="16"/>
                <w:lang w:val="en-US"/>
              </w:rPr>
            </w:pPr>
            <w:r w:rsidRPr="000B5E5D">
              <w:rPr>
                <w:rFonts w:ascii="StobiSerif Regular" w:hAnsi="StobiSerif Regular"/>
                <w:sz w:val="16"/>
                <w:szCs w:val="16"/>
                <w:lang w:val="en-US"/>
              </w:rPr>
              <w:t>202</w:t>
            </w:r>
          </w:p>
        </w:tc>
      </w:tr>
      <w:tr w:rsidR="00406324" w:rsidRPr="000B5E5D" w:rsidTr="00F401B1">
        <w:trPr>
          <w:trHeight w:val="253"/>
        </w:trPr>
        <w:tc>
          <w:tcPr>
            <w:tcW w:w="4678" w:type="dxa"/>
            <w:vMerge/>
            <w:tcBorders>
              <w:right w:val="single" w:sz="4" w:space="0" w:color="auto"/>
            </w:tcBorders>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lang w:val="en-GB"/>
              </w:rPr>
            </w:pPr>
          </w:p>
        </w:tc>
        <w:tc>
          <w:tcPr>
            <w:tcW w:w="992" w:type="dxa"/>
            <w:tcBorders>
              <w:top w:val="single" w:sz="4" w:space="0" w:color="auto"/>
              <w:left w:val="single" w:sz="4" w:space="0" w:color="auto"/>
              <w:bottom w:val="single" w:sz="4" w:space="0" w:color="auto"/>
            </w:tcBorders>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rPr>
            </w:pPr>
            <w:r w:rsidRPr="00D56438">
              <w:rPr>
                <w:rFonts w:ascii="StobiSerif Regular" w:hAnsi="StobiSerif Regular"/>
                <w:sz w:val="16"/>
                <w:szCs w:val="16"/>
              </w:rPr>
              <w:t>5-10 ха</w:t>
            </w:r>
          </w:p>
        </w:tc>
        <w:tc>
          <w:tcPr>
            <w:tcW w:w="1877" w:type="dxa"/>
            <w:vMerge/>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lang w:val="en-GB"/>
              </w:rPr>
            </w:pPr>
          </w:p>
        </w:tc>
        <w:tc>
          <w:tcPr>
            <w:tcW w:w="1559" w:type="dxa"/>
            <w:tcBorders>
              <w:top w:val="single" w:sz="4" w:space="0" w:color="auto"/>
              <w:bottom w:val="single" w:sz="4" w:space="0" w:color="auto"/>
            </w:tcBorders>
            <w:shd w:val="clear" w:color="auto" w:fill="F1FA98"/>
          </w:tcPr>
          <w:p w:rsidR="00406324" w:rsidRPr="000B5E5D" w:rsidRDefault="00406324" w:rsidP="00F401B1">
            <w:pPr>
              <w:autoSpaceDE w:val="0"/>
              <w:autoSpaceDN w:val="0"/>
              <w:adjustRightInd w:val="0"/>
              <w:jc w:val="both"/>
              <w:rPr>
                <w:rFonts w:ascii="StobiSerif Regular" w:hAnsi="StobiSerif Regular"/>
                <w:sz w:val="16"/>
                <w:szCs w:val="16"/>
                <w:lang w:val="en-US"/>
              </w:rPr>
            </w:pPr>
            <w:r w:rsidRPr="000B5E5D">
              <w:rPr>
                <w:rFonts w:ascii="StobiSerif Regular" w:hAnsi="StobiSerif Regular"/>
                <w:sz w:val="16"/>
                <w:szCs w:val="16"/>
                <w:lang w:val="en-US"/>
              </w:rPr>
              <w:t>126</w:t>
            </w:r>
          </w:p>
        </w:tc>
      </w:tr>
      <w:tr w:rsidR="00406324" w:rsidRPr="000B5E5D" w:rsidTr="00F401B1">
        <w:trPr>
          <w:trHeight w:val="257"/>
        </w:trPr>
        <w:tc>
          <w:tcPr>
            <w:tcW w:w="4678" w:type="dxa"/>
            <w:vMerge/>
            <w:tcBorders>
              <w:right w:val="single" w:sz="4" w:space="0" w:color="auto"/>
            </w:tcBorders>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lang w:val="en-GB"/>
              </w:rPr>
            </w:pPr>
          </w:p>
        </w:tc>
        <w:tc>
          <w:tcPr>
            <w:tcW w:w="992" w:type="dxa"/>
            <w:tcBorders>
              <w:top w:val="single" w:sz="4" w:space="0" w:color="auto"/>
              <w:left w:val="single" w:sz="4" w:space="0" w:color="auto"/>
            </w:tcBorders>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rPr>
            </w:pPr>
            <w:r w:rsidRPr="00D56438">
              <w:rPr>
                <w:rFonts w:ascii="StobiSerif Regular" w:hAnsi="StobiSerif Regular"/>
                <w:sz w:val="16"/>
                <w:szCs w:val="16"/>
              </w:rPr>
              <w:t>10-20 ха</w:t>
            </w:r>
          </w:p>
        </w:tc>
        <w:tc>
          <w:tcPr>
            <w:tcW w:w="1877" w:type="dxa"/>
            <w:vMerge/>
            <w:shd w:val="clear" w:color="auto" w:fill="BEEEF8"/>
          </w:tcPr>
          <w:p w:rsidR="00406324" w:rsidRPr="000B5E5D" w:rsidRDefault="00406324" w:rsidP="00F401B1">
            <w:pPr>
              <w:autoSpaceDE w:val="0"/>
              <w:autoSpaceDN w:val="0"/>
              <w:adjustRightInd w:val="0"/>
              <w:jc w:val="both"/>
              <w:rPr>
                <w:rFonts w:ascii="StobiSerif Regular" w:hAnsi="StobiSerif Regular"/>
                <w:sz w:val="16"/>
                <w:szCs w:val="16"/>
                <w:lang w:val="en-GB"/>
              </w:rPr>
            </w:pPr>
          </w:p>
        </w:tc>
        <w:tc>
          <w:tcPr>
            <w:tcW w:w="1559" w:type="dxa"/>
            <w:tcBorders>
              <w:top w:val="single" w:sz="4" w:space="0" w:color="auto"/>
            </w:tcBorders>
            <w:shd w:val="clear" w:color="auto" w:fill="F1FA98"/>
          </w:tcPr>
          <w:p w:rsidR="00406324" w:rsidRPr="000B5E5D" w:rsidRDefault="00406324" w:rsidP="00F401B1">
            <w:pPr>
              <w:autoSpaceDE w:val="0"/>
              <w:autoSpaceDN w:val="0"/>
              <w:adjustRightInd w:val="0"/>
              <w:jc w:val="both"/>
              <w:rPr>
                <w:rFonts w:ascii="StobiSerif Regular" w:hAnsi="StobiSerif Regular"/>
                <w:sz w:val="16"/>
                <w:szCs w:val="16"/>
                <w:lang w:val="en-US"/>
              </w:rPr>
            </w:pPr>
            <w:r w:rsidRPr="000B5E5D">
              <w:rPr>
                <w:rFonts w:ascii="StobiSerif Regular" w:hAnsi="StobiSerif Regular"/>
                <w:sz w:val="16"/>
                <w:szCs w:val="16"/>
                <w:lang w:val="en-US"/>
              </w:rPr>
              <w:t>7</w:t>
            </w:r>
          </w:p>
        </w:tc>
      </w:tr>
      <w:tr w:rsidR="00406324" w:rsidRPr="000B5E5D" w:rsidTr="00F401B1">
        <w:trPr>
          <w:trHeight w:val="247"/>
        </w:trPr>
        <w:tc>
          <w:tcPr>
            <w:tcW w:w="4678" w:type="dxa"/>
            <w:vMerge w:val="restart"/>
            <w:tcBorders>
              <w:right w:val="single" w:sz="4" w:space="0" w:color="auto"/>
            </w:tcBorders>
            <w:shd w:val="clear" w:color="auto" w:fill="BEEEF8"/>
          </w:tcPr>
          <w:p w:rsidR="00406324" w:rsidRPr="00D56438" w:rsidRDefault="00406324" w:rsidP="001E2FAB">
            <w:pPr>
              <w:autoSpaceDE w:val="0"/>
              <w:autoSpaceDN w:val="0"/>
              <w:adjustRightInd w:val="0"/>
              <w:spacing w:line="276" w:lineRule="auto"/>
              <w:jc w:val="both"/>
              <w:rPr>
                <w:rFonts w:ascii="StobiSerif Regular" w:hAnsi="StobiSerif Regular"/>
                <w:sz w:val="16"/>
                <w:szCs w:val="16"/>
                <w:lang w:val="en-GB"/>
              </w:rPr>
            </w:pPr>
            <w:r>
              <w:rPr>
                <w:rFonts w:ascii="StobiSerif Regular" w:hAnsi="StobiSerif Regular"/>
                <w:sz w:val="16"/>
                <w:szCs w:val="16"/>
              </w:rPr>
              <w:t>Број</w:t>
            </w:r>
            <w:r>
              <w:rPr>
                <w:rFonts w:ascii="StobiSerif Regular" w:hAnsi="StobiSerif Regular"/>
                <w:sz w:val="16"/>
                <w:szCs w:val="16"/>
                <w:lang w:val="en-GB"/>
              </w:rPr>
              <w:t xml:space="preserve"> на изградени/реконструирани фиксни пластеници</w:t>
            </w:r>
          </w:p>
        </w:tc>
        <w:tc>
          <w:tcPr>
            <w:tcW w:w="992" w:type="dxa"/>
            <w:tcBorders>
              <w:left w:val="single" w:sz="4" w:space="0" w:color="auto"/>
              <w:bottom w:val="single" w:sz="4" w:space="0" w:color="auto"/>
            </w:tcBorders>
            <w:shd w:val="clear" w:color="auto" w:fill="BEEEF8"/>
          </w:tcPr>
          <w:p w:rsidR="00406324" w:rsidRPr="00D56438" w:rsidRDefault="00406324" w:rsidP="001E2FAB">
            <w:pPr>
              <w:autoSpaceDE w:val="0"/>
              <w:autoSpaceDN w:val="0"/>
              <w:adjustRightInd w:val="0"/>
              <w:jc w:val="both"/>
              <w:rPr>
                <w:rFonts w:ascii="StobiSerif Regular" w:hAnsi="StobiSerif Regular"/>
                <w:sz w:val="16"/>
                <w:szCs w:val="16"/>
              </w:rPr>
            </w:pPr>
            <w:r w:rsidRPr="00D56438">
              <w:rPr>
                <w:rFonts w:ascii="StobiSerif Regular" w:hAnsi="StobiSerif Regular"/>
                <w:sz w:val="16"/>
                <w:szCs w:val="16"/>
              </w:rPr>
              <w:t>0,3-1 ха</w:t>
            </w:r>
          </w:p>
        </w:tc>
        <w:tc>
          <w:tcPr>
            <w:tcW w:w="1877" w:type="dxa"/>
            <w:vMerge w:val="restart"/>
            <w:shd w:val="clear" w:color="auto" w:fill="BEEEF8"/>
          </w:tcPr>
          <w:p w:rsidR="00406324" w:rsidRPr="00D56438" w:rsidRDefault="00406324" w:rsidP="001E2FAB">
            <w:pPr>
              <w:autoSpaceDE w:val="0"/>
              <w:autoSpaceDN w:val="0"/>
              <w:adjustRightInd w:val="0"/>
              <w:spacing w:line="276" w:lineRule="auto"/>
              <w:jc w:val="both"/>
              <w:rPr>
                <w:rFonts w:ascii="StobiSerif Regular" w:hAnsi="StobiSerif Regular"/>
                <w:sz w:val="16"/>
                <w:szCs w:val="16"/>
                <w:lang w:val="en-GB"/>
              </w:rPr>
            </w:pPr>
            <w:r w:rsidRPr="00D56438">
              <w:rPr>
                <w:rFonts w:ascii="StobiSerif Regular" w:hAnsi="StobiSerif Regular"/>
                <w:sz w:val="16"/>
                <w:szCs w:val="16"/>
                <w:lang w:val="en-GB"/>
              </w:rPr>
              <w:t>прибл.30%</w:t>
            </w:r>
          </w:p>
        </w:tc>
        <w:tc>
          <w:tcPr>
            <w:tcW w:w="1559" w:type="dxa"/>
            <w:tcBorders>
              <w:bottom w:val="single" w:sz="4" w:space="0" w:color="auto"/>
            </w:tcBorders>
            <w:shd w:val="clear" w:color="auto" w:fill="F1FA98"/>
          </w:tcPr>
          <w:p w:rsidR="00406324" w:rsidRPr="000B5E5D" w:rsidRDefault="00406324" w:rsidP="00F401B1">
            <w:pPr>
              <w:autoSpaceDE w:val="0"/>
              <w:autoSpaceDN w:val="0"/>
              <w:adjustRightInd w:val="0"/>
              <w:jc w:val="both"/>
              <w:rPr>
                <w:rFonts w:ascii="StobiSerif Regular" w:hAnsi="StobiSerif Regular"/>
                <w:sz w:val="16"/>
                <w:szCs w:val="16"/>
                <w:lang w:val="en-US"/>
              </w:rPr>
            </w:pPr>
            <w:r w:rsidRPr="000B5E5D">
              <w:rPr>
                <w:rFonts w:ascii="StobiSerif Regular" w:hAnsi="StobiSerif Regular"/>
                <w:sz w:val="16"/>
                <w:szCs w:val="16"/>
                <w:lang w:val="en-US"/>
              </w:rPr>
              <w:t>4</w:t>
            </w:r>
          </w:p>
        </w:tc>
      </w:tr>
      <w:tr w:rsidR="00F401B1" w:rsidRPr="000B5E5D" w:rsidTr="00F401B1">
        <w:trPr>
          <w:trHeight w:val="251"/>
        </w:trPr>
        <w:tc>
          <w:tcPr>
            <w:tcW w:w="4678" w:type="dxa"/>
            <w:vMerge/>
            <w:tcBorders>
              <w:right w:val="single" w:sz="4" w:space="0" w:color="auto"/>
            </w:tcBorders>
            <w:shd w:val="clear" w:color="auto" w:fill="BEEEF8"/>
          </w:tcPr>
          <w:p w:rsidR="00F401B1" w:rsidRPr="000B5E5D" w:rsidRDefault="00F401B1" w:rsidP="00F401B1">
            <w:pPr>
              <w:autoSpaceDE w:val="0"/>
              <w:autoSpaceDN w:val="0"/>
              <w:adjustRightInd w:val="0"/>
              <w:jc w:val="both"/>
              <w:rPr>
                <w:rFonts w:ascii="StobiSerif Regular" w:hAnsi="StobiSerif Regular"/>
                <w:sz w:val="16"/>
                <w:szCs w:val="16"/>
                <w:lang w:val="en-GB"/>
              </w:rPr>
            </w:pPr>
          </w:p>
        </w:tc>
        <w:tc>
          <w:tcPr>
            <w:tcW w:w="992" w:type="dxa"/>
            <w:tcBorders>
              <w:top w:val="single" w:sz="4" w:space="0" w:color="auto"/>
              <w:left w:val="single" w:sz="4" w:space="0" w:color="auto"/>
            </w:tcBorders>
            <w:shd w:val="clear" w:color="auto" w:fill="BEEEF8"/>
          </w:tcPr>
          <w:p w:rsidR="00F401B1" w:rsidRPr="000B5E5D" w:rsidRDefault="00406324" w:rsidP="00F401B1">
            <w:pPr>
              <w:autoSpaceDE w:val="0"/>
              <w:autoSpaceDN w:val="0"/>
              <w:adjustRightInd w:val="0"/>
              <w:jc w:val="both"/>
              <w:rPr>
                <w:rFonts w:ascii="StobiSerif Regular" w:hAnsi="StobiSerif Regular"/>
                <w:sz w:val="16"/>
                <w:szCs w:val="16"/>
              </w:rPr>
            </w:pPr>
            <w:r w:rsidRPr="00406324">
              <w:rPr>
                <w:rFonts w:ascii="StobiSerif Regular" w:hAnsi="StobiSerif Regular"/>
                <w:sz w:val="16"/>
                <w:szCs w:val="16"/>
              </w:rPr>
              <w:t>1-3 ха</w:t>
            </w:r>
          </w:p>
        </w:tc>
        <w:tc>
          <w:tcPr>
            <w:tcW w:w="1877" w:type="dxa"/>
            <w:vMerge/>
            <w:shd w:val="clear" w:color="auto" w:fill="BEEEF8"/>
          </w:tcPr>
          <w:p w:rsidR="00F401B1" w:rsidRPr="000B5E5D" w:rsidRDefault="00F401B1" w:rsidP="00F401B1">
            <w:pPr>
              <w:autoSpaceDE w:val="0"/>
              <w:autoSpaceDN w:val="0"/>
              <w:adjustRightInd w:val="0"/>
              <w:jc w:val="both"/>
              <w:rPr>
                <w:rFonts w:ascii="StobiSerif Regular" w:hAnsi="StobiSerif Regular"/>
                <w:sz w:val="16"/>
                <w:szCs w:val="16"/>
                <w:lang w:val="en-GB"/>
              </w:rPr>
            </w:pPr>
          </w:p>
        </w:tc>
        <w:tc>
          <w:tcPr>
            <w:tcW w:w="1559" w:type="dxa"/>
            <w:tcBorders>
              <w:top w:val="single" w:sz="4" w:space="0" w:color="auto"/>
            </w:tcBorders>
            <w:shd w:val="clear" w:color="auto" w:fill="F1FA98"/>
          </w:tcPr>
          <w:p w:rsidR="00F401B1" w:rsidRPr="000B5E5D" w:rsidRDefault="00F401B1" w:rsidP="00F401B1">
            <w:pPr>
              <w:autoSpaceDE w:val="0"/>
              <w:autoSpaceDN w:val="0"/>
              <w:adjustRightInd w:val="0"/>
              <w:jc w:val="both"/>
              <w:rPr>
                <w:rFonts w:ascii="StobiSerif Regular" w:hAnsi="StobiSerif Regular"/>
                <w:sz w:val="16"/>
                <w:szCs w:val="16"/>
                <w:lang w:val="en-GB"/>
              </w:rPr>
            </w:pPr>
          </w:p>
        </w:tc>
      </w:tr>
      <w:tr w:rsidR="001E2FAB" w:rsidRPr="000B5E5D" w:rsidTr="00F401B1">
        <w:tc>
          <w:tcPr>
            <w:tcW w:w="5670" w:type="dxa"/>
            <w:gridSpan w:val="2"/>
            <w:shd w:val="clear" w:color="auto" w:fill="BEEEF8"/>
          </w:tcPr>
          <w:p w:rsidR="001E2FAB" w:rsidRPr="00D56438" w:rsidRDefault="001E2FAB" w:rsidP="001E2FAB">
            <w:pPr>
              <w:autoSpaceDE w:val="0"/>
              <w:autoSpaceDN w:val="0"/>
              <w:adjustRightInd w:val="0"/>
              <w:spacing w:line="276" w:lineRule="auto"/>
              <w:jc w:val="both"/>
              <w:rPr>
                <w:rFonts w:ascii="StobiSerif Regular" w:hAnsi="StobiSerif Regular"/>
                <w:sz w:val="16"/>
                <w:szCs w:val="16"/>
                <w:lang w:val="en-GB"/>
              </w:rPr>
            </w:pPr>
            <w:r w:rsidRPr="00D56438">
              <w:rPr>
                <w:rFonts w:ascii="StobiSerif Regular" w:hAnsi="StobiSerif Regular"/>
                <w:sz w:val="16"/>
                <w:szCs w:val="16"/>
                <w:lang w:val="en-GB"/>
              </w:rPr>
              <w:t>Удел на изградени / реконструирани стакленици во вкупната површина под стакленици</w:t>
            </w:r>
          </w:p>
        </w:tc>
        <w:tc>
          <w:tcPr>
            <w:tcW w:w="1877" w:type="dxa"/>
            <w:shd w:val="clear" w:color="auto" w:fill="BEEEF8"/>
          </w:tcPr>
          <w:p w:rsidR="001E2FAB" w:rsidRPr="00D56438" w:rsidRDefault="001E2FAB" w:rsidP="001E2FAB">
            <w:pPr>
              <w:autoSpaceDE w:val="0"/>
              <w:autoSpaceDN w:val="0"/>
              <w:adjustRightInd w:val="0"/>
              <w:spacing w:line="276" w:lineRule="auto"/>
              <w:jc w:val="both"/>
              <w:rPr>
                <w:rFonts w:ascii="StobiSerif Regular" w:hAnsi="StobiSerif Regular"/>
                <w:sz w:val="16"/>
                <w:szCs w:val="16"/>
                <w:lang w:val="en-GB"/>
              </w:rPr>
            </w:pPr>
            <w:r w:rsidRPr="00D56438">
              <w:rPr>
                <w:rFonts w:ascii="StobiSerif Regular" w:hAnsi="StobiSerif Regular"/>
                <w:sz w:val="16"/>
                <w:szCs w:val="16"/>
                <w:lang w:val="en-GB"/>
              </w:rPr>
              <w:t>прибл. 5%</w:t>
            </w:r>
          </w:p>
        </w:tc>
        <w:tc>
          <w:tcPr>
            <w:tcW w:w="1559" w:type="dxa"/>
            <w:shd w:val="clear" w:color="auto" w:fill="F1FA98"/>
          </w:tcPr>
          <w:p w:rsidR="001E2FAB" w:rsidRPr="000B5E5D" w:rsidRDefault="001E2FAB" w:rsidP="00F401B1">
            <w:pPr>
              <w:autoSpaceDE w:val="0"/>
              <w:autoSpaceDN w:val="0"/>
              <w:adjustRightInd w:val="0"/>
              <w:jc w:val="both"/>
              <w:rPr>
                <w:rFonts w:ascii="StobiSerif Regular" w:hAnsi="StobiSerif Regular"/>
                <w:sz w:val="16"/>
                <w:szCs w:val="16"/>
              </w:rPr>
            </w:pPr>
            <w:r w:rsidRPr="000B5E5D">
              <w:rPr>
                <w:rFonts w:ascii="StobiSerif Regular" w:hAnsi="StobiSerif Regular"/>
                <w:sz w:val="16"/>
                <w:szCs w:val="16"/>
                <w:lang w:val="en-GB"/>
              </w:rPr>
              <w:t>0%</w:t>
            </w:r>
          </w:p>
        </w:tc>
      </w:tr>
      <w:tr w:rsidR="001E2FAB" w:rsidRPr="000B5E5D" w:rsidTr="00F401B1">
        <w:tc>
          <w:tcPr>
            <w:tcW w:w="5670" w:type="dxa"/>
            <w:gridSpan w:val="2"/>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Удел на проекти, вклучувајќи постбербени активности во вкупниот број на проекти во рамките на Мерка 101</w:t>
            </w:r>
          </w:p>
        </w:tc>
        <w:tc>
          <w:tcPr>
            <w:tcW w:w="1877" w:type="dxa"/>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прибл.8%</w:t>
            </w:r>
          </w:p>
        </w:tc>
        <w:tc>
          <w:tcPr>
            <w:tcW w:w="1559" w:type="dxa"/>
            <w:shd w:val="clear" w:color="auto" w:fill="F1FA98"/>
          </w:tcPr>
          <w:p w:rsidR="001E2FAB" w:rsidRPr="000B5E5D" w:rsidRDefault="001E2FAB" w:rsidP="00F401B1">
            <w:pPr>
              <w:autoSpaceDE w:val="0"/>
              <w:autoSpaceDN w:val="0"/>
              <w:adjustRightInd w:val="0"/>
              <w:jc w:val="both"/>
              <w:rPr>
                <w:rFonts w:ascii="StobiSerif Regular" w:hAnsi="StobiSerif Regular"/>
                <w:sz w:val="16"/>
                <w:szCs w:val="16"/>
              </w:rPr>
            </w:pPr>
            <w:r w:rsidRPr="000B5E5D">
              <w:rPr>
                <w:rFonts w:ascii="StobiSerif Regular" w:hAnsi="StobiSerif Regular"/>
                <w:sz w:val="16"/>
                <w:szCs w:val="16"/>
              </w:rPr>
              <w:t>0</w:t>
            </w:r>
          </w:p>
        </w:tc>
      </w:tr>
      <w:tr w:rsidR="001E2FAB" w:rsidRPr="000B5E5D" w:rsidTr="00F401B1">
        <w:tc>
          <w:tcPr>
            <w:tcW w:w="5670" w:type="dxa"/>
            <w:gridSpan w:val="2"/>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 xml:space="preserve">Учество на потпомогнати земјоделски стопанства кои имаат воведено подобрување на благосостојбата на животните од вкупниот број на </w:t>
            </w:r>
            <w:r w:rsidRPr="00D56438">
              <w:rPr>
                <w:rFonts w:ascii="StobiSerif Regular" w:hAnsi="StobiSerif Regular"/>
                <w:sz w:val="16"/>
                <w:szCs w:val="16"/>
              </w:rPr>
              <w:t>сточарски</w:t>
            </w:r>
            <w:r w:rsidRPr="00D56438">
              <w:rPr>
                <w:rFonts w:ascii="StobiSerif Regular" w:hAnsi="StobiSerif Regular"/>
                <w:sz w:val="16"/>
                <w:szCs w:val="16"/>
                <w:lang w:val="en-GB"/>
              </w:rPr>
              <w:t xml:space="preserve"> стопанства во приоритетниот сектор </w:t>
            </w:r>
          </w:p>
        </w:tc>
        <w:tc>
          <w:tcPr>
            <w:tcW w:w="1877" w:type="dxa"/>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прибл.4%</w:t>
            </w:r>
          </w:p>
        </w:tc>
        <w:tc>
          <w:tcPr>
            <w:tcW w:w="1559" w:type="dxa"/>
            <w:shd w:val="clear" w:color="auto" w:fill="F1FA98"/>
          </w:tcPr>
          <w:p w:rsidR="001E2FAB" w:rsidRPr="00D56438" w:rsidRDefault="001E2FAB" w:rsidP="001E2FAB">
            <w:pPr>
              <w:autoSpaceDE w:val="0"/>
              <w:autoSpaceDN w:val="0"/>
              <w:adjustRightInd w:val="0"/>
              <w:jc w:val="both"/>
              <w:rPr>
                <w:rFonts w:ascii="StobiSerif Regular" w:hAnsi="StobiSerif Regular"/>
                <w:sz w:val="16"/>
                <w:szCs w:val="16"/>
              </w:rPr>
            </w:pPr>
            <w:r w:rsidRPr="00D56438">
              <w:rPr>
                <w:rFonts w:ascii="StobiSerif Regular" w:hAnsi="StobiSerif Regular"/>
                <w:sz w:val="16"/>
                <w:szCs w:val="16"/>
              </w:rPr>
              <w:t>5</w:t>
            </w:r>
          </w:p>
        </w:tc>
      </w:tr>
      <w:tr w:rsidR="001E2FAB" w:rsidRPr="000B5E5D" w:rsidTr="00F401B1">
        <w:tc>
          <w:tcPr>
            <w:tcW w:w="5670" w:type="dxa"/>
            <w:gridSpan w:val="2"/>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 xml:space="preserve">Учество на потпомогнати земјоделски стопанства кои ги подобриле хигиенски барања на млеко во согласност со барањата на Заедницата од вкупниот број на добиток </w:t>
            </w:r>
            <w:r w:rsidRPr="00D56438">
              <w:rPr>
                <w:rFonts w:ascii="StobiSerif Regular" w:hAnsi="StobiSerif Regular"/>
                <w:sz w:val="16"/>
                <w:szCs w:val="16"/>
              </w:rPr>
              <w:t>сточарски</w:t>
            </w:r>
            <w:r w:rsidRPr="00D56438">
              <w:rPr>
                <w:rFonts w:ascii="StobiSerif Regular" w:hAnsi="StobiSerif Regular"/>
                <w:sz w:val="16"/>
                <w:szCs w:val="16"/>
                <w:lang w:val="en-GB"/>
              </w:rPr>
              <w:t xml:space="preserve"> стопанства - млечни крави, овци или кози</w:t>
            </w:r>
          </w:p>
        </w:tc>
        <w:tc>
          <w:tcPr>
            <w:tcW w:w="1877" w:type="dxa"/>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прибл.4%</w:t>
            </w:r>
          </w:p>
        </w:tc>
        <w:tc>
          <w:tcPr>
            <w:tcW w:w="1559" w:type="dxa"/>
            <w:shd w:val="clear" w:color="auto" w:fill="F1FA98"/>
          </w:tcPr>
          <w:p w:rsidR="001E2FAB" w:rsidRPr="00D56438" w:rsidRDefault="001E2FAB" w:rsidP="001E2FAB">
            <w:pPr>
              <w:autoSpaceDE w:val="0"/>
              <w:autoSpaceDN w:val="0"/>
              <w:adjustRightInd w:val="0"/>
              <w:jc w:val="both"/>
              <w:rPr>
                <w:rFonts w:ascii="StobiSerif Regular" w:hAnsi="StobiSerif Regular"/>
                <w:sz w:val="16"/>
                <w:szCs w:val="16"/>
              </w:rPr>
            </w:pPr>
            <w:r w:rsidRPr="00D56438">
              <w:rPr>
                <w:rFonts w:ascii="StobiSerif Regular" w:hAnsi="StobiSerif Regular"/>
                <w:sz w:val="16"/>
                <w:szCs w:val="16"/>
              </w:rPr>
              <w:t>3</w:t>
            </w:r>
          </w:p>
        </w:tc>
      </w:tr>
      <w:tr w:rsidR="001E2FAB" w:rsidRPr="000B5E5D" w:rsidTr="00F401B1">
        <w:tc>
          <w:tcPr>
            <w:tcW w:w="5670" w:type="dxa"/>
            <w:gridSpan w:val="2"/>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 xml:space="preserve">Учество на потпомогнати земјоделски стопанства кои ги подобриле практики за складирање ѓубриво </w:t>
            </w:r>
            <w:r w:rsidRPr="00D56438">
              <w:rPr>
                <w:rFonts w:ascii="StobiSerif Regular" w:hAnsi="StobiSerif Regular"/>
                <w:sz w:val="16"/>
                <w:szCs w:val="16"/>
              </w:rPr>
              <w:t xml:space="preserve">на </w:t>
            </w:r>
            <w:r w:rsidRPr="00D56438">
              <w:rPr>
                <w:rFonts w:ascii="StobiSerif Regular" w:hAnsi="StobiSerif Regular"/>
                <w:sz w:val="16"/>
                <w:szCs w:val="16"/>
                <w:lang w:val="en-GB"/>
              </w:rPr>
              <w:t xml:space="preserve">фарма од вкупниот број на </w:t>
            </w:r>
            <w:r w:rsidRPr="00D56438">
              <w:rPr>
                <w:rFonts w:ascii="StobiSerif Regular" w:hAnsi="StobiSerif Regular"/>
                <w:sz w:val="16"/>
                <w:szCs w:val="16"/>
              </w:rPr>
              <w:t>сточарски</w:t>
            </w:r>
            <w:r w:rsidRPr="00D56438">
              <w:rPr>
                <w:rFonts w:ascii="StobiSerif Regular" w:hAnsi="StobiSerif Regular"/>
                <w:sz w:val="16"/>
                <w:szCs w:val="16"/>
                <w:lang w:val="en-GB"/>
              </w:rPr>
              <w:t xml:space="preserve"> земјоделски стопанства - говеда, овци, кози, свињи и живина</w:t>
            </w:r>
          </w:p>
        </w:tc>
        <w:tc>
          <w:tcPr>
            <w:tcW w:w="1877" w:type="dxa"/>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прибл. 4%</w:t>
            </w:r>
          </w:p>
        </w:tc>
        <w:tc>
          <w:tcPr>
            <w:tcW w:w="1559" w:type="dxa"/>
            <w:shd w:val="clear" w:color="auto" w:fill="F1FA98"/>
          </w:tcPr>
          <w:p w:rsidR="001E2FAB" w:rsidRPr="000B5E5D" w:rsidRDefault="001E2FAB" w:rsidP="00F401B1">
            <w:pPr>
              <w:autoSpaceDE w:val="0"/>
              <w:autoSpaceDN w:val="0"/>
              <w:adjustRightInd w:val="0"/>
              <w:jc w:val="both"/>
              <w:rPr>
                <w:rFonts w:ascii="StobiSerif Regular" w:hAnsi="StobiSerif Regular"/>
                <w:sz w:val="16"/>
                <w:szCs w:val="16"/>
              </w:rPr>
            </w:pPr>
            <w:r w:rsidRPr="000B5E5D">
              <w:rPr>
                <w:rFonts w:ascii="StobiSerif Regular" w:hAnsi="StobiSerif Regular"/>
                <w:sz w:val="16"/>
                <w:szCs w:val="16"/>
              </w:rPr>
              <w:t>N/A</w:t>
            </w:r>
          </w:p>
        </w:tc>
      </w:tr>
      <w:tr w:rsidR="001E2FAB" w:rsidRPr="000B5E5D" w:rsidTr="00F401B1">
        <w:tc>
          <w:tcPr>
            <w:tcW w:w="5670" w:type="dxa"/>
            <w:gridSpan w:val="2"/>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Учество на млади фармери во вкупниот број на потпомогнати земјоделци</w:t>
            </w:r>
          </w:p>
        </w:tc>
        <w:tc>
          <w:tcPr>
            <w:tcW w:w="1877" w:type="dxa"/>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прибл.18%</w:t>
            </w:r>
          </w:p>
        </w:tc>
        <w:tc>
          <w:tcPr>
            <w:tcW w:w="1559" w:type="dxa"/>
            <w:shd w:val="clear" w:color="auto" w:fill="F1FA98"/>
          </w:tcPr>
          <w:p w:rsidR="001E2FAB" w:rsidRPr="000B5E5D" w:rsidRDefault="001E2FAB" w:rsidP="00E413C7">
            <w:pPr>
              <w:autoSpaceDE w:val="0"/>
              <w:autoSpaceDN w:val="0"/>
              <w:adjustRightInd w:val="0"/>
              <w:jc w:val="both"/>
              <w:rPr>
                <w:rFonts w:ascii="StobiSerif Regular" w:hAnsi="StobiSerif Regular"/>
                <w:sz w:val="16"/>
                <w:szCs w:val="16"/>
              </w:rPr>
            </w:pPr>
            <w:r w:rsidRPr="000B5E5D">
              <w:rPr>
                <w:rFonts w:ascii="StobiSerif Regular" w:hAnsi="StobiSerif Regular"/>
                <w:sz w:val="16"/>
                <w:szCs w:val="16"/>
                <w:lang w:val="en-US"/>
              </w:rPr>
              <w:t>362</w:t>
            </w:r>
            <w:r w:rsidRPr="000B5E5D">
              <w:rPr>
                <w:rFonts w:ascii="StobiSerif Regular" w:hAnsi="StobiSerif Regular"/>
                <w:sz w:val="16"/>
                <w:szCs w:val="16"/>
              </w:rPr>
              <w:t>/</w:t>
            </w:r>
            <w:r w:rsidRPr="000B5E5D">
              <w:rPr>
                <w:rFonts w:ascii="StobiSerif Regular" w:hAnsi="StobiSerif Regular"/>
                <w:sz w:val="16"/>
                <w:szCs w:val="16"/>
                <w:lang w:val="en-US"/>
              </w:rPr>
              <w:t>693</w:t>
            </w:r>
            <w:r w:rsidRPr="000B5E5D">
              <w:rPr>
                <w:rFonts w:ascii="StobiSerif Regular" w:hAnsi="StobiSerif Regular"/>
                <w:sz w:val="16"/>
                <w:szCs w:val="16"/>
              </w:rPr>
              <w:t xml:space="preserve">= </w:t>
            </w:r>
            <w:r w:rsidRPr="000B5E5D">
              <w:rPr>
                <w:rFonts w:ascii="StobiSerif Regular" w:hAnsi="StobiSerif Regular"/>
                <w:sz w:val="16"/>
                <w:szCs w:val="16"/>
                <w:lang w:val="en-US"/>
              </w:rPr>
              <w:t>52.2</w:t>
            </w:r>
            <w:r w:rsidRPr="000B5E5D">
              <w:rPr>
                <w:rFonts w:ascii="StobiSerif Regular" w:hAnsi="StobiSerif Regular"/>
                <w:sz w:val="16"/>
                <w:szCs w:val="16"/>
              </w:rPr>
              <w:t>%</w:t>
            </w:r>
          </w:p>
        </w:tc>
      </w:tr>
      <w:tr w:rsidR="001E2FAB" w:rsidRPr="000B5E5D" w:rsidTr="00F401B1">
        <w:tc>
          <w:tcPr>
            <w:tcW w:w="5670" w:type="dxa"/>
            <w:gridSpan w:val="2"/>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Учеството на жените во вкупниот број на потпомогнати земјоделци</w:t>
            </w:r>
          </w:p>
        </w:tc>
        <w:tc>
          <w:tcPr>
            <w:tcW w:w="1877" w:type="dxa"/>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прибл.15%</w:t>
            </w:r>
          </w:p>
        </w:tc>
        <w:tc>
          <w:tcPr>
            <w:tcW w:w="1559" w:type="dxa"/>
            <w:shd w:val="clear" w:color="auto" w:fill="F1FA98"/>
          </w:tcPr>
          <w:p w:rsidR="001E2FAB" w:rsidRPr="000B5E5D" w:rsidRDefault="001E2FAB" w:rsidP="00E413C7">
            <w:pPr>
              <w:autoSpaceDE w:val="0"/>
              <w:autoSpaceDN w:val="0"/>
              <w:adjustRightInd w:val="0"/>
              <w:jc w:val="both"/>
              <w:rPr>
                <w:rFonts w:ascii="StobiSerif Regular" w:hAnsi="StobiSerif Regular"/>
                <w:sz w:val="16"/>
                <w:szCs w:val="16"/>
              </w:rPr>
            </w:pPr>
            <w:r w:rsidRPr="000B5E5D">
              <w:rPr>
                <w:rFonts w:ascii="StobiSerif Regular" w:hAnsi="StobiSerif Regular"/>
                <w:sz w:val="16"/>
                <w:szCs w:val="16"/>
                <w:lang w:val="en-US"/>
              </w:rPr>
              <w:t>370</w:t>
            </w:r>
            <w:r w:rsidRPr="000B5E5D">
              <w:rPr>
                <w:rFonts w:ascii="StobiSerif Regular" w:hAnsi="StobiSerif Regular"/>
                <w:sz w:val="16"/>
                <w:szCs w:val="16"/>
              </w:rPr>
              <w:t>/</w:t>
            </w:r>
            <w:r w:rsidRPr="000B5E5D">
              <w:rPr>
                <w:rFonts w:ascii="StobiSerif Regular" w:hAnsi="StobiSerif Regular"/>
                <w:sz w:val="16"/>
                <w:szCs w:val="16"/>
                <w:lang w:val="en-US"/>
              </w:rPr>
              <w:t>693</w:t>
            </w:r>
            <w:r w:rsidRPr="000B5E5D">
              <w:rPr>
                <w:rFonts w:ascii="StobiSerif Regular" w:hAnsi="StobiSerif Regular"/>
                <w:sz w:val="16"/>
                <w:szCs w:val="16"/>
              </w:rPr>
              <w:t>=</w:t>
            </w:r>
            <w:r w:rsidRPr="000B5E5D">
              <w:rPr>
                <w:rFonts w:ascii="StobiSerif Regular" w:hAnsi="StobiSerif Regular"/>
                <w:sz w:val="16"/>
                <w:szCs w:val="16"/>
                <w:lang w:val="en-US"/>
              </w:rPr>
              <w:t>53.3</w:t>
            </w:r>
            <w:r w:rsidRPr="000B5E5D">
              <w:rPr>
                <w:rFonts w:ascii="StobiSerif Regular" w:hAnsi="StobiSerif Regular"/>
                <w:sz w:val="16"/>
                <w:szCs w:val="16"/>
              </w:rPr>
              <w:t>%</w:t>
            </w:r>
          </w:p>
        </w:tc>
      </w:tr>
      <w:tr w:rsidR="001E2FAB" w:rsidRPr="000B5E5D" w:rsidTr="00F401B1">
        <w:tc>
          <w:tcPr>
            <w:tcW w:w="5670" w:type="dxa"/>
            <w:gridSpan w:val="2"/>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Учество на потпомогнати земјоделски стопанства кој се наоѓаат во планински подрачја во вкупниот број на потпомогнати земјоделски стопанства</w:t>
            </w:r>
          </w:p>
        </w:tc>
        <w:tc>
          <w:tcPr>
            <w:tcW w:w="1877" w:type="dxa"/>
            <w:shd w:val="clear" w:color="auto" w:fill="BEEEF8"/>
          </w:tcPr>
          <w:p w:rsidR="001E2FAB" w:rsidRPr="00D56438" w:rsidRDefault="001E2FAB" w:rsidP="001E2FAB">
            <w:pPr>
              <w:autoSpaceDE w:val="0"/>
              <w:autoSpaceDN w:val="0"/>
              <w:adjustRightInd w:val="0"/>
              <w:jc w:val="both"/>
              <w:rPr>
                <w:rFonts w:ascii="StobiSerif Regular" w:hAnsi="StobiSerif Regular"/>
                <w:sz w:val="16"/>
                <w:szCs w:val="16"/>
                <w:lang w:val="en-GB"/>
              </w:rPr>
            </w:pPr>
            <w:r w:rsidRPr="00D56438">
              <w:rPr>
                <w:rFonts w:ascii="StobiSerif Regular" w:hAnsi="StobiSerif Regular"/>
                <w:sz w:val="16"/>
                <w:szCs w:val="16"/>
                <w:lang w:val="en-GB"/>
              </w:rPr>
              <w:t>прибл. 15%</w:t>
            </w:r>
          </w:p>
        </w:tc>
        <w:tc>
          <w:tcPr>
            <w:tcW w:w="1559" w:type="dxa"/>
            <w:shd w:val="clear" w:color="auto" w:fill="F1FA98"/>
          </w:tcPr>
          <w:p w:rsidR="001E2FAB" w:rsidRPr="000B5E5D" w:rsidRDefault="001E2FAB" w:rsidP="00F401B1">
            <w:pPr>
              <w:autoSpaceDE w:val="0"/>
              <w:autoSpaceDN w:val="0"/>
              <w:adjustRightInd w:val="0"/>
              <w:jc w:val="both"/>
              <w:rPr>
                <w:rFonts w:ascii="StobiSerif Regular" w:hAnsi="StobiSerif Regular"/>
                <w:sz w:val="16"/>
                <w:szCs w:val="16"/>
                <w:lang w:val="en-GB"/>
              </w:rPr>
            </w:pPr>
            <w:r w:rsidRPr="000B5E5D">
              <w:rPr>
                <w:rFonts w:ascii="StobiSerif Regular" w:hAnsi="StobiSerif Regular"/>
                <w:sz w:val="16"/>
                <w:szCs w:val="16"/>
                <w:lang w:val="en-GB"/>
              </w:rPr>
              <w:t>N/A</w:t>
            </w:r>
          </w:p>
        </w:tc>
      </w:tr>
    </w:tbl>
    <w:p w:rsidR="00784CD1" w:rsidRPr="000B5E5D" w:rsidRDefault="00C11701" w:rsidP="00784CD1">
      <w:pPr>
        <w:jc w:val="both"/>
        <w:rPr>
          <w:rFonts w:ascii="StobiSerif Regular" w:hAnsi="StobiSerif Regular"/>
          <w:sz w:val="16"/>
          <w:szCs w:val="16"/>
        </w:rPr>
      </w:pPr>
      <w:r>
        <w:rPr>
          <w:rFonts w:ascii="StobiSerif Regular" w:eastAsia="Times New Roman" w:hAnsi="StobiSerif Regular" w:cs="Times New Roman"/>
          <w:sz w:val="16"/>
          <w:szCs w:val="16"/>
          <w:lang w:eastAsia="mk-MK"/>
        </w:rPr>
        <w:t>Извор: Мониторинг систем  (2016)</w:t>
      </w:r>
      <w:r w:rsidR="00784CD1" w:rsidRPr="000B5E5D">
        <w:rPr>
          <w:rFonts w:ascii="StobiSerif Regular" w:hAnsi="StobiSerif Regular"/>
          <w:sz w:val="16"/>
          <w:szCs w:val="16"/>
        </w:rPr>
        <w:t xml:space="preserve">, </w:t>
      </w:r>
      <w:r>
        <w:rPr>
          <w:rFonts w:ascii="StobiSerif Regular" w:hAnsi="StobiSerif Regular"/>
          <w:sz w:val="16"/>
          <w:szCs w:val="16"/>
        </w:rPr>
        <w:t>МЗШВ, ДЗС</w:t>
      </w:r>
    </w:p>
    <w:p w:rsidR="00784CD1" w:rsidRPr="000B5E5D" w:rsidRDefault="00926651" w:rsidP="000359E3">
      <w:pPr>
        <w:ind w:firstLine="284"/>
        <w:rPr>
          <w:rFonts w:ascii="StobiSerif Regular" w:hAnsi="StobiSerif Regular"/>
        </w:rPr>
      </w:pPr>
      <w:r w:rsidRPr="00A15D06">
        <w:rPr>
          <w:rFonts w:ascii="StobiSerif Regular" w:hAnsi="StobiSerif Regular"/>
        </w:rPr>
        <w:t>Анализите покажуваат дека можеме да бидеме задоволни од процентот на под</w:t>
      </w:r>
      <w:r>
        <w:rPr>
          <w:rFonts w:ascii="StobiSerif Regular" w:hAnsi="StobiSerif Regular"/>
        </w:rPr>
        <w:t>ржани млади фармери, односно  52,2</w:t>
      </w:r>
      <w:r w:rsidRPr="00A15D06">
        <w:rPr>
          <w:rFonts w:ascii="StobiSerif Regular" w:hAnsi="StobiSerif Regular"/>
        </w:rPr>
        <w:t xml:space="preserve">% од исплатените проекти </w:t>
      </w:r>
      <w:r w:rsidR="002D3498">
        <w:rPr>
          <w:rFonts w:ascii="StobiSerif Regular" w:hAnsi="StobiSerif Regular"/>
        </w:rPr>
        <w:t>носители се млади фамери. Добри</w:t>
      </w:r>
      <w:r w:rsidRPr="00A15D06">
        <w:rPr>
          <w:rFonts w:ascii="StobiSerif Regular" w:hAnsi="StobiSerif Regular"/>
        </w:rPr>
        <w:t xml:space="preserve"> резултати се забележани и кај постигнување на целта во по</w:t>
      </w:r>
      <w:r>
        <w:rPr>
          <w:rFonts w:ascii="StobiSerif Regular" w:hAnsi="StobiSerif Regular"/>
        </w:rPr>
        <w:t xml:space="preserve">држување на жени-фармери. Од 693 </w:t>
      </w:r>
      <w:r w:rsidRPr="00A15D06">
        <w:rPr>
          <w:rFonts w:ascii="StobiSerif Regular" w:hAnsi="StobiSerif Regular"/>
        </w:rPr>
        <w:t xml:space="preserve"> реализирани проекти </w:t>
      </w:r>
      <w:r>
        <w:rPr>
          <w:rFonts w:ascii="StobiSerif Regular" w:hAnsi="StobiSerif Regular"/>
        </w:rPr>
        <w:t xml:space="preserve"> односно  </w:t>
      </w:r>
      <w:r w:rsidRPr="000B5E5D">
        <w:rPr>
          <w:rFonts w:ascii="StobiSerif Regular" w:hAnsi="StobiSerif Regular"/>
          <w:u w:val="single"/>
          <w:lang w:val="en-US"/>
        </w:rPr>
        <w:t xml:space="preserve">(53.3%) </w:t>
      </w:r>
      <w:r>
        <w:rPr>
          <w:rFonts w:ascii="StobiSerif Regular" w:hAnsi="StobiSerif Regular"/>
          <w:u w:val="single"/>
        </w:rPr>
        <w:t xml:space="preserve"> или вкупно 370 </w:t>
      </w:r>
      <w:r w:rsidRPr="00A15D06">
        <w:rPr>
          <w:rFonts w:ascii="StobiSerif Regular" w:hAnsi="StobiSerif Regular"/>
        </w:rPr>
        <w:t xml:space="preserve"> се реализирани од жени</w:t>
      </w:r>
      <w:r>
        <w:rPr>
          <w:rFonts w:ascii="StobiSerif Regular" w:hAnsi="StobiSerif Regular"/>
        </w:rPr>
        <w:t xml:space="preserve">. </w:t>
      </w:r>
    </w:p>
    <w:p w:rsidR="003F10CB" w:rsidRPr="003F10CB" w:rsidRDefault="008A4251" w:rsidP="003F10CB">
      <w:pPr>
        <w:autoSpaceDE w:val="0"/>
        <w:autoSpaceDN w:val="0"/>
        <w:adjustRightInd w:val="0"/>
        <w:spacing w:before="120" w:after="120"/>
        <w:jc w:val="both"/>
        <w:outlineLvl w:val="2"/>
        <w:rPr>
          <w:rFonts w:ascii="StobiSerif Regular" w:hAnsi="StobiSerif Regular"/>
          <w:b/>
          <w:lang w:val="en-GB"/>
        </w:rPr>
      </w:pPr>
      <w:bookmarkStart w:id="34" w:name="_Toc455052748"/>
      <w:bookmarkStart w:id="35" w:name="_Toc485394811"/>
      <w:r>
        <w:rPr>
          <w:rFonts w:ascii="StobiSerif Regular" w:hAnsi="StobiSerif Regular"/>
          <w:b/>
          <w:lang w:val="en-GB"/>
        </w:rPr>
        <w:t>2</w:t>
      </w:r>
      <w:r w:rsidR="00B85D77" w:rsidRPr="000B5E5D">
        <w:rPr>
          <w:rFonts w:ascii="StobiSerif Regular" w:hAnsi="StobiSerif Regular"/>
          <w:b/>
          <w:lang w:val="en-GB"/>
        </w:rPr>
        <w:t xml:space="preserve">.3.2 </w:t>
      </w:r>
      <w:bookmarkEnd w:id="34"/>
      <w:r w:rsidR="003F10CB" w:rsidRPr="003F10CB">
        <w:rPr>
          <w:rFonts w:ascii="StobiSerif Regular" w:hAnsi="StobiSerif Regular"/>
          <w:b/>
        </w:rPr>
        <w:t>МЕРКА</w:t>
      </w:r>
      <w:r w:rsidR="003F10CB" w:rsidRPr="003F10CB">
        <w:rPr>
          <w:rFonts w:ascii="StobiSerif Regular" w:hAnsi="StobiSerif Regular"/>
          <w:b/>
          <w:lang w:val="en-GB"/>
        </w:rPr>
        <w:t xml:space="preserve"> 103 – </w:t>
      </w:r>
      <w:r w:rsidR="003F10CB" w:rsidRPr="003F10CB">
        <w:rPr>
          <w:rFonts w:ascii="StobiSerif Regular" w:hAnsi="StobiSerif Regular"/>
          <w:b/>
        </w:rPr>
        <w:t>Инвестиции во преработка и маркетинг</w:t>
      </w:r>
      <w:bookmarkEnd w:id="35"/>
    </w:p>
    <w:p w:rsidR="00B85D77" w:rsidRPr="000B5E5D" w:rsidRDefault="00B85D77" w:rsidP="00B85D77">
      <w:pPr>
        <w:autoSpaceDE w:val="0"/>
        <w:autoSpaceDN w:val="0"/>
        <w:adjustRightInd w:val="0"/>
        <w:spacing w:before="120" w:after="120"/>
        <w:jc w:val="both"/>
        <w:outlineLvl w:val="2"/>
        <w:rPr>
          <w:rFonts w:ascii="StobiSerif Regular" w:hAnsi="StobiSerif Regular"/>
          <w:b/>
          <w:lang w:val="en-GB"/>
        </w:rPr>
      </w:pPr>
    </w:p>
    <w:p w:rsidR="00B85D77" w:rsidRPr="000B5E5D" w:rsidRDefault="003F10CB" w:rsidP="00B85D77">
      <w:pPr>
        <w:autoSpaceDE w:val="0"/>
        <w:autoSpaceDN w:val="0"/>
        <w:adjustRightInd w:val="0"/>
        <w:spacing w:before="120" w:after="120"/>
        <w:jc w:val="right"/>
        <w:rPr>
          <w:rFonts w:ascii="StobiSerif Regular" w:hAnsi="StobiSerif Regular"/>
          <w:b/>
          <w:lang w:val="en-GB"/>
        </w:rPr>
      </w:pPr>
      <w:r w:rsidRPr="00A15D06">
        <w:rPr>
          <w:rFonts w:ascii="StobiSerif Regular" w:hAnsi="StobiSerif Regular"/>
          <w:b/>
          <w:lang w:val="en-GB"/>
        </w:rPr>
        <w:t>Буџет на мерка</w:t>
      </w:r>
      <w:r w:rsidR="00B85D77" w:rsidRPr="000B5E5D">
        <w:rPr>
          <w:rFonts w:ascii="StobiSerif Regular" w:hAnsi="StobiSerif Regular"/>
          <w:b/>
          <w:lang w:val="en-GB"/>
        </w:rPr>
        <w:t>: €17.192.044</w:t>
      </w:r>
    </w:p>
    <w:p w:rsidR="00714305" w:rsidRPr="00714305" w:rsidRDefault="00714305" w:rsidP="00714305">
      <w:pPr>
        <w:spacing w:before="120" w:after="120"/>
        <w:ind w:firstLine="284"/>
        <w:jc w:val="both"/>
        <w:rPr>
          <w:rFonts w:ascii="StobiSerif Regular" w:hAnsi="StobiSerif Regular"/>
          <w:lang w:val="en-GB"/>
        </w:rPr>
      </w:pPr>
      <w:r w:rsidRPr="00714305">
        <w:rPr>
          <w:rFonts w:ascii="StobiSerif Regular" w:hAnsi="StobiSerif Regular"/>
          <w:lang w:val="en-GB"/>
        </w:rPr>
        <w:t xml:space="preserve">Мерката има за цел да се подобрат условите за преработка и маркетинг на земјоделски производи, со цел да </w:t>
      </w:r>
      <w:r w:rsidRPr="00714305">
        <w:rPr>
          <w:rFonts w:ascii="StobiSerif Regular" w:hAnsi="StobiSerif Regular"/>
        </w:rPr>
        <w:t>се</w:t>
      </w:r>
      <w:r w:rsidRPr="00714305">
        <w:rPr>
          <w:rFonts w:ascii="StobiSerif Regular" w:hAnsi="StobiSerif Regular"/>
          <w:lang w:val="en-GB"/>
        </w:rPr>
        <w:t xml:space="preserve"> исполн</w:t>
      </w:r>
      <w:r w:rsidRPr="00714305">
        <w:rPr>
          <w:rFonts w:ascii="StobiSerif Regular" w:hAnsi="StobiSerif Regular"/>
        </w:rPr>
        <w:t>ат</w:t>
      </w:r>
      <w:r w:rsidRPr="00714305">
        <w:rPr>
          <w:rFonts w:ascii="StobiSerif Regular" w:hAnsi="StobiSerif Regular"/>
          <w:lang w:val="en-GB"/>
        </w:rPr>
        <w:t xml:space="preserve"> барањата на ЕУ (хигиена, безбедност на храната, квалитетот, животната средина, заштита на животните итн) </w:t>
      </w:r>
      <w:r>
        <w:rPr>
          <w:rFonts w:ascii="StobiSerif Regular" w:hAnsi="StobiSerif Regular"/>
        </w:rPr>
        <w:t xml:space="preserve">. </w:t>
      </w:r>
      <w:r w:rsidRPr="00714305">
        <w:rPr>
          <w:rFonts w:ascii="StobiSerif Regular" w:hAnsi="StobiSerif Regular"/>
          <w:lang w:val="en-GB"/>
        </w:rPr>
        <w:t>Поддршка</w:t>
      </w:r>
      <w:r w:rsidRPr="00714305">
        <w:rPr>
          <w:rFonts w:ascii="StobiSerif Regular" w:hAnsi="StobiSerif Regular"/>
        </w:rPr>
        <w:t>та</w:t>
      </w:r>
      <w:r w:rsidRPr="00714305">
        <w:rPr>
          <w:rFonts w:ascii="StobiSerif Regular" w:hAnsi="StobiSerif Regular"/>
          <w:lang w:val="en-GB"/>
        </w:rPr>
        <w:t xml:space="preserve"> во рамките на оваа мерка, исто така, е наменета за подобрување на перформансите на производството на агро-храна </w:t>
      </w:r>
      <w:r w:rsidR="001E2FAB">
        <w:rPr>
          <w:rFonts w:ascii="StobiSerif Regular" w:hAnsi="StobiSerif Regular"/>
        </w:rPr>
        <w:t xml:space="preserve">во однос </w:t>
      </w:r>
      <w:r w:rsidRPr="00714305">
        <w:rPr>
          <w:rFonts w:ascii="StobiSerif Regular" w:hAnsi="StobiSerif Regular"/>
          <w:lang w:val="en-GB"/>
        </w:rPr>
        <w:t xml:space="preserve">на стандардите за квалитет </w:t>
      </w:r>
      <w:r w:rsidRPr="00714305">
        <w:rPr>
          <w:rFonts w:ascii="StobiSerif Regular" w:hAnsi="StobiSerif Regular"/>
        </w:rPr>
        <w:t>преку</w:t>
      </w:r>
      <w:r w:rsidRPr="00714305">
        <w:rPr>
          <w:rFonts w:ascii="StobiSerif Regular" w:hAnsi="StobiSerif Regular"/>
          <w:lang w:val="en-GB"/>
        </w:rPr>
        <w:t xml:space="preserve"> рационализација на инсталираните капацитети, нивната ефикасна употреба </w:t>
      </w:r>
      <w:r w:rsidRPr="00714305">
        <w:rPr>
          <w:rFonts w:ascii="StobiSerif Regular" w:hAnsi="StobiSerif Regular"/>
        </w:rPr>
        <w:t>како и</w:t>
      </w:r>
      <w:r w:rsidRPr="00714305">
        <w:rPr>
          <w:rFonts w:ascii="StobiSerif Regular" w:hAnsi="StobiSerif Regular"/>
          <w:lang w:val="en-GB"/>
        </w:rPr>
        <w:t xml:space="preserve"> елиминирање на дефекти</w:t>
      </w:r>
      <w:r w:rsidRPr="00714305">
        <w:rPr>
          <w:rFonts w:ascii="StobiSerif Regular" w:hAnsi="StobiSerif Regular"/>
        </w:rPr>
        <w:t>те</w:t>
      </w:r>
      <w:r w:rsidRPr="00714305">
        <w:rPr>
          <w:rFonts w:ascii="StobiSerif Regular" w:hAnsi="StobiSerif Regular"/>
          <w:lang w:val="en-GB"/>
        </w:rPr>
        <w:t xml:space="preserve"> </w:t>
      </w:r>
      <w:r w:rsidRPr="00714305">
        <w:rPr>
          <w:rFonts w:ascii="StobiSerif Regular" w:hAnsi="StobiSerif Regular"/>
        </w:rPr>
        <w:t>во</w:t>
      </w:r>
      <w:r w:rsidRPr="00714305">
        <w:rPr>
          <w:rFonts w:ascii="StobiSerif Regular" w:hAnsi="StobiSerif Regular"/>
          <w:lang w:val="en-GB"/>
        </w:rPr>
        <w:t xml:space="preserve"> синџирот на снабдување </w:t>
      </w:r>
      <w:r w:rsidRPr="00714305">
        <w:rPr>
          <w:rFonts w:ascii="StobiSerif Regular" w:hAnsi="StobiSerif Regular"/>
        </w:rPr>
        <w:t xml:space="preserve">кои </w:t>
      </w:r>
      <w:r w:rsidRPr="00714305">
        <w:rPr>
          <w:rFonts w:ascii="StobiSerif Regular" w:hAnsi="StobiSerif Regular"/>
          <w:lang w:val="en-GB"/>
        </w:rPr>
        <w:t>се манифестира</w:t>
      </w:r>
      <w:r w:rsidRPr="00714305">
        <w:rPr>
          <w:rFonts w:ascii="StobiSerif Regular" w:hAnsi="StobiSerif Regular"/>
        </w:rPr>
        <w:t>ат</w:t>
      </w:r>
      <w:r w:rsidRPr="00714305">
        <w:rPr>
          <w:rFonts w:ascii="StobiSerif Regular" w:hAnsi="StobiSerif Regular"/>
          <w:lang w:val="en-GB"/>
        </w:rPr>
        <w:t xml:space="preserve"> на специфични пазари.</w:t>
      </w:r>
    </w:p>
    <w:p w:rsidR="00714305" w:rsidRPr="00714305" w:rsidRDefault="00714305" w:rsidP="00714305">
      <w:pPr>
        <w:spacing w:before="120" w:after="120"/>
        <w:jc w:val="both"/>
        <w:rPr>
          <w:rFonts w:ascii="StobiSerif Regular" w:hAnsi="StobiSerif Regular"/>
          <w:lang w:val="en-GB"/>
        </w:rPr>
      </w:pPr>
      <w:r w:rsidRPr="00714305">
        <w:rPr>
          <w:rFonts w:ascii="StobiSerif Regular" w:hAnsi="StobiSerif Regular"/>
        </w:rPr>
        <w:t xml:space="preserve">Специфични цели во оваа мерка </w:t>
      </w:r>
      <w:r w:rsidRPr="00714305">
        <w:rPr>
          <w:rFonts w:ascii="StobiSerif Regular" w:hAnsi="StobiSerif Regular"/>
          <w:lang w:val="en-GB"/>
        </w:rPr>
        <w:t>:</w:t>
      </w:r>
    </w:p>
    <w:p w:rsidR="00714305" w:rsidRPr="00714305" w:rsidRDefault="00714305" w:rsidP="00BA1CE8">
      <w:pPr>
        <w:numPr>
          <w:ilvl w:val="0"/>
          <w:numId w:val="2"/>
        </w:numPr>
        <w:autoSpaceDE w:val="0"/>
        <w:autoSpaceDN w:val="0"/>
        <w:adjustRightInd w:val="0"/>
        <w:spacing w:before="120" w:after="120"/>
        <w:contextualSpacing/>
        <w:jc w:val="both"/>
        <w:rPr>
          <w:rFonts w:ascii="StobiSerif Regular" w:hAnsi="StobiSerif Regular"/>
          <w:lang w:val="en-GB"/>
        </w:rPr>
      </w:pPr>
      <w:r w:rsidRPr="00714305">
        <w:rPr>
          <w:rFonts w:ascii="StobiSerif Regular" w:hAnsi="StobiSerif Regular"/>
          <w:lang w:val="en-GB"/>
        </w:rPr>
        <w:t>Да се промовира</w:t>
      </w:r>
      <w:r w:rsidRPr="00714305">
        <w:rPr>
          <w:rFonts w:ascii="StobiSerif Regular" w:hAnsi="StobiSerif Regular"/>
        </w:rPr>
        <w:t>ат</w:t>
      </w:r>
      <w:r w:rsidRPr="00714305">
        <w:rPr>
          <w:rFonts w:ascii="StobiSerif Regular" w:hAnsi="StobiSerif Regular"/>
          <w:lang w:val="en-GB"/>
        </w:rPr>
        <w:t xml:space="preserve"> фокусирани инвестиции за зајакнување на синџирот на снабдување на млечни производи</w:t>
      </w:r>
      <w:r w:rsidRPr="00714305">
        <w:rPr>
          <w:rFonts w:ascii="StobiSerif Regular" w:hAnsi="StobiSerif Regular"/>
        </w:rPr>
        <w:t xml:space="preserve"> и</w:t>
      </w:r>
      <w:r w:rsidRPr="00714305">
        <w:rPr>
          <w:rFonts w:ascii="StobiSerif Regular" w:hAnsi="StobiSerif Regular"/>
          <w:lang w:val="en-GB"/>
        </w:rPr>
        <w:t xml:space="preserve"> под-сектор</w:t>
      </w:r>
      <w:r w:rsidRPr="00714305">
        <w:rPr>
          <w:rFonts w:ascii="StobiSerif Regular" w:hAnsi="StobiSerif Regular"/>
        </w:rPr>
        <w:t>от</w:t>
      </w:r>
      <w:r w:rsidRPr="00714305">
        <w:rPr>
          <w:rFonts w:ascii="StobiSerif Regular" w:hAnsi="StobiSerif Regular"/>
          <w:lang w:val="en-GB"/>
        </w:rPr>
        <w:t xml:space="preserve"> овошје и зеленчук преку воспоставување или модернизација на локалните мрежи </w:t>
      </w:r>
      <w:r w:rsidRPr="00714305">
        <w:rPr>
          <w:rFonts w:ascii="StobiSerif Regular" w:hAnsi="StobiSerif Regular"/>
        </w:rPr>
        <w:t xml:space="preserve">за </w:t>
      </w:r>
      <w:r w:rsidRPr="00714305">
        <w:rPr>
          <w:rFonts w:ascii="StobiSerif Regular" w:hAnsi="StobiSerif Regular"/>
          <w:lang w:val="en-GB"/>
        </w:rPr>
        <w:t xml:space="preserve">собирање, капацитетите </w:t>
      </w:r>
      <w:r w:rsidRPr="00714305">
        <w:rPr>
          <w:rFonts w:ascii="StobiSerif Regular" w:hAnsi="StobiSerif Regular"/>
        </w:rPr>
        <w:t xml:space="preserve">за </w:t>
      </w:r>
      <w:r w:rsidRPr="00714305">
        <w:rPr>
          <w:rFonts w:ascii="StobiSerif Regular" w:hAnsi="StobiSerif Regular"/>
          <w:lang w:val="en-GB"/>
        </w:rPr>
        <w:t xml:space="preserve">прием, складирање, </w:t>
      </w:r>
      <w:r w:rsidRPr="00714305">
        <w:rPr>
          <w:rFonts w:ascii="StobiSerif Regular" w:hAnsi="StobiSerif Regular"/>
        </w:rPr>
        <w:t xml:space="preserve">чување, </w:t>
      </w:r>
      <w:r w:rsidRPr="00714305">
        <w:rPr>
          <w:rFonts w:ascii="StobiSerif Regular" w:hAnsi="StobiSerif Regular"/>
          <w:lang w:val="en-GB"/>
        </w:rPr>
        <w:t>сортирање и пакување на земјоделски производи</w:t>
      </w:r>
      <w:r w:rsidRPr="00714305">
        <w:rPr>
          <w:rFonts w:ascii="StobiSerif Regular" w:hAnsi="StobiSerif Regular"/>
        </w:rPr>
        <w:t>.</w:t>
      </w:r>
    </w:p>
    <w:p w:rsidR="00714305" w:rsidRPr="00714305" w:rsidRDefault="00714305" w:rsidP="00BA1CE8">
      <w:pPr>
        <w:numPr>
          <w:ilvl w:val="0"/>
          <w:numId w:val="2"/>
        </w:numPr>
        <w:autoSpaceDE w:val="0"/>
        <w:autoSpaceDN w:val="0"/>
        <w:adjustRightInd w:val="0"/>
        <w:spacing w:before="120" w:after="120"/>
        <w:contextualSpacing/>
        <w:jc w:val="both"/>
        <w:rPr>
          <w:rFonts w:ascii="StobiSerif Regular" w:hAnsi="StobiSerif Regular"/>
          <w:lang w:val="en-GB"/>
        </w:rPr>
      </w:pPr>
      <w:r w:rsidRPr="00714305">
        <w:rPr>
          <w:rFonts w:ascii="StobiSerif Regular" w:hAnsi="StobiSerif Regular"/>
          <w:lang w:val="en-GB"/>
        </w:rPr>
        <w:t>Да се придонесе кон подобрување и оптимизирање на производ</w:t>
      </w:r>
      <w:r w:rsidRPr="00714305">
        <w:rPr>
          <w:rFonts w:ascii="StobiSerif Regular" w:hAnsi="StobiSerif Regular"/>
        </w:rPr>
        <w:t>ните</w:t>
      </w:r>
      <w:r w:rsidRPr="00714305">
        <w:rPr>
          <w:rFonts w:ascii="StobiSerif Regular" w:hAnsi="StobiSerif Regular"/>
          <w:lang w:val="en-GB"/>
        </w:rPr>
        <w:t xml:space="preserve"> текови, преработка и маркетинг на земјоделски производи, во смисла на инвестиции во модернизација на постојните производствени технологии за подобрување на квалитетот на производот, маркетинг на производи и подобрување на стандардите за животна средина</w:t>
      </w:r>
    </w:p>
    <w:p w:rsidR="00714305" w:rsidRPr="00714305" w:rsidRDefault="00714305" w:rsidP="00BA1CE8">
      <w:pPr>
        <w:numPr>
          <w:ilvl w:val="0"/>
          <w:numId w:val="2"/>
        </w:numPr>
        <w:autoSpaceDE w:val="0"/>
        <w:autoSpaceDN w:val="0"/>
        <w:adjustRightInd w:val="0"/>
        <w:spacing w:before="120" w:after="120"/>
        <w:contextualSpacing/>
        <w:jc w:val="both"/>
        <w:rPr>
          <w:rFonts w:ascii="StobiSerif Regular" w:hAnsi="StobiSerif Regular"/>
          <w:lang w:val="en-GB"/>
        </w:rPr>
      </w:pPr>
      <w:r w:rsidRPr="00714305">
        <w:rPr>
          <w:rFonts w:ascii="StobiSerif Regular" w:hAnsi="StobiSerif Regular"/>
          <w:lang w:val="en-GB"/>
        </w:rPr>
        <w:t xml:space="preserve">Промовирање на инвестиции за модернизација на одредени операции во </w:t>
      </w:r>
      <w:r w:rsidRPr="00714305">
        <w:rPr>
          <w:rFonts w:ascii="StobiSerif Regular" w:hAnsi="StobiSerif Regular"/>
        </w:rPr>
        <w:t>кланиците</w:t>
      </w:r>
      <w:r w:rsidRPr="00714305">
        <w:rPr>
          <w:rFonts w:ascii="StobiSerif Regular" w:hAnsi="StobiSerif Regular"/>
          <w:lang w:val="en-GB"/>
        </w:rPr>
        <w:t xml:space="preserve"> </w:t>
      </w:r>
      <w:r w:rsidRPr="00714305">
        <w:rPr>
          <w:rFonts w:ascii="StobiSerif Regular" w:hAnsi="StobiSerif Regular"/>
        </w:rPr>
        <w:t xml:space="preserve">и </w:t>
      </w:r>
      <w:r w:rsidRPr="00714305">
        <w:rPr>
          <w:rFonts w:ascii="StobiSerif Regular" w:hAnsi="StobiSerif Regular"/>
          <w:lang w:val="en-GB"/>
        </w:rPr>
        <w:t>секторот</w:t>
      </w:r>
      <w:r w:rsidRPr="00714305">
        <w:rPr>
          <w:rFonts w:ascii="StobiSerif Regular" w:hAnsi="StobiSerif Regular"/>
        </w:rPr>
        <w:t>от за</w:t>
      </w:r>
      <w:r w:rsidRPr="00714305">
        <w:rPr>
          <w:rFonts w:ascii="StobiSerif Regular" w:hAnsi="StobiSerif Regular"/>
          <w:lang w:val="en-GB"/>
        </w:rPr>
        <w:t xml:space="preserve"> вино, за инвестирање во модернизација на технолошки линии и опрема </w:t>
      </w:r>
      <w:r w:rsidRPr="00714305">
        <w:rPr>
          <w:rFonts w:ascii="StobiSerif Regular" w:hAnsi="StobiSerif Regular"/>
        </w:rPr>
        <w:t>за</w:t>
      </w:r>
      <w:r w:rsidRPr="00714305">
        <w:rPr>
          <w:rFonts w:ascii="StobiSerif Regular" w:hAnsi="StobiSerif Regular"/>
          <w:lang w:val="en-GB"/>
        </w:rPr>
        <w:t xml:space="preserve"> систем</w:t>
      </w:r>
      <w:r w:rsidRPr="00714305">
        <w:rPr>
          <w:rFonts w:ascii="StobiSerif Regular" w:hAnsi="StobiSerif Regular"/>
        </w:rPr>
        <w:t xml:space="preserve">и за </w:t>
      </w:r>
      <w:r w:rsidRPr="00714305">
        <w:rPr>
          <w:rFonts w:ascii="StobiSerif Regular" w:hAnsi="StobiSerif Regular"/>
          <w:lang w:val="en-GB"/>
        </w:rPr>
        <w:t>контрола на квалитетот .</w:t>
      </w:r>
    </w:p>
    <w:p w:rsidR="00714305" w:rsidRPr="00714305" w:rsidRDefault="00714305" w:rsidP="00BA1CE8">
      <w:pPr>
        <w:numPr>
          <w:ilvl w:val="0"/>
          <w:numId w:val="2"/>
        </w:numPr>
        <w:autoSpaceDE w:val="0"/>
        <w:autoSpaceDN w:val="0"/>
        <w:adjustRightInd w:val="0"/>
        <w:spacing w:before="120" w:after="120"/>
        <w:contextualSpacing/>
        <w:jc w:val="both"/>
        <w:rPr>
          <w:rFonts w:ascii="StobiSerif Regular" w:hAnsi="StobiSerif Regular"/>
          <w:lang w:val="en-GB"/>
        </w:rPr>
      </w:pPr>
      <w:r w:rsidRPr="00714305">
        <w:rPr>
          <w:rFonts w:ascii="StobiSerif Regular" w:hAnsi="StobiSerif Regular"/>
          <w:lang w:val="en-GB"/>
        </w:rPr>
        <w:t xml:space="preserve">за инвестиции во насока на прилагодување на стандардите </w:t>
      </w:r>
      <w:r w:rsidRPr="00714305">
        <w:rPr>
          <w:rFonts w:ascii="StobiSerif Regular" w:hAnsi="StobiSerif Regular"/>
        </w:rPr>
        <w:t xml:space="preserve">кон стандардите </w:t>
      </w:r>
      <w:r w:rsidRPr="00714305">
        <w:rPr>
          <w:rFonts w:ascii="StobiSerif Regular" w:hAnsi="StobiSerif Regular"/>
          <w:lang w:val="en-GB"/>
        </w:rPr>
        <w:t>на Европската Унија</w:t>
      </w:r>
      <w:r w:rsidRPr="00714305">
        <w:rPr>
          <w:rFonts w:ascii="StobiSerif Regular" w:hAnsi="StobiSerif Regular"/>
        </w:rPr>
        <w:t>,  какои инвестиции за заштита на животната средина</w:t>
      </w:r>
    </w:p>
    <w:p w:rsidR="008A4258" w:rsidRPr="003F10CB" w:rsidRDefault="00714305" w:rsidP="003F10CB">
      <w:pPr>
        <w:autoSpaceDE w:val="0"/>
        <w:autoSpaceDN w:val="0"/>
        <w:adjustRightInd w:val="0"/>
        <w:spacing w:before="120" w:after="120"/>
        <w:jc w:val="both"/>
        <w:rPr>
          <w:rFonts w:ascii="StobiSerif Regular" w:hAnsi="StobiSerif Regular"/>
        </w:rPr>
      </w:pPr>
      <w:r>
        <w:rPr>
          <w:rFonts w:ascii="StobiSerif Regular" w:hAnsi="StobiSerif Regular"/>
        </w:rPr>
        <w:t>Од вкупно пристигнати апликации , 193</w:t>
      </w:r>
      <w:r w:rsidRPr="00A15D06">
        <w:rPr>
          <w:rFonts w:ascii="StobiSerif Regular" w:hAnsi="StobiSerif Regular"/>
        </w:rPr>
        <w:t xml:space="preserve"> б</w:t>
      </w:r>
      <w:r>
        <w:rPr>
          <w:rFonts w:ascii="StobiSerif Regular" w:hAnsi="StobiSerif Regular"/>
        </w:rPr>
        <w:t>арања се поднесени за Мерка 103, што резултира со 65</w:t>
      </w:r>
      <w:r w:rsidRPr="00714305">
        <w:rPr>
          <w:rFonts w:ascii="StobiSerif Regular" w:hAnsi="StobiSerif Regular"/>
        </w:rPr>
        <w:t xml:space="preserve"> </w:t>
      </w:r>
      <w:r w:rsidRPr="00A15D06">
        <w:rPr>
          <w:rFonts w:ascii="StobiSerif Regular" w:hAnsi="StobiSerif Regular"/>
        </w:rPr>
        <w:t>договори кои се потпишани</w:t>
      </w:r>
      <w:r>
        <w:rPr>
          <w:rFonts w:ascii="StobiSerif Regular" w:hAnsi="StobiSerif Regular"/>
        </w:rPr>
        <w:t xml:space="preserve">  , </w:t>
      </w:r>
      <w:r w:rsidRPr="00714305">
        <w:rPr>
          <w:rFonts w:ascii="StobiSerif Regular" w:hAnsi="StobiSerif Regular"/>
        </w:rPr>
        <w:t xml:space="preserve">21 договори се откажани и </w:t>
      </w:r>
      <w:r>
        <w:rPr>
          <w:rFonts w:ascii="StobiSerif Regular" w:hAnsi="StobiSerif Regular"/>
        </w:rPr>
        <w:t xml:space="preserve">37 </w:t>
      </w:r>
      <w:r w:rsidRPr="00714305">
        <w:rPr>
          <w:rFonts w:ascii="StobiSerif Regular" w:hAnsi="StobiSerif Regular"/>
        </w:rPr>
        <w:t xml:space="preserve"> договори се исплатени.</w:t>
      </w:r>
    </w:p>
    <w:p w:rsidR="003F10CB" w:rsidRPr="002D3498" w:rsidRDefault="003F10CB" w:rsidP="003F10CB">
      <w:pPr>
        <w:autoSpaceDE w:val="0"/>
        <w:autoSpaceDN w:val="0"/>
        <w:adjustRightInd w:val="0"/>
        <w:spacing w:before="120" w:after="120"/>
        <w:jc w:val="both"/>
        <w:rPr>
          <w:rFonts w:ascii="StobiSerif Regular" w:hAnsi="StobiSerif Regular"/>
          <w:b/>
        </w:rPr>
      </w:pPr>
      <w:bookmarkStart w:id="36" w:name="_Toc485394905"/>
      <w:r w:rsidRPr="002D3498">
        <w:rPr>
          <w:rFonts w:ascii="StobiSerif Regular" w:hAnsi="StobiSerif Regular"/>
          <w:b/>
        </w:rPr>
        <w:t>Табела</w:t>
      </w:r>
      <w:r w:rsidRPr="002D3498">
        <w:rPr>
          <w:rFonts w:ascii="StobiSerif Regular" w:hAnsi="StobiSerif Regular"/>
          <w:b/>
          <w:color w:val="002060"/>
        </w:rPr>
        <w:t xml:space="preserve"> </w:t>
      </w:r>
      <w:r w:rsidRPr="002D3498">
        <w:rPr>
          <w:rFonts w:ascii="StobiSerif Regular" w:hAnsi="StobiSerif Regular"/>
          <w:b/>
          <w:color w:val="002060"/>
        </w:rPr>
        <w:fldChar w:fldCharType="begin"/>
      </w:r>
      <w:r w:rsidRPr="002D3498">
        <w:rPr>
          <w:rFonts w:ascii="StobiSerif Regular" w:hAnsi="StobiSerif Regular"/>
          <w:b/>
          <w:color w:val="002060"/>
        </w:rPr>
        <w:instrText xml:space="preserve"> SEQ Table \* ARABIC </w:instrText>
      </w:r>
      <w:r w:rsidRPr="002D3498">
        <w:rPr>
          <w:rFonts w:ascii="StobiSerif Regular" w:hAnsi="StobiSerif Regular"/>
          <w:b/>
          <w:color w:val="002060"/>
        </w:rPr>
        <w:fldChar w:fldCharType="separate"/>
      </w:r>
      <w:r w:rsidRPr="002D3498">
        <w:rPr>
          <w:rFonts w:ascii="StobiSerif Regular" w:hAnsi="StobiSerif Regular"/>
          <w:b/>
          <w:noProof/>
          <w:color w:val="002060"/>
        </w:rPr>
        <w:t>13</w:t>
      </w:r>
      <w:r w:rsidRPr="002D3498">
        <w:rPr>
          <w:rFonts w:ascii="StobiSerif Regular" w:hAnsi="StobiSerif Regular"/>
          <w:b/>
          <w:color w:val="002060"/>
        </w:rPr>
        <w:fldChar w:fldCharType="end"/>
      </w:r>
      <w:r w:rsidRPr="002D3498">
        <w:rPr>
          <w:rFonts w:ascii="StobiSerif Regular" w:hAnsi="StobiSerif Regular"/>
          <w:b/>
          <w:color w:val="002060"/>
        </w:rPr>
        <w:t>:</w:t>
      </w:r>
      <w:r w:rsidRPr="002D3498">
        <w:rPr>
          <w:rFonts w:ascii="StobiSerif Regular" w:hAnsi="StobiSerif Regular"/>
          <w:b/>
        </w:rPr>
        <w:t>Преглед на спроведување на Мерка 103 по јавни повици</w:t>
      </w:r>
      <w:bookmarkEnd w:id="36"/>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559"/>
        <w:gridCol w:w="1417"/>
        <w:gridCol w:w="1560"/>
        <w:gridCol w:w="1559"/>
        <w:gridCol w:w="1559"/>
      </w:tblGrid>
      <w:tr w:rsidR="00C11701" w:rsidRPr="002D3498" w:rsidTr="00E23E9D">
        <w:trPr>
          <w:trHeight w:val="373"/>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701" w:rsidRPr="002D3498" w:rsidRDefault="00C11701" w:rsidP="00AF2B02">
            <w:pPr>
              <w:spacing w:after="0" w:line="240" w:lineRule="auto"/>
              <w:jc w:val="right"/>
              <w:rPr>
                <w:rFonts w:ascii="StobiSerif Regular" w:eastAsia="Times New Roman" w:hAnsi="StobiSerif Regular" w:cs="Times New Roman"/>
                <w:b/>
                <w:sz w:val="16"/>
                <w:szCs w:val="16"/>
                <w:lang w:eastAsia="mk-MK"/>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1701" w:rsidRPr="002D3498" w:rsidRDefault="00C11701" w:rsidP="00332E3B">
            <w:pPr>
              <w:spacing w:after="0" w:line="240" w:lineRule="auto"/>
              <w:jc w:val="right"/>
              <w:rPr>
                <w:rFonts w:ascii="StobiSerif Regular" w:eastAsia="Times New Roman" w:hAnsi="StobiSerif Regular" w:cs="Times New Roman"/>
                <w:b/>
                <w:sz w:val="16"/>
                <w:szCs w:val="16"/>
                <w:lang w:eastAsia="mk-MK"/>
              </w:rPr>
            </w:pPr>
            <w:r w:rsidRPr="002D3498">
              <w:rPr>
                <w:rFonts w:ascii="StobiSerif Regular" w:eastAsia="Times New Roman" w:hAnsi="StobiSerif Regular" w:cs="Times New Roman"/>
                <w:b/>
                <w:sz w:val="16"/>
                <w:szCs w:val="16"/>
                <w:lang w:eastAsia="mk-MK"/>
              </w:rPr>
              <w:t xml:space="preserve">Јавен повик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701" w:rsidRPr="002D3498" w:rsidRDefault="00C11701" w:rsidP="00332E3B">
            <w:pPr>
              <w:spacing w:after="0" w:line="240" w:lineRule="auto"/>
              <w:jc w:val="right"/>
              <w:rPr>
                <w:rFonts w:ascii="StobiSerif Regular" w:eastAsia="Times New Roman" w:hAnsi="StobiSerif Regular" w:cs="Times New Roman"/>
                <w:b/>
                <w:sz w:val="16"/>
                <w:szCs w:val="16"/>
                <w:lang w:eastAsia="mk-MK"/>
              </w:rPr>
            </w:pPr>
            <w:r w:rsidRPr="002D3498">
              <w:rPr>
                <w:rFonts w:ascii="StobiSerif Regular" w:eastAsia="Times New Roman" w:hAnsi="StobiSerif Regular" w:cs="Times New Roman"/>
                <w:b/>
                <w:sz w:val="16"/>
                <w:szCs w:val="16"/>
                <w:lang w:eastAsia="mk-MK"/>
              </w:rPr>
              <w:t xml:space="preserve">Примени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1701" w:rsidRPr="002D3498" w:rsidRDefault="00C11701" w:rsidP="00332E3B">
            <w:pPr>
              <w:spacing w:after="0" w:line="240" w:lineRule="auto"/>
              <w:jc w:val="right"/>
              <w:rPr>
                <w:rFonts w:ascii="StobiSerif Regular" w:eastAsia="Times New Roman" w:hAnsi="StobiSerif Regular" w:cs="Times New Roman"/>
                <w:b/>
                <w:sz w:val="16"/>
                <w:szCs w:val="16"/>
                <w:lang w:eastAsia="mk-MK"/>
              </w:rPr>
            </w:pPr>
            <w:r w:rsidRPr="002D3498">
              <w:rPr>
                <w:rFonts w:ascii="StobiSerif Regular" w:eastAsia="Times New Roman" w:hAnsi="StobiSerif Regular" w:cs="Times New Roman"/>
                <w:b/>
                <w:sz w:val="16"/>
                <w:szCs w:val="16"/>
                <w:lang w:eastAsia="mk-MK"/>
              </w:rPr>
              <w:t xml:space="preserve">Одобрени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1701" w:rsidRPr="002D3498" w:rsidRDefault="00C11701" w:rsidP="00332E3B">
            <w:pPr>
              <w:spacing w:after="0" w:line="240" w:lineRule="auto"/>
              <w:jc w:val="right"/>
              <w:rPr>
                <w:rFonts w:ascii="StobiSerif Regular" w:eastAsia="Times New Roman" w:hAnsi="StobiSerif Regular" w:cs="Times New Roman"/>
                <w:b/>
                <w:sz w:val="16"/>
                <w:szCs w:val="16"/>
                <w:lang w:eastAsia="mk-MK"/>
              </w:rPr>
            </w:pPr>
            <w:r w:rsidRPr="002D3498">
              <w:rPr>
                <w:rFonts w:ascii="StobiSerif Regular" w:eastAsia="Times New Roman" w:hAnsi="StobiSerif Regular" w:cs="Times New Roman"/>
                <w:b/>
                <w:sz w:val="16"/>
                <w:szCs w:val="16"/>
                <w:lang w:eastAsia="mk-MK"/>
              </w:rPr>
              <w:t xml:space="preserve">Исплатени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1701" w:rsidRPr="002D3498" w:rsidRDefault="00C11701" w:rsidP="00332E3B">
            <w:pPr>
              <w:spacing w:after="0" w:line="240" w:lineRule="auto"/>
              <w:jc w:val="right"/>
              <w:rPr>
                <w:rFonts w:ascii="StobiSerif Regular" w:eastAsia="Times New Roman" w:hAnsi="StobiSerif Regular" w:cs="Times New Roman"/>
                <w:b/>
                <w:sz w:val="16"/>
                <w:szCs w:val="16"/>
                <w:lang w:eastAsia="mk-MK"/>
              </w:rPr>
            </w:pPr>
            <w:r w:rsidRPr="002D3498">
              <w:rPr>
                <w:rFonts w:ascii="StobiSerif Regular" w:eastAsia="Times New Roman" w:hAnsi="StobiSerif Regular" w:cs="Times New Roman"/>
                <w:b/>
                <w:sz w:val="16"/>
                <w:szCs w:val="16"/>
                <w:lang w:eastAsia="mk-MK"/>
              </w:rPr>
              <w:t xml:space="preserve">Раскинати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701" w:rsidRPr="002D3498" w:rsidRDefault="00C11701" w:rsidP="00332E3B">
            <w:pPr>
              <w:spacing w:after="0" w:line="240" w:lineRule="auto"/>
              <w:jc w:val="right"/>
              <w:rPr>
                <w:rFonts w:ascii="StobiSerif Regular" w:eastAsia="Times New Roman" w:hAnsi="StobiSerif Regular" w:cs="Times New Roman"/>
                <w:b/>
                <w:sz w:val="16"/>
                <w:szCs w:val="16"/>
                <w:lang w:eastAsia="mk-MK"/>
              </w:rPr>
            </w:pPr>
            <w:r w:rsidRPr="002D3498">
              <w:rPr>
                <w:rFonts w:ascii="StobiSerif Regular" w:eastAsia="Times New Roman" w:hAnsi="StobiSerif Regular" w:cs="Times New Roman"/>
                <w:b/>
                <w:sz w:val="16"/>
                <w:szCs w:val="16"/>
                <w:lang w:eastAsia="mk-MK"/>
              </w:rPr>
              <w:t xml:space="preserve">Тековни </w:t>
            </w:r>
          </w:p>
        </w:tc>
      </w:tr>
      <w:tr w:rsidR="000A6871" w:rsidRPr="000B5E5D" w:rsidTr="00784CD1">
        <w:trPr>
          <w:trHeight w:val="308"/>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01/2009</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41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11</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w:t>
            </w:r>
          </w:p>
        </w:tc>
        <w:tc>
          <w:tcPr>
            <w:tcW w:w="1559"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A6871" w:rsidRPr="000B5E5D" w:rsidTr="00784CD1">
        <w:trPr>
          <w:trHeight w:val="271"/>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01/2010</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11</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6</w:t>
            </w:r>
          </w:p>
        </w:tc>
        <w:tc>
          <w:tcPr>
            <w:tcW w:w="1559"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A6871" w:rsidRPr="000B5E5D" w:rsidTr="00784CD1">
        <w:trPr>
          <w:trHeight w:val="275"/>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01/2011</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6</w:t>
            </w:r>
          </w:p>
        </w:tc>
        <w:tc>
          <w:tcPr>
            <w:tcW w:w="1559"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A6871" w:rsidRPr="000B5E5D" w:rsidTr="00784CD1">
        <w:trPr>
          <w:trHeight w:val="265"/>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4</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02/2011</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2</w:t>
            </w:r>
          </w:p>
        </w:tc>
        <w:tc>
          <w:tcPr>
            <w:tcW w:w="1559"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A6871" w:rsidRPr="000B5E5D" w:rsidTr="00784CD1">
        <w:trPr>
          <w:trHeight w:val="255"/>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5</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03/2011</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1</w:t>
            </w:r>
          </w:p>
        </w:tc>
        <w:tc>
          <w:tcPr>
            <w:tcW w:w="1559"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A6871" w:rsidRPr="000B5E5D" w:rsidTr="00784CD1">
        <w:trPr>
          <w:trHeight w:val="245"/>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6</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01/2012</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1</w:t>
            </w:r>
          </w:p>
        </w:tc>
        <w:tc>
          <w:tcPr>
            <w:tcW w:w="1559"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A6871" w:rsidRPr="000B5E5D" w:rsidTr="00784CD1">
        <w:trPr>
          <w:trHeight w:val="249"/>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7</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02/2012</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1</w:t>
            </w:r>
          </w:p>
        </w:tc>
        <w:tc>
          <w:tcPr>
            <w:tcW w:w="1559"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A6871" w:rsidRPr="000B5E5D" w:rsidTr="00784CD1">
        <w:trPr>
          <w:trHeight w:val="239"/>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8</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01/2013</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1</w:t>
            </w:r>
          </w:p>
        </w:tc>
        <w:tc>
          <w:tcPr>
            <w:tcW w:w="1559"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A6871" w:rsidRPr="000B5E5D" w:rsidTr="00784CD1">
        <w:trPr>
          <w:trHeight w:val="259"/>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9</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01/2014</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2</w:t>
            </w:r>
          </w:p>
        </w:tc>
        <w:tc>
          <w:tcPr>
            <w:tcW w:w="1559"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A6871" w:rsidRPr="000B5E5D" w:rsidTr="00784CD1">
        <w:trPr>
          <w:trHeight w:val="263"/>
        </w:trPr>
        <w:tc>
          <w:tcPr>
            <w:tcW w:w="426"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10</w:t>
            </w:r>
          </w:p>
        </w:tc>
        <w:tc>
          <w:tcPr>
            <w:tcW w:w="1134" w:type="dxa"/>
            <w:tcBorders>
              <w:top w:val="single" w:sz="4" w:space="0" w:color="auto"/>
              <w:left w:val="single" w:sz="4" w:space="0" w:color="auto"/>
              <w:bottom w:val="single" w:sz="4" w:space="0" w:color="auto"/>
              <w:right w:val="single" w:sz="4" w:space="0" w:color="auto"/>
            </w:tcBorders>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02/2014</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0</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1</w:t>
            </w:r>
          </w:p>
        </w:tc>
      </w:tr>
      <w:tr w:rsidR="000A6871" w:rsidRPr="000B5E5D" w:rsidTr="00784CD1">
        <w:trPr>
          <w:trHeight w:val="253"/>
        </w:trPr>
        <w:tc>
          <w:tcPr>
            <w:tcW w:w="426"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11</w:t>
            </w:r>
          </w:p>
        </w:tc>
        <w:tc>
          <w:tcPr>
            <w:tcW w:w="1134"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01/2015</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11</w:t>
            </w:r>
          </w:p>
        </w:tc>
        <w:tc>
          <w:tcPr>
            <w:tcW w:w="1417"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3</w:t>
            </w:r>
          </w:p>
        </w:tc>
        <w:tc>
          <w:tcPr>
            <w:tcW w:w="1560"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1</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0</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2</w:t>
            </w:r>
          </w:p>
        </w:tc>
      </w:tr>
      <w:tr w:rsidR="000A6871" w:rsidRPr="000B5E5D" w:rsidTr="00784CD1">
        <w:trPr>
          <w:trHeight w:val="253"/>
        </w:trPr>
        <w:tc>
          <w:tcPr>
            <w:tcW w:w="426"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12</w:t>
            </w:r>
          </w:p>
        </w:tc>
        <w:tc>
          <w:tcPr>
            <w:tcW w:w="1134" w:type="dxa"/>
            <w:tcBorders>
              <w:top w:val="single" w:sz="4" w:space="0" w:color="auto"/>
              <w:left w:val="single" w:sz="4" w:space="0" w:color="auto"/>
              <w:bottom w:val="single" w:sz="4" w:space="0" w:color="auto"/>
              <w:right w:val="single" w:sz="4" w:space="0" w:color="auto"/>
            </w:tcBorders>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02/2015</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15</w:t>
            </w:r>
          </w:p>
        </w:tc>
        <w:tc>
          <w:tcPr>
            <w:tcW w:w="1417"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6</w:t>
            </w:r>
          </w:p>
        </w:tc>
        <w:tc>
          <w:tcPr>
            <w:tcW w:w="1560"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3</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0</w:t>
            </w:r>
          </w:p>
        </w:tc>
        <w:tc>
          <w:tcPr>
            <w:tcW w:w="1559" w:type="dxa"/>
            <w:tcBorders>
              <w:top w:val="single" w:sz="4" w:space="0" w:color="auto"/>
              <w:left w:val="single" w:sz="4" w:space="0" w:color="auto"/>
              <w:bottom w:val="single" w:sz="4" w:space="0" w:color="auto"/>
              <w:right w:val="single" w:sz="4" w:space="0" w:color="auto"/>
            </w:tcBorders>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3</w:t>
            </w:r>
          </w:p>
        </w:tc>
      </w:tr>
      <w:tr w:rsidR="000A6871" w:rsidRPr="000B5E5D" w:rsidTr="00784CD1">
        <w:trPr>
          <w:trHeight w:val="242"/>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A6871" w:rsidRPr="000B5E5D" w:rsidRDefault="00C11701" w:rsidP="000A6871">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Вкупно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193</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65</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37</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22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A6871" w:rsidRPr="000B5E5D" w:rsidRDefault="000A6871" w:rsidP="000A6871">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6</w:t>
            </w:r>
          </w:p>
        </w:tc>
      </w:tr>
    </w:tbl>
    <w:p w:rsidR="00C11701" w:rsidRDefault="00C11701" w:rsidP="000359E3">
      <w:pPr>
        <w:spacing w:before="120" w:after="120"/>
        <w:ind w:firstLine="284"/>
        <w:jc w:val="both"/>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Извор: Мониторинг систем  (2016)</w:t>
      </w:r>
    </w:p>
    <w:p w:rsidR="00E840F4" w:rsidRDefault="00714305" w:rsidP="000359E3">
      <w:pPr>
        <w:spacing w:before="120" w:after="120"/>
        <w:ind w:firstLine="284"/>
        <w:jc w:val="both"/>
        <w:rPr>
          <w:rFonts w:ascii="StobiSerif Regular" w:hAnsi="StobiSerif Regular"/>
          <w:lang w:val="en-US"/>
        </w:rPr>
      </w:pPr>
      <w:r>
        <w:rPr>
          <w:rFonts w:ascii="StobiSerif Regular" w:hAnsi="StobiSerif Regular"/>
        </w:rPr>
        <w:t xml:space="preserve">Во преработувачката </w:t>
      </w:r>
      <w:r w:rsidR="002D3498">
        <w:rPr>
          <w:rFonts w:ascii="StobiSerif Regular" w:hAnsi="StobiSerif Regular"/>
        </w:rPr>
        <w:t>индустрија најголем интерес има</w:t>
      </w:r>
      <w:r>
        <w:rPr>
          <w:rFonts w:ascii="StobiSerif Regular" w:hAnsi="StobiSerif Regular"/>
        </w:rPr>
        <w:t xml:space="preserve"> во секторот за овошје и зеленчук, </w:t>
      </w:r>
      <w:r w:rsidR="001411B8">
        <w:rPr>
          <w:rFonts w:ascii="StobiSerif Regular" w:hAnsi="StobiSerif Regular"/>
        </w:rPr>
        <w:t xml:space="preserve">каде 109 апликации </w:t>
      </w:r>
      <w:r w:rsidR="002D3498">
        <w:rPr>
          <w:rFonts w:ascii="StobiSerif Regular" w:hAnsi="StobiSerif Regular"/>
        </w:rPr>
        <w:t>се одобрени, 38 договори се</w:t>
      </w:r>
      <w:r w:rsidR="00E840F4">
        <w:rPr>
          <w:rFonts w:ascii="StobiSerif Regular" w:hAnsi="StobiSerif Regular"/>
        </w:rPr>
        <w:t xml:space="preserve"> раскинати и 17 </w:t>
      </w:r>
      <w:r w:rsidR="002D3498">
        <w:rPr>
          <w:rFonts w:ascii="StobiSerif Regular" w:hAnsi="StobiSerif Regular"/>
        </w:rPr>
        <w:t xml:space="preserve">договори се </w:t>
      </w:r>
      <w:r w:rsidR="00E840F4">
        <w:rPr>
          <w:rFonts w:ascii="StobiSerif Regular" w:hAnsi="StobiSerif Regular"/>
        </w:rPr>
        <w:t xml:space="preserve"> исплатени. </w:t>
      </w:r>
    </w:p>
    <w:p w:rsidR="00295A9B" w:rsidRPr="00295A9B" w:rsidRDefault="00295A9B" w:rsidP="00295A9B">
      <w:pPr>
        <w:spacing w:before="120" w:after="120"/>
        <w:ind w:firstLine="284"/>
        <w:jc w:val="both"/>
        <w:rPr>
          <w:rFonts w:ascii="StobiSerif Regular" w:hAnsi="StobiSerif Regular"/>
          <w:lang w:val="en-US"/>
        </w:rPr>
      </w:pPr>
      <w:r w:rsidRPr="00295A9B">
        <w:rPr>
          <w:rFonts w:ascii="StobiSerif Regular" w:hAnsi="StobiSerif Regular"/>
          <w:lang w:val="en-US"/>
        </w:rPr>
        <w:t>Под</w:t>
      </w:r>
      <w:r w:rsidR="002D3498">
        <w:rPr>
          <w:rFonts w:ascii="StobiSerif Regular" w:hAnsi="StobiSerif Regular"/>
          <w:lang w:val="en-US"/>
        </w:rPr>
        <w:t>атоците за причините за о</w:t>
      </w:r>
      <w:r w:rsidR="002D3498">
        <w:rPr>
          <w:rFonts w:ascii="StobiSerif Regular" w:hAnsi="StobiSerif Regular"/>
        </w:rPr>
        <w:t>дбивање на</w:t>
      </w:r>
      <w:r w:rsidRPr="00295A9B">
        <w:rPr>
          <w:rFonts w:ascii="StobiSerif Regular" w:hAnsi="StobiSerif Regular"/>
          <w:lang w:val="en-US"/>
        </w:rPr>
        <w:t xml:space="preserve"> апликациите примени на јавниот повик 02/2015 го прикажуваат следново:</w:t>
      </w:r>
    </w:p>
    <w:p w:rsidR="00295A9B" w:rsidRPr="004D00C5" w:rsidRDefault="00295A9B" w:rsidP="004D00C5">
      <w:pPr>
        <w:pStyle w:val="ListParagraph"/>
        <w:numPr>
          <w:ilvl w:val="0"/>
          <w:numId w:val="53"/>
        </w:numPr>
        <w:spacing w:before="120" w:after="120"/>
        <w:jc w:val="both"/>
        <w:rPr>
          <w:rFonts w:ascii="StobiSerif Regular" w:hAnsi="StobiSerif Regular"/>
          <w:lang w:val="en-US"/>
        </w:rPr>
      </w:pPr>
      <w:r w:rsidRPr="004D00C5">
        <w:rPr>
          <w:rFonts w:ascii="StobiSerif Regular" w:hAnsi="StobiSerif Regular"/>
          <w:lang w:val="en-US"/>
        </w:rPr>
        <w:t>Апликантот не одговори на "Известување за пополнување на апликацијата" испратена од апликациите на Агенцијата-5</w:t>
      </w:r>
      <w:r w:rsidR="004D00C5">
        <w:rPr>
          <w:rFonts w:ascii="StobiSerif Regular" w:hAnsi="StobiSerif Regular"/>
        </w:rPr>
        <w:t xml:space="preserve"> апликации</w:t>
      </w:r>
      <w:r w:rsidRPr="004D00C5">
        <w:rPr>
          <w:rFonts w:ascii="StobiSerif Regular" w:hAnsi="StobiSerif Regular"/>
          <w:lang w:val="en-US"/>
        </w:rPr>
        <w:t>. Овие апликации беа доставени празни и дури не содржат основни информации за барателот и инвестицијата.</w:t>
      </w:r>
    </w:p>
    <w:p w:rsidR="00295A9B" w:rsidRPr="004D00C5" w:rsidRDefault="00295A9B" w:rsidP="004D00C5">
      <w:pPr>
        <w:pStyle w:val="ListParagraph"/>
        <w:numPr>
          <w:ilvl w:val="0"/>
          <w:numId w:val="53"/>
        </w:numPr>
        <w:spacing w:before="120" w:after="120"/>
        <w:jc w:val="both"/>
        <w:rPr>
          <w:rFonts w:ascii="StobiSerif Regular" w:hAnsi="StobiSerif Regular"/>
          <w:lang w:val="en-US"/>
        </w:rPr>
      </w:pPr>
      <w:r w:rsidRPr="004D00C5">
        <w:rPr>
          <w:rFonts w:ascii="StobiSerif Regular" w:hAnsi="StobiSerif Regular"/>
          <w:lang w:val="en-US"/>
        </w:rPr>
        <w:t>Апликантот ја откажа апликацијата со потпишана изјава - 2 апликации</w:t>
      </w:r>
    </w:p>
    <w:p w:rsidR="00295A9B" w:rsidRPr="004D00C5" w:rsidRDefault="00295A9B" w:rsidP="004D00C5">
      <w:pPr>
        <w:pStyle w:val="ListParagraph"/>
        <w:numPr>
          <w:ilvl w:val="0"/>
          <w:numId w:val="53"/>
        </w:numPr>
        <w:spacing w:before="120" w:after="120"/>
        <w:jc w:val="both"/>
        <w:rPr>
          <w:rFonts w:ascii="StobiSerif Regular" w:hAnsi="StobiSerif Regular"/>
          <w:lang w:val="en-US"/>
        </w:rPr>
      </w:pPr>
      <w:r w:rsidRPr="004D00C5">
        <w:rPr>
          <w:rFonts w:ascii="StobiSerif Regular" w:hAnsi="StobiSerif Regular"/>
          <w:lang w:val="en-US"/>
        </w:rPr>
        <w:t>Апликацијата е одбиена бидејќи апликантот (правно лице) не е во опсегот на апликација МСП-1</w:t>
      </w:r>
      <w:r w:rsidR="004D00C5">
        <w:rPr>
          <w:rFonts w:ascii="StobiSerif Regular" w:hAnsi="StobiSerif Regular"/>
        </w:rPr>
        <w:t xml:space="preserve"> апликација</w:t>
      </w:r>
      <w:r w:rsidRPr="004D00C5">
        <w:rPr>
          <w:rFonts w:ascii="StobiSerif Regular" w:hAnsi="StobiSerif Regular"/>
          <w:lang w:val="en-US"/>
        </w:rPr>
        <w:t>.</w:t>
      </w:r>
    </w:p>
    <w:p w:rsidR="00295A9B" w:rsidRPr="00D03789" w:rsidRDefault="00295A9B" w:rsidP="00D03789">
      <w:pPr>
        <w:pStyle w:val="ListParagraph"/>
        <w:numPr>
          <w:ilvl w:val="0"/>
          <w:numId w:val="53"/>
        </w:numPr>
        <w:spacing w:before="120" w:after="120"/>
        <w:jc w:val="both"/>
        <w:rPr>
          <w:rFonts w:ascii="StobiSerif Regular" w:hAnsi="StobiSerif Regular"/>
          <w:lang w:val="en-US"/>
        </w:rPr>
      </w:pPr>
      <w:r w:rsidRPr="00D03789">
        <w:rPr>
          <w:rFonts w:ascii="StobiSerif Regular" w:hAnsi="StobiSerif Regular"/>
          <w:lang w:val="en-US"/>
        </w:rPr>
        <w:t xml:space="preserve">Одговорното лице на правното лице кое имало застапник имало </w:t>
      </w:r>
      <w:r w:rsidR="002D3498">
        <w:rPr>
          <w:rFonts w:ascii="StobiSerif Regular" w:hAnsi="StobiSerif Regular"/>
          <w:lang w:val="en-US"/>
        </w:rPr>
        <w:t>забрана за вршење на дејност</w:t>
      </w:r>
    </w:p>
    <w:p w:rsidR="000A6871" w:rsidRPr="002D3498" w:rsidRDefault="00240B60" w:rsidP="000A6871">
      <w:pPr>
        <w:spacing w:after="0"/>
        <w:jc w:val="both"/>
        <w:rPr>
          <w:rFonts w:ascii="StobiSerif Regular" w:hAnsi="StobiSerif Regular"/>
          <w:b/>
          <w:lang w:val="en-US"/>
        </w:rPr>
      </w:pPr>
      <w:bookmarkStart w:id="37" w:name="_Toc485394906"/>
      <w:r w:rsidRPr="002D3498">
        <w:rPr>
          <w:rFonts w:ascii="StobiSerif Regular" w:eastAsia="Times New Roman" w:hAnsi="StobiSerif Regular" w:cs="Times New Roman"/>
          <w:b/>
          <w:lang w:eastAsia="zh-CN"/>
        </w:rPr>
        <w:t>Табле</w:t>
      </w:r>
      <w:r w:rsidR="000A6871" w:rsidRPr="002D3498">
        <w:rPr>
          <w:rFonts w:ascii="StobiSerif Regular" w:eastAsia="Times New Roman" w:hAnsi="StobiSerif Regular" w:cs="Times New Roman"/>
          <w:b/>
          <w:lang w:val="en-GB" w:eastAsia="zh-CN"/>
        </w:rPr>
        <w:t xml:space="preserve"> </w:t>
      </w:r>
      <w:r w:rsidR="000A6871" w:rsidRPr="002D3498">
        <w:rPr>
          <w:rFonts w:ascii="StobiSerif Regular" w:eastAsia="Times New Roman" w:hAnsi="StobiSerif Regular" w:cs="Times New Roman"/>
          <w:b/>
          <w:lang w:val="en-GB" w:eastAsia="zh-CN"/>
        </w:rPr>
        <w:fldChar w:fldCharType="begin"/>
      </w:r>
      <w:r w:rsidR="000A6871" w:rsidRPr="002D3498">
        <w:rPr>
          <w:rFonts w:ascii="StobiSerif Regular" w:eastAsia="Times New Roman" w:hAnsi="StobiSerif Regular" w:cs="Times New Roman"/>
          <w:b/>
          <w:lang w:val="en-GB" w:eastAsia="zh-CN"/>
        </w:rPr>
        <w:instrText xml:space="preserve"> SEQ Table \* ARABIC </w:instrText>
      </w:r>
      <w:r w:rsidR="000A6871" w:rsidRPr="002D3498">
        <w:rPr>
          <w:rFonts w:ascii="StobiSerif Regular" w:eastAsia="Times New Roman" w:hAnsi="StobiSerif Regular" w:cs="Times New Roman"/>
          <w:b/>
          <w:lang w:val="en-GB" w:eastAsia="zh-CN"/>
        </w:rPr>
        <w:fldChar w:fldCharType="separate"/>
      </w:r>
      <w:r w:rsidR="006C55E6" w:rsidRPr="002D3498">
        <w:rPr>
          <w:rFonts w:ascii="StobiSerif Regular" w:eastAsia="Times New Roman" w:hAnsi="StobiSerif Regular" w:cs="Times New Roman"/>
          <w:b/>
          <w:noProof/>
          <w:lang w:val="en-GB" w:eastAsia="zh-CN"/>
        </w:rPr>
        <w:t>14</w:t>
      </w:r>
      <w:r w:rsidR="000A6871" w:rsidRPr="002D3498">
        <w:rPr>
          <w:rFonts w:ascii="StobiSerif Regular" w:eastAsia="Times New Roman" w:hAnsi="StobiSerif Regular" w:cs="Times New Roman"/>
          <w:b/>
          <w:lang w:val="en-GB" w:eastAsia="zh-CN"/>
        </w:rPr>
        <w:fldChar w:fldCharType="end"/>
      </w:r>
      <w:r w:rsidR="000A6871" w:rsidRPr="002D3498">
        <w:rPr>
          <w:rFonts w:ascii="StobiSerif Regular" w:eastAsia="Times New Roman" w:hAnsi="StobiSerif Regular" w:cs="Times New Roman"/>
          <w:b/>
          <w:lang w:val="en-GB" w:eastAsia="zh-CN"/>
        </w:rPr>
        <w:t xml:space="preserve">: </w:t>
      </w:r>
      <w:r w:rsidR="0051727A" w:rsidRPr="002D3498">
        <w:rPr>
          <w:rFonts w:ascii="StobiSerif Regular" w:hAnsi="StobiSerif Regular"/>
          <w:b/>
        </w:rPr>
        <w:t>Апликации по сектори</w:t>
      </w:r>
      <w:r w:rsidR="000A6871" w:rsidRPr="002D3498">
        <w:rPr>
          <w:rFonts w:ascii="StobiSerif Regular" w:hAnsi="StobiSerif Regular"/>
          <w:b/>
          <w:lang w:val="en-US"/>
        </w:rPr>
        <w:t xml:space="preserve"> M10</w:t>
      </w:r>
      <w:r w:rsidR="00BC15CF" w:rsidRPr="002D3498">
        <w:rPr>
          <w:rFonts w:ascii="StobiSerif Regular" w:hAnsi="StobiSerif Regular"/>
          <w:b/>
          <w:lang w:val="en-US"/>
        </w:rPr>
        <w:t>3</w:t>
      </w:r>
      <w:bookmarkEnd w:id="37"/>
    </w:p>
    <w:tbl>
      <w:tblPr>
        <w:tblStyle w:val="TableGrid2"/>
        <w:tblpPr w:leftFromText="180" w:rightFromText="180" w:vertAnchor="text" w:horzAnchor="page" w:tblpX="1672" w:tblpY="86"/>
        <w:tblW w:w="0" w:type="auto"/>
        <w:tblLook w:val="04A0" w:firstRow="1" w:lastRow="0" w:firstColumn="1" w:lastColumn="0" w:noHBand="0" w:noVBand="1"/>
      </w:tblPr>
      <w:tblGrid>
        <w:gridCol w:w="2624"/>
        <w:gridCol w:w="1119"/>
        <w:gridCol w:w="1030"/>
        <w:gridCol w:w="1096"/>
        <w:gridCol w:w="1134"/>
      </w:tblGrid>
      <w:tr w:rsidR="000A6871" w:rsidRPr="000B5E5D" w:rsidTr="00784CD1">
        <w:tc>
          <w:tcPr>
            <w:tcW w:w="2624" w:type="dxa"/>
            <w:shd w:val="clear" w:color="auto" w:fill="D9D9D9" w:themeFill="background1" w:themeFillShade="D9"/>
          </w:tcPr>
          <w:p w:rsidR="000A6871" w:rsidRPr="000B5E5D" w:rsidRDefault="000A6871" w:rsidP="00784CD1">
            <w:pPr>
              <w:rPr>
                <w:rFonts w:ascii="StobiSerif Regular" w:hAnsi="StobiSerif Regular"/>
                <w:b/>
                <w:sz w:val="16"/>
                <w:szCs w:val="16"/>
                <w:lang w:eastAsia="en-GB"/>
              </w:rPr>
            </w:pPr>
          </w:p>
        </w:tc>
        <w:tc>
          <w:tcPr>
            <w:tcW w:w="1062" w:type="dxa"/>
            <w:shd w:val="clear" w:color="auto" w:fill="D9D9D9" w:themeFill="background1" w:themeFillShade="D9"/>
          </w:tcPr>
          <w:p w:rsidR="000A6871" w:rsidRPr="002D3498" w:rsidRDefault="00240B60" w:rsidP="00784CD1">
            <w:pPr>
              <w:rPr>
                <w:rFonts w:ascii="StobiSerif Regular" w:hAnsi="StobiSerif Regular"/>
                <w:b/>
                <w:sz w:val="16"/>
                <w:szCs w:val="16"/>
                <w:lang w:val="mk-MK" w:eastAsia="en-GB"/>
              </w:rPr>
            </w:pPr>
            <w:r w:rsidRPr="002D3498">
              <w:rPr>
                <w:rFonts w:ascii="StobiSerif Regular" w:hAnsi="StobiSerif Regular"/>
                <w:b/>
                <w:sz w:val="16"/>
                <w:szCs w:val="16"/>
                <w:lang w:val="mk-MK" w:eastAsia="en-GB"/>
              </w:rPr>
              <w:t xml:space="preserve">Поднесени </w:t>
            </w:r>
          </w:p>
        </w:tc>
        <w:tc>
          <w:tcPr>
            <w:tcW w:w="993" w:type="dxa"/>
            <w:shd w:val="clear" w:color="auto" w:fill="D9D9D9" w:themeFill="background1" w:themeFillShade="D9"/>
            <w:vAlign w:val="bottom"/>
          </w:tcPr>
          <w:p w:rsidR="000A6871" w:rsidRPr="002D3498" w:rsidRDefault="00240B60" w:rsidP="00784CD1">
            <w:pPr>
              <w:rPr>
                <w:rFonts w:ascii="StobiSerif Regular" w:hAnsi="StobiSerif Regular"/>
                <w:b/>
                <w:sz w:val="16"/>
                <w:szCs w:val="16"/>
                <w:lang w:val="mk-MK"/>
              </w:rPr>
            </w:pPr>
            <w:r w:rsidRPr="002D3498">
              <w:rPr>
                <w:rFonts w:ascii="StobiSerif Regular" w:hAnsi="StobiSerif Regular"/>
                <w:b/>
                <w:sz w:val="16"/>
                <w:szCs w:val="16"/>
                <w:lang w:val="mk-MK"/>
              </w:rPr>
              <w:t xml:space="preserve">Одобрени </w:t>
            </w:r>
          </w:p>
        </w:tc>
        <w:tc>
          <w:tcPr>
            <w:tcW w:w="992" w:type="dxa"/>
            <w:shd w:val="clear" w:color="auto" w:fill="D9D9D9" w:themeFill="background1" w:themeFillShade="D9"/>
            <w:vAlign w:val="bottom"/>
          </w:tcPr>
          <w:p w:rsidR="000A6871" w:rsidRPr="002D3498" w:rsidRDefault="00240B60" w:rsidP="00784CD1">
            <w:pPr>
              <w:rPr>
                <w:rFonts w:ascii="StobiSerif Regular" w:hAnsi="StobiSerif Regular"/>
                <w:b/>
                <w:sz w:val="16"/>
                <w:szCs w:val="16"/>
                <w:lang w:val="mk-MK"/>
              </w:rPr>
            </w:pPr>
            <w:r w:rsidRPr="002D3498">
              <w:rPr>
                <w:rFonts w:ascii="StobiSerif Regular" w:hAnsi="StobiSerif Regular"/>
                <w:b/>
                <w:sz w:val="16"/>
                <w:szCs w:val="16"/>
                <w:lang w:val="mk-MK"/>
              </w:rPr>
              <w:t xml:space="preserve">Раскинати </w:t>
            </w:r>
          </w:p>
        </w:tc>
        <w:tc>
          <w:tcPr>
            <w:tcW w:w="1134" w:type="dxa"/>
            <w:shd w:val="clear" w:color="auto" w:fill="D9D9D9" w:themeFill="background1" w:themeFillShade="D9"/>
            <w:vAlign w:val="bottom"/>
          </w:tcPr>
          <w:p w:rsidR="000A6871" w:rsidRPr="002D3498" w:rsidRDefault="00240B60" w:rsidP="00784CD1">
            <w:pPr>
              <w:rPr>
                <w:rFonts w:ascii="StobiSerif Regular" w:hAnsi="StobiSerif Regular"/>
                <w:b/>
                <w:sz w:val="16"/>
                <w:szCs w:val="16"/>
                <w:lang w:val="mk-MK"/>
              </w:rPr>
            </w:pPr>
            <w:r w:rsidRPr="002D3498">
              <w:rPr>
                <w:rFonts w:ascii="StobiSerif Regular" w:hAnsi="StobiSerif Regular"/>
                <w:b/>
                <w:sz w:val="16"/>
                <w:szCs w:val="16"/>
                <w:lang w:val="mk-MK"/>
              </w:rPr>
              <w:t xml:space="preserve">Исплатени </w:t>
            </w:r>
          </w:p>
        </w:tc>
      </w:tr>
      <w:tr w:rsidR="00BC15CF" w:rsidRPr="000B5E5D" w:rsidTr="00784CD1">
        <w:tc>
          <w:tcPr>
            <w:tcW w:w="2624" w:type="dxa"/>
            <w:vAlign w:val="bottom"/>
          </w:tcPr>
          <w:p w:rsidR="00BC15CF" w:rsidRPr="00B63054" w:rsidRDefault="00B63054" w:rsidP="00784CD1">
            <w:pPr>
              <w:rPr>
                <w:rFonts w:ascii="StobiSerif Regular" w:hAnsi="StobiSerif Regular" w:cs="Arial"/>
                <w:sz w:val="16"/>
                <w:szCs w:val="16"/>
                <w:lang w:val="mk-MK"/>
              </w:rPr>
            </w:pPr>
            <w:r>
              <w:rPr>
                <w:rFonts w:ascii="StobiSerif Regular" w:hAnsi="StobiSerif Regular" w:cs="Arial"/>
                <w:sz w:val="16"/>
                <w:szCs w:val="16"/>
                <w:lang w:val="mk-MK"/>
              </w:rPr>
              <w:t>Месо и месни производи</w:t>
            </w:r>
          </w:p>
        </w:tc>
        <w:tc>
          <w:tcPr>
            <w:tcW w:w="1062" w:type="dxa"/>
            <w:vAlign w:val="bottom"/>
          </w:tcPr>
          <w:p w:rsidR="00BC15CF" w:rsidRPr="002D3498" w:rsidRDefault="00BC15CF">
            <w:pPr>
              <w:jc w:val="right"/>
              <w:rPr>
                <w:rFonts w:ascii="StobiSerif Regular" w:hAnsi="StobiSerif Regular" w:cs="Arial"/>
                <w:b/>
                <w:sz w:val="16"/>
                <w:szCs w:val="16"/>
              </w:rPr>
            </w:pPr>
            <w:r w:rsidRPr="002D3498">
              <w:rPr>
                <w:rFonts w:ascii="StobiSerif Regular" w:hAnsi="StobiSerif Regular" w:cs="Arial"/>
                <w:b/>
                <w:sz w:val="16"/>
                <w:szCs w:val="16"/>
              </w:rPr>
              <w:t>22</w:t>
            </w:r>
          </w:p>
        </w:tc>
        <w:tc>
          <w:tcPr>
            <w:tcW w:w="993" w:type="dxa"/>
            <w:vAlign w:val="bottom"/>
          </w:tcPr>
          <w:p w:rsidR="00BC15CF" w:rsidRPr="002D3498" w:rsidRDefault="00BC15CF">
            <w:pPr>
              <w:jc w:val="right"/>
              <w:rPr>
                <w:rFonts w:ascii="StobiSerif Regular" w:hAnsi="StobiSerif Regular" w:cs="Arial"/>
                <w:b/>
                <w:sz w:val="16"/>
                <w:szCs w:val="16"/>
              </w:rPr>
            </w:pPr>
            <w:r w:rsidRPr="002D3498">
              <w:rPr>
                <w:rFonts w:ascii="StobiSerif Regular" w:hAnsi="StobiSerif Regular" w:cs="Arial"/>
                <w:b/>
                <w:sz w:val="16"/>
                <w:szCs w:val="16"/>
              </w:rPr>
              <w:t>9</w:t>
            </w:r>
          </w:p>
        </w:tc>
        <w:tc>
          <w:tcPr>
            <w:tcW w:w="992" w:type="dxa"/>
            <w:vAlign w:val="bottom"/>
          </w:tcPr>
          <w:p w:rsidR="00BC15CF" w:rsidRPr="002D3498" w:rsidRDefault="00BC15CF">
            <w:pPr>
              <w:jc w:val="right"/>
              <w:rPr>
                <w:rFonts w:ascii="StobiSerif Regular" w:hAnsi="StobiSerif Regular" w:cs="Arial"/>
                <w:b/>
                <w:sz w:val="16"/>
                <w:szCs w:val="16"/>
              </w:rPr>
            </w:pPr>
            <w:r w:rsidRPr="002D3498">
              <w:rPr>
                <w:rFonts w:ascii="StobiSerif Regular" w:hAnsi="StobiSerif Regular" w:cs="Arial"/>
                <w:b/>
                <w:sz w:val="16"/>
                <w:szCs w:val="16"/>
              </w:rPr>
              <w:t>4</w:t>
            </w:r>
          </w:p>
        </w:tc>
        <w:tc>
          <w:tcPr>
            <w:tcW w:w="1134" w:type="dxa"/>
            <w:vAlign w:val="bottom"/>
          </w:tcPr>
          <w:p w:rsidR="00BC15CF" w:rsidRPr="002D3498" w:rsidRDefault="00BC15CF">
            <w:pPr>
              <w:jc w:val="right"/>
              <w:rPr>
                <w:rFonts w:ascii="StobiSerif Regular" w:hAnsi="StobiSerif Regular" w:cs="Arial"/>
                <w:b/>
                <w:sz w:val="16"/>
                <w:szCs w:val="16"/>
              </w:rPr>
            </w:pPr>
            <w:r w:rsidRPr="002D3498">
              <w:rPr>
                <w:rFonts w:ascii="StobiSerif Regular" w:hAnsi="StobiSerif Regular" w:cs="Arial"/>
                <w:b/>
                <w:sz w:val="16"/>
                <w:szCs w:val="16"/>
              </w:rPr>
              <w:t>4</w:t>
            </w:r>
          </w:p>
        </w:tc>
      </w:tr>
      <w:tr w:rsidR="00BC15CF" w:rsidRPr="000B5E5D" w:rsidTr="00784CD1">
        <w:tc>
          <w:tcPr>
            <w:tcW w:w="2624" w:type="dxa"/>
            <w:vAlign w:val="bottom"/>
          </w:tcPr>
          <w:p w:rsidR="00BC15CF" w:rsidRPr="00B63054" w:rsidRDefault="00B63054" w:rsidP="00784CD1">
            <w:pPr>
              <w:rPr>
                <w:rFonts w:ascii="StobiSerif Regular" w:hAnsi="StobiSerif Regular" w:cs="Arial"/>
                <w:sz w:val="16"/>
                <w:szCs w:val="16"/>
                <w:lang w:val="mk-MK"/>
              </w:rPr>
            </w:pPr>
            <w:r>
              <w:rPr>
                <w:rFonts w:ascii="StobiSerif Regular" w:hAnsi="StobiSerif Regular" w:cs="Arial"/>
                <w:sz w:val="16"/>
                <w:szCs w:val="16"/>
                <w:lang w:val="mk-MK"/>
              </w:rPr>
              <w:t>Млеко и млечни производи</w:t>
            </w:r>
          </w:p>
        </w:tc>
        <w:tc>
          <w:tcPr>
            <w:tcW w:w="1062"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33</w:t>
            </w:r>
          </w:p>
        </w:tc>
        <w:tc>
          <w:tcPr>
            <w:tcW w:w="993"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12</w:t>
            </w:r>
          </w:p>
        </w:tc>
        <w:tc>
          <w:tcPr>
            <w:tcW w:w="992"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1</w:t>
            </w:r>
          </w:p>
        </w:tc>
        <w:tc>
          <w:tcPr>
            <w:tcW w:w="1134"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11</w:t>
            </w:r>
          </w:p>
        </w:tc>
      </w:tr>
      <w:tr w:rsidR="00BC15CF" w:rsidRPr="000B5E5D" w:rsidTr="00784CD1">
        <w:tc>
          <w:tcPr>
            <w:tcW w:w="2624" w:type="dxa"/>
            <w:vAlign w:val="bottom"/>
          </w:tcPr>
          <w:p w:rsidR="00BC15CF" w:rsidRPr="00B63054" w:rsidRDefault="00B63054" w:rsidP="00784CD1">
            <w:pPr>
              <w:rPr>
                <w:rFonts w:ascii="StobiSerif Regular" w:hAnsi="StobiSerif Regular" w:cs="Arial"/>
                <w:sz w:val="16"/>
                <w:szCs w:val="16"/>
                <w:lang w:val="mk-MK"/>
              </w:rPr>
            </w:pPr>
            <w:r>
              <w:rPr>
                <w:rFonts w:ascii="StobiSerif Regular" w:hAnsi="StobiSerif Regular" w:cs="Arial"/>
                <w:sz w:val="16"/>
                <w:szCs w:val="16"/>
                <w:lang w:val="mk-MK"/>
              </w:rPr>
              <w:t>Преработка на О/З</w:t>
            </w:r>
          </w:p>
        </w:tc>
        <w:tc>
          <w:tcPr>
            <w:tcW w:w="1062"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109</w:t>
            </w:r>
          </w:p>
        </w:tc>
        <w:tc>
          <w:tcPr>
            <w:tcW w:w="993"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38</w:t>
            </w:r>
          </w:p>
        </w:tc>
        <w:tc>
          <w:tcPr>
            <w:tcW w:w="992"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16</w:t>
            </w:r>
          </w:p>
        </w:tc>
        <w:tc>
          <w:tcPr>
            <w:tcW w:w="1134"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17</w:t>
            </w:r>
          </w:p>
        </w:tc>
      </w:tr>
      <w:tr w:rsidR="00BC15CF" w:rsidRPr="000B5E5D" w:rsidTr="00784CD1">
        <w:tc>
          <w:tcPr>
            <w:tcW w:w="2624" w:type="dxa"/>
            <w:vAlign w:val="bottom"/>
          </w:tcPr>
          <w:p w:rsidR="00BC15CF" w:rsidRPr="00B63054" w:rsidRDefault="00B63054" w:rsidP="00784CD1">
            <w:pPr>
              <w:rPr>
                <w:rFonts w:ascii="StobiSerif Regular" w:hAnsi="StobiSerif Regular"/>
                <w:sz w:val="16"/>
                <w:szCs w:val="16"/>
                <w:lang w:val="mk-MK"/>
              </w:rPr>
            </w:pPr>
            <w:r>
              <w:rPr>
                <w:rFonts w:ascii="StobiSerif Regular" w:hAnsi="StobiSerif Regular"/>
                <w:sz w:val="16"/>
                <w:szCs w:val="16"/>
                <w:lang w:val="mk-MK"/>
              </w:rPr>
              <w:t>Производство на вино</w:t>
            </w:r>
          </w:p>
        </w:tc>
        <w:tc>
          <w:tcPr>
            <w:tcW w:w="1062"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25</w:t>
            </w:r>
          </w:p>
        </w:tc>
        <w:tc>
          <w:tcPr>
            <w:tcW w:w="993"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6</w:t>
            </w:r>
          </w:p>
        </w:tc>
        <w:tc>
          <w:tcPr>
            <w:tcW w:w="992"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1</w:t>
            </w:r>
          </w:p>
        </w:tc>
        <w:tc>
          <w:tcPr>
            <w:tcW w:w="1134" w:type="dxa"/>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5</w:t>
            </w:r>
          </w:p>
        </w:tc>
      </w:tr>
      <w:tr w:rsidR="00BC15CF" w:rsidRPr="000B5E5D" w:rsidTr="00784CD1">
        <w:tc>
          <w:tcPr>
            <w:tcW w:w="2624" w:type="dxa"/>
            <w:tcBorders>
              <w:bottom w:val="single" w:sz="4" w:space="0" w:color="auto"/>
            </w:tcBorders>
            <w:vAlign w:val="bottom"/>
          </w:tcPr>
          <w:p w:rsidR="00BC15CF" w:rsidRPr="00B63054" w:rsidRDefault="00B63054" w:rsidP="00E25004">
            <w:pPr>
              <w:rPr>
                <w:rFonts w:ascii="StobiSerif Regular" w:hAnsi="StobiSerif Regular"/>
                <w:sz w:val="16"/>
                <w:szCs w:val="16"/>
                <w:lang w:val="mk-MK"/>
              </w:rPr>
            </w:pPr>
            <w:r>
              <w:rPr>
                <w:rFonts w:ascii="StobiSerif Regular" w:hAnsi="StobiSerif Regular"/>
                <w:sz w:val="16"/>
                <w:szCs w:val="16"/>
                <w:lang w:val="mk-MK"/>
              </w:rPr>
              <w:t>Без тип на преработка</w:t>
            </w:r>
          </w:p>
        </w:tc>
        <w:tc>
          <w:tcPr>
            <w:tcW w:w="1062" w:type="dxa"/>
            <w:tcBorders>
              <w:bottom w:val="single" w:sz="4" w:space="0" w:color="auto"/>
            </w:tcBorders>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4</w:t>
            </w:r>
          </w:p>
        </w:tc>
        <w:tc>
          <w:tcPr>
            <w:tcW w:w="993" w:type="dxa"/>
            <w:tcBorders>
              <w:bottom w:val="single" w:sz="4" w:space="0" w:color="auto"/>
            </w:tcBorders>
            <w:vAlign w:val="bottom"/>
          </w:tcPr>
          <w:p w:rsidR="00BC15CF" w:rsidRPr="000B5E5D" w:rsidRDefault="00BC15CF" w:rsidP="00BC15CF">
            <w:pPr>
              <w:jc w:val="right"/>
              <w:rPr>
                <w:rFonts w:ascii="StobiSerif Regular" w:hAnsi="StobiSerif Regular" w:cs="Arial"/>
                <w:sz w:val="16"/>
                <w:szCs w:val="16"/>
              </w:rPr>
            </w:pPr>
            <w:r w:rsidRPr="000B5E5D">
              <w:rPr>
                <w:rFonts w:ascii="StobiSerif Regular" w:hAnsi="StobiSerif Regular" w:cs="Arial"/>
                <w:sz w:val="16"/>
                <w:szCs w:val="16"/>
              </w:rPr>
              <w:t> </w:t>
            </w:r>
          </w:p>
        </w:tc>
        <w:tc>
          <w:tcPr>
            <w:tcW w:w="992" w:type="dxa"/>
            <w:tcBorders>
              <w:bottom w:val="single" w:sz="4" w:space="0" w:color="auto"/>
            </w:tcBorders>
            <w:vAlign w:val="bottom"/>
          </w:tcPr>
          <w:p w:rsidR="00BC15CF" w:rsidRPr="000B5E5D" w:rsidRDefault="00BC15CF" w:rsidP="00BC15CF">
            <w:pPr>
              <w:jc w:val="right"/>
              <w:rPr>
                <w:rFonts w:ascii="StobiSerif Regular" w:hAnsi="StobiSerif Regular" w:cs="Arial"/>
                <w:sz w:val="16"/>
                <w:szCs w:val="16"/>
              </w:rPr>
            </w:pPr>
            <w:r w:rsidRPr="000B5E5D">
              <w:rPr>
                <w:rFonts w:ascii="StobiSerif Regular" w:hAnsi="StobiSerif Regular" w:cs="Arial"/>
                <w:sz w:val="16"/>
                <w:szCs w:val="16"/>
              </w:rPr>
              <w:t> </w:t>
            </w:r>
          </w:p>
        </w:tc>
        <w:tc>
          <w:tcPr>
            <w:tcW w:w="1134" w:type="dxa"/>
            <w:tcBorders>
              <w:bottom w:val="single" w:sz="4" w:space="0" w:color="auto"/>
            </w:tcBorders>
            <w:vAlign w:val="bottom"/>
          </w:tcPr>
          <w:p w:rsidR="00BC15CF" w:rsidRPr="000B5E5D" w:rsidRDefault="00BC15CF" w:rsidP="00BC15CF">
            <w:pPr>
              <w:jc w:val="right"/>
              <w:rPr>
                <w:rFonts w:ascii="StobiSerif Regular" w:hAnsi="StobiSerif Regular" w:cs="Arial"/>
                <w:sz w:val="16"/>
                <w:szCs w:val="16"/>
              </w:rPr>
            </w:pPr>
            <w:r w:rsidRPr="000B5E5D">
              <w:rPr>
                <w:rFonts w:ascii="StobiSerif Regular" w:hAnsi="StobiSerif Regular" w:cs="Arial"/>
                <w:sz w:val="16"/>
                <w:szCs w:val="16"/>
              </w:rPr>
              <w:t> </w:t>
            </w:r>
          </w:p>
        </w:tc>
      </w:tr>
      <w:tr w:rsidR="00BC15CF" w:rsidRPr="000B5E5D" w:rsidTr="00784CD1">
        <w:tc>
          <w:tcPr>
            <w:tcW w:w="2624" w:type="dxa"/>
            <w:shd w:val="clear" w:color="auto" w:fill="D9D9D9" w:themeFill="background1" w:themeFillShade="D9"/>
            <w:vAlign w:val="bottom"/>
          </w:tcPr>
          <w:p w:rsidR="00BC15CF" w:rsidRPr="00B63054" w:rsidRDefault="00B63054" w:rsidP="00784CD1">
            <w:pPr>
              <w:rPr>
                <w:rFonts w:ascii="StobiSerif Regular" w:hAnsi="StobiSerif Regular"/>
                <w:sz w:val="16"/>
                <w:szCs w:val="16"/>
                <w:lang w:val="mk-MK"/>
              </w:rPr>
            </w:pPr>
            <w:r>
              <w:rPr>
                <w:rFonts w:ascii="StobiSerif Regular" w:hAnsi="StobiSerif Regular"/>
                <w:sz w:val="16"/>
                <w:szCs w:val="16"/>
                <w:lang w:val="mk-MK"/>
              </w:rPr>
              <w:t xml:space="preserve">Вкупно </w:t>
            </w:r>
          </w:p>
        </w:tc>
        <w:tc>
          <w:tcPr>
            <w:tcW w:w="1062" w:type="dxa"/>
            <w:shd w:val="clear" w:color="auto" w:fill="D9D9D9" w:themeFill="background1" w:themeFillShade="D9"/>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193</w:t>
            </w:r>
          </w:p>
        </w:tc>
        <w:tc>
          <w:tcPr>
            <w:tcW w:w="993" w:type="dxa"/>
            <w:shd w:val="clear" w:color="auto" w:fill="D9D9D9" w:themeFill="background1" w:themeFillShade="D9"/>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65</w:t>
            </w:r>
          </w:p>
        </w:tc>
        <w:tc>
          <w:tcPr>
            <w:tcW w:w="992" w:type="dxa"/>
            <w:shd w:val="clear" w:color="auto" w:fill="D9D9D9" w:themeFill="background1" w:themeFillShade="D9"/>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22</w:t>
            </w:r>
          </w:p>
        </w:tc>
        <w:tc>
          <w:tcPr>
            <w:tcW w:w="1134" w:type="dxa"/>
            <w:shd w:val="clear" w:color="auto" w:fill="D9D9D9" w:themeFill="background1" w:themeFillShade="D9"/>
            <w:vAlign w:val="bottom"/>
          </w:tcPr>
          <w:p w:rsidR="00BC15CF" w:rsidRPr="000B5E5D" w:rsidRDefault="00BC15CF">
            <w:pPr>
              <w:jc w:val="right"/>
              <w:rPr>
                <w:rFonts w:ascii="StobiSerif Regular" w:hAnsi="StobiSerif Regular" w:cs="Arial"/>
                <w:sz w:val="16"/>
                <w:szCs w:val="16"/>
              </w:rPr>
            </w:pPr>
            <w:r w:rsidRPr="000B5E5D">
              <w:rPr>
                <w:rFonts w:ascii="StobiSerif Regular" w:hAnsi="StobiSerif Regular" w:cs="Arial"/>
                <w:sz w:val="16"/>
                <w:szCs w:val="16"/>
              </w:rPr>
              <w:t>37</w:t>
            </w:r>
          </w:p>
        </w:tc>
      </w:tr>
    </w:tbl>
    <w:p w:rsidR="000A6871" w:rsidRPr="000B5E5D" w:rsidRDefault="000A6871" w:rsidP="000A6871">
      <w:pPr>
        <w:spacing w:before="120" w:after="120"/>
        <w:jc w:val="both"/>
        <w:rPr>
          <w:rFonts w:ascii="StobiSerif Regular" w:hAnsi="StobiSerif Regular"/>
          <w:lang w:val="en-US"/>
        </w:rPr>
      </w:pPr>
    </w:p>
    <w:p w:rsidR="000A6871" w:rsidRPr="000B5E5D" w:rsidRDefault="000A6871" w:rsidP="00B63054">
      <w:pPr>
        <w:spacing w:after="0"/>
        <w:jc w:val="both"/>
        <w:rPr>
          <w:rFonts w:ascii="StobiSerif Regular" w:hAnsi="StobiSerif Regular"/>
          <w:lang w:val="en-US"/>
        </w:rPr>
      </w:pPr>
    </w:p>
    <w:p w:rsidR="00B63054" w:rsidRDefault="00B63054" w:rsidP="000A6871">
      <w:pPr>
        <w:spacing w:after="0"/>
        <w:jc w:val="both"/>
        <w:rPr>
          <w:rFonts w:ascii="StobiSerif Regular" w:hAnsi="StobiSerif Regular"/>
        </w:rPr>
      </w:pPr>
    </w:p>
    <w:p w:rsidR="00B63054" w:rsidRDefault="00B63054" w:rsidP="000A6871">
      <w:pPr>
        <w:spacing w:after="0"/>
        <w:jc w:val="both"/>
        <w:rPr>
          <w:rFonts w:ascii="StobiSerif Regular" w:hAnsi="StobiSerif Regular"/>
          <w:sz w:val="16"/>
          <w:szCs w:val="16"/>
        </w:rPr>
      </w:pPr>
    </w:p>
    <w:p w:rsidR="00B63054" w:rsidRDefault="00B63054" w:rsidP="000A6871">
      <w:pPr>
        <w:spacing w:after="0"/>
        <w:jc w:val="both"/>
        <w:rPr>
          <w:rFonts w:ascii="StobiSerif Regular" w:hAnsi="StobiSerif Regular"/>
          <w:sz w:val="16"/>
          <w:szCs w:val="16"/>
        </w:rPr>
      </w:pPr>
    </w:p>
    <w:p w:rsidR="000A6871" w:rsidRPr="000B5E5D" w:rsidRDefault="0051727A" w:rsidP="000A6871">
      <w:pPr>
        <w:spacing w:after="0"/>
        <w:jc w:val="both"/>
        <w:rPr>
          <w:rFonts w:ascii="StobiSerif Regular" w:hAnsi="StobiSerif Regular"/>
          <w:sz w:val="16"/>
          <w:szCs w:val="16"/>
          <w:lang w:val="en-GB"/>
        </w:rPr>
      </w:pPr>
      <w:r>
        <w:rPr>
          <w:rFonts w:ascii="StobiSerif Regular" w:eastAsia="Times New Roman" w:hAnsi="StobiSerif Regular" w:cs="Times New Roman"/>
          <w:sz w:val="16"/>
          <w:szCs w:val="16"/>
          <w:lang w:eastAsia="mk-MK"/>
        </w:rPr>
        <w:t>Извор: Мониторинг систем  (2016)</w:t>
      </w:r>
    </w:p>
    <w:p w:rsidR="00367879" w:rsidRDefault="0051727A" w:rsidP="003D3B43">
      <w:pPr>
        <w:spacing w:before="120" w:after="120"/>
        <w:jc w:val="both"/>
        <w:rPr>
          <w:rFonts w:ascii="StobiSerif Regular" w:eastAsia="Times New Roman" w:hAnsi="StobiSerif Regular" w:cs="Times New Roman"/>
          <w:lang w:val="en-GB" w:eastAsia="zh-CN"/>
        </w:rPr>
      </w:pPr>
      <w:r w:rsidRPr="0051727A">
        <w:rPr>
          <w:rFonts w:ascii="StobiSerif Regular" w:eastAsia="Times New Roman" w:hAnsi="StobiSerif Regular" w:cs="Times New Roman"/>
          <w:lang w:val="en-GB" w:eastAsia="zh-CN"/>
        </w:rPr>
        <w:t>Тринаесет претпријатија инвестирале во модернизација на преработка на овошје и зеленчук и четири во центри за собирање на овошје и зеленчук. Во секторот на млеко, девет реализирани проекти се за модернизација на млекарницата и две за изград</w:t>
      </w:r>
      <w:r>
        <w:rPr>
          <w:rFonts w:ascii="StobiSerif Regular" w:eastAsia="Times New Roman" w:hAnsi="StobiSerif Regular" w:cs="Times New Roman"/>
          <w:lang w:val="en-GB" w:eastAsia="zh-CN"/>
        </w:rPr>
        <w:t>ба на центри за собирање млеко.</w:t>
      </w:r>
      <w:r>
        <w:rPr>
          <w:rFonts w:ascii="StobiSerif Regular" w:eastAsia="Times New Roman" w:hAnsi="StobiSerif Regular" w:cs="Times New Roman"/>
          <w:lang w:eastAsia="zh-CN"/>
        </w:rPr>
        <w:t xml:space="preserve"> </w:t>
      </w:r>
      <w:r w:rsidR="002D3498">
        <w:rPr>
          <w:rFonts w:ascii="StobiSerif Regular" w:eastAsia="Times New Roman" w:hAnsi="StobiSerif Regular" w:cs="Times New Roman"/>
          <w:lang w:eastAsia="zh-CN"/>
        </w:rPr>
        <w:t>Р</w:t>
      </w:r>
      <w:r w:rsidRPr="0051727A">
        <w:rPr>
          <w:rFonts w:ascii="StobiSerif Regular" w:eastAsia="Times New Roman" w:hAnsi="StobiSerif Regular" w:cs="Times New Roman"/>
          <w:lang w:val="en-GB" w:eastAsia="zh-CN"/>
        </w:rPr>
        <w:t xml:space="preserve">еализирани </w:t>
      </w:r>
      <w:r>
        <w:rPr>
          <w:rFonts w:ascii="StobiSerif Regular" w:eastAsia="Times New Roman" w:hAnsi="StobiSerif Regular" w:cs="Times New Roman"/>
          <w:lang w:eastAsia="zh-CN"/>
        </w:rPr>
        <w:t>се</w:t>
      </w:r>
      <w:r w:rsidRPr="0051727A">
        <w:rPr>
          <w:rFonts w:ascii="StobiSerif Regular" w:eastAsia="Times New Roman" w:hAnsi="StobiSerif Regular" w:cs="Times New Roman"/>
          <w:lang w:val="en-GB" w:eastAsia="zh-CN"/>
        </w:rPr>
        <w:t xml:space="preserve"> четири проекти за производство на </w:t>
      </w:r>
      <w:r>
        <w:rPr>
          <w:rFonts w:ascii="StobiSerif Regular" w:eastAsia="Times New Roman" w:hAnsi="StobiSerif Regular" w:cs="Times New Roman"/>
          <w:lang w:eastAsia="zh-CN"/>
        </w:rPr>
        <w:t>вино</w:t>
      </w:r>
      <w:r w:rsidRPr="0051727A">
        <w:rPr>
          <w:rFonts w:ascii="StobiSerif Regular" w:eastAsia="Times New Roman" w:hAnsi="StobiSerif Regular" w:cs="Times New Roman"/>
          <w:lang w:val="en-GB" w:eastAsia="zh-CN"/>
        </w:rPr>
        <w:t xml:space="preserve"> (табела 15).</w:t>
      </w:r>
    </w:p>
    <w:p w:rsidR="00367879" w:rsidRPr="00677FC7" w:rsidRDefault="007F46C6" w:rsidP="00367879">
      <w:pPr>
        <w:spacing w:after="0"/>
        <w:jc w:val="both"/>
        <w:rPr>
          <w:rFonts w:ascii="StobiSerif Regular" w:hAnsi="StobiSerif Regular"/>
          <w:b/>
          <w:lang w:val="en-US"/>
        </w:rPr>
      </w:pPr>
      <w:bookmarkStart w:id="38" w:name="_Toc485394907"/>
      <w:r w:rsidRPr="00677FC7">
        <w:rPr>
          <w:rFonts w:ascii="StobiSerif Regular" w:eastAsia="Times New Roman" w:hAnsi="StobiSerif Regular" w:cs="Times New Roman"/>
          <w:b/>
          <w:lang w:eastAsia="zh-CN"/>
        </w:rPr>
        <w:t>Табела</w:t>
      </w:r>
      <w:r w:rsidR="00367879" w:rsidRPr="00677FC7">
        <w:rPr>
          <w:rFonts w:ascii="StobiSerif Regular" w:eastAsia="Times New Roman" w:hAnsi="StobiSerif Regular" w:cs="Times New Roman"/>
          <w:b/>
          <w:lang w:val="en-GB" w:eastAsia="zh-CN"/>
        </w:rPr>
        <w:t xml:space="preserve"> </w:t>
      </w:r>
      <w:r w:rsidR="00367879" w:rsidRPr="00677FC7">
        <w:rPr>
          <w:rFonts w:ascii="StobiSerif Regular" w:eastAsia="Times New Roman" w:hAnsi="StobiSerif Regular" w:cs="Times New Roman"/>
          <w:b/>
          <w:lang w:val="en-GB" w:eastAsia="zh-CN"/>
        </w:rPr>
        <w:fldChar w:fldCharType="begin"/>
      </w:r>
      <w:r w:rsidR="00367879" w:rsidRPr="00677FC7">
        <w:rPr>
          <w:rFonts w:ascii="StobiSerif Regular" w:eastAsia="Times New Roman" w:hAnsi="StobiSerif Regular" w:cs="Times New Roman"/>
          <w:b/>
          <w:lang w:val="en-GB" w:eastAsia="zh-CN"/>
        </w:rPr>
        <w:instrText xml:space="preserve"> SEQ Table \* ARABIC </w:instrText>
      </w:r>
      <w:r w:rsidR="00367879" w:rsidRPr="00677FC7">
        <w:rPr>
          <w:rFonts w:ascii="StobiSerif Regular" w:eastAsia="Times New Roman" w:hAnsi="StobiSerif Regular" w:cs="Times New Roman"/>
          <w:b/>
          <w:lang w:val="en-GB" w:eastAsia="zh-CN"/>
        </w:rPr>
        <w:fldChar w:fldCharType="separate"/>
      </w:r>
      <w:r w:rsidR="006C55E6" w:rsidRPr="00677FC7">
        <w:rPr>
          <w:rFonts w:ascii="StobiSerif Regular" w:eastAsia="Times New Roman" w:hAnsi="StobiSerif Regular" w:cs="Times New Roman"/>
          <w:b/>
          <w:noProof/>
          <w:lang w:val="en-GB" w:eastAsia="zh-CN"/>
        </w:rPr>
        <w:t>15</w:t>
      </w:r>
      <w:r w:rsidR="00367879" w:rsidRPr="00677FC7">
        <w:rPr>
          <w:rFonts w:ascii="StobiSerif Regular" w:eastAsia="Times New Roman" w:hAnsi="StobiSerif Regular" w:cs="Times New Roman"/>
          <w:b/>
          <w:lang w:val="en-GB" w:eastAsia="zh-CN"/>
        </w:rPr>
        <w:fldChar w:fldCharType="end"/>
      </w:r>
      <w:r w:rsidR="00367879" w:rsidRPr="00677FC7">
        <w:rPr>
          <w:rFonts w:ascii="StobiSerif Regular" w:eastAsia="Times New Roman" w:hAnsi="StobiSerif Regular" w:cs="Times New Roman"/>
          <w:b/>
          <w:lang w:val="en-GB" w:eastAsia="zh-CN"/>
        </w:rPr>
        <w:t xml:space="preserve">: </w:t>
      </w:r>
      <w:r w:rsidRPr="00677FC7">
        <w:rPr>
          <w:rFonts w:ascii="StobiSerif Regular" w:hAnsi="StobiSerif Regular"/>
          <w:b/>
        </w:rPr>
        <w:t>Реализација по тип на инвестиција во</w:t>
      </w:r>
      <w:r w:rsidR="00367879" w:rsidRPr="00677FC7">
        <w:rPr>
          <w:rFonts w:ascii="StobiSerif Regular" w:hAnsi="StobiSerif Regular"/>
          <w:b/>
          <w:lang w:val="en-US"/>
        </w:rPr>
        <w:t xml:space="preserve"> M103</w:t>
      </w:r>
      <w:bookmarkEnd w:id="38"/>
    </w:p>
    <w:tbl>
      <w:tblPr>
        <w:tblW w:w="96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07"/>
        <w:gridCol w:w="850"/>
        <w:gridCol w:w="851"/>
        <w:gridCol w:w="996"/>
        <w:gridCol w:w="1058"/>
        <w:gridCol w:w="1079"/>
      </w:tblGrid>
      <w:tr w:rsidR="007F46C6" w:rsidRPr="000B5E5D" w:rsidTr="004D7E6F">
        <w:trPr>
          <w:trHeight w:val="213"/>
        </w:trPr>
        <w:tc>
          <w:tcPr>
            <w:tcW w:w="769" w:type="dxa"/>
            <w:shd w:val="clear" w:color="auto" w:fill="auto"/>
            <w:vAlign w:val="center"/>
            <w:hideMark/>
          </w:tcPr>
          <w:p w:rsidR="007F46C6" w:rsidRPr="00E350F8" w:rsidRDefault="007F46C6" w:rsidP="00332E3B">
            <w:pPr>
              <w:spacing w:after="0" w:line="240" w:lineRule="auto"/>
              <w:jc w:val="center"/>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Сектор</w:t>
            </w:r>
          </w:p>
        </w:tc>
        <w:tc>
          <w:tcPr>
            <w:tcW w:w="4007" w:type="dxa"/>
            <w:shd w:val="clear" w:color="auto" w:fill="auto"/>
            <w:noWrap/>
            <w:vAlign w:val="center"/>
            <w:hideMark/>
          </w:tcPr>
          <w:p w:rsidR="007F46C6" w:rsidRPr="00E350F8" w:rsidRDefault="007F46C6" w:rsidP="00332E3B">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 xml:space="preserve">Тип на инвестиција </w:t>
            </w:r>
          </w:p>
        </w:tc>
        <w:tc>
          <w:tcPr>
            <w:tcW w:w="850" w:type="dxa"/>
            <w:shd w:val="clear" w:color="auto" w:fill="auto"/>
            <w:noWrap/>
            <w:vAlign w:val="center"/>
            <w:hideMark/>
          </w:tcPr>
          <w:p w:rsidR="007F46C6" w:rsidRPr="00E350F8" w:rsidRDefault="007F46C6" w:rsidP="007F46C6">
            <w:pPr>
              <w:spacing w:after="0" w:line="240" w:lineRule="auto"/>
              <w:ind w:right="-158"/>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 xml:space="preserve">Примени </w:t>
            </w:r>
          </w:p>
        </w:tc>
        <w:tc>
          <w:tcPr>
            <w:tcW w:w="851" w:type="dxa"/>
            <w:shd w:val="clear" w:color="auto" w:fill="auto"/>
            <w:noWrap/>
            <w:vAlign w:val="center"/>
            <w:hideMark/>
          </w:tcPr>
          <w:p w:rsidR="007F46C6" w:rsidRPr="00E350F8" w:rsidRDefault="007F46C6" w:rsidP="007F46C6">
            <w:pPr>
              <w:spacing w:after="0" w:line="240" w:lineRule="auto"/>
              <w:ind w:right="-138"/>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 xml:space="preserve">Одбиени </w:t>
            </w:r>
          </w:p>
        </w:tc>
        <w:tc>
          <w:tcPr>
            <w:tcW w:w="996" w:type="dxa"/>
            <w:shd w:val="clear" w:color="auto" w:fill="auto"/>
            <w:noWrap/>
            <w:vAlign w:val="center"/>
            <w:hideMark/>
          </w:tcPr>
          <w:p w:rsidR="007F46C6" w:rsidRPr="00E350F8" w:rsidRDefault="007F46C6" w:rsidP="00332E3B">
            <w:pPr>
              <w:spacing w:after="0" w:line="240" w:lineRule="auto"/>
              <w:jc w:val="right"/>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 xml:space="preserve">Одобрени </w:t>
            </w:r>
          </w:p>
        </w:tc>
        <w:tc>
          <w:tcPr>
            <w:tcW w:w="1058" w:type="dxa"/>
            <w:shd w:val="clear" w:color="auto" w:fill="auto"/>
            <w:noWrap/>
            <w:vAlign w:val="center"/>
            <w:hideMark/>
          </w:tcPr>
          <w:p w:rsidR="007F46C6" w:rsidRPr="00E350F8" w:rsidRDefault="007F46C6" w:rsidP="00332E3B">
            <w:pPr>
              <w:spacing w:after="0" w:line="240" w:lineRule="auto"/>
              <w:jc w:val="right"/>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 xml:space="preserve">Раскинати </w:t>
            </w:r>
          </w:p>
        </w:tc>
        <w:tc>
          <w:tcPr>
            <w:tcW w:w="1079" w:type="dxa"/>
            <w:shd w:val="clear" w:color="auto" w:fill="auto"/>
            <w:noWrap/>
            <w:vAlign w:val="center"/>
            <w:hideMark/>
          </w:tcPr>
          <w:p w:rsidR="007F46C6" w:rsidRPr="000B5E5D" w:rsidRDefault="007F46C6" w:rsidP="00332E3B">
            <w:pPr>
              <w:spacing w:after="0" w:line="240" w:lineRule="auto"/>
              <w:jc w:val="right"/>
              <w:rPr>
                <w:rFonts w:ascii="StobiSerif Regular" w:eastAsia="Times New Roman" w:hAnsi="StobiSerif Regular" w:cs="Arial"/>
                <w:sz w:val="16"/>
                <w:szCs w:val="16"/>
                <w:lang w:val="en-US" w:eastAsia="mk-MK"/>
              </w:rPr>
            </w:pPr>
            <w:r>
              <w:rPr>
                <w:rFonts w:ascii="StobiSerif Regular" w:eastAsia="Times New Roman" w:hAnsi="StobiSerif Regular" w:cs="Arial"/>
                <w:sz w:val="16"/>
                <w:szCs w:val="16"/>
                <w:lang w:eastAsia="mk-MK"/>
              </w:rPr>
              <w:t xml:space="preserve">Исплатени </w:t>
            </w:r>
            <w:r w:rsidRPr="000B5E5D">
              <w:rPr>
                <w:rFonts w:ascii="StobiSerif Regular" w:eastAsia="Times New Roman" w:hAnsi="StobiSerif Regular" w:cs="Arial"/>
                <w:sz w:val="16"/>
                <w:szCs w:val="16"/>
                <w:lang w:val="en-US" w:eastAsia="mk-MK"/>
              </w:rPr>
              <w:t xml:space="preserve"> </w:t>
            </w:r>
          </w:p>
        </w:tc>
      </w:tr>
      <w:tr w:rsidR="00E55FFE" w:rsidRPr="000B5E5D" w:rsidTr="003B1E1C">
        <w:trPr>
          <w:trHeight w:val="247"/>
        </w:trPr>
        <w:tc>
          <w:tcPr>
            <w:tcW w:w="769" w:type="dxa"/>
            <w:vMerge w:val="restart"/>
            <w:shd w:val="clear" w:color="auto" w:fill="auto"/>
            <w:vAlign w:val="center"/>
            <w:hideMark/>
          </w:tcPr>
          <w:p w:rsidR="00E55FFE" w:rsidRPr="007F46C6" w:rsidRDefault="007F46C6" w:rsidP="00952F50">
            <w:pPr>
              <w:spacing w:after="0" w:line="240" w:lineRule="auto"/>
              <w:jc w:val="center"/>
              <w:rPr>
                <w:rFonts w:ascii="StobiSerif Regular" w:eastAsia="Times New Roman" w:hAnsi="StobiSerif Regular" w:cs="Arial"/>
                <w:i/>
                <w:iCs/>
                <w:sz w:val="16"/>
                <w:szCs w:val="16"/>
                <w:lang w:eastAsia="mk-MK"/>
              </w:rPr>
            </w:pPr>
            <w:r>
              <w:rPr>
                <w:rFonts w:ascii="StobiSerif Regular" w:eastAsia="Times New Roman" w:hAnsi="StobiSerif Regular" w:cs="Arial"/>
                <w:i/>
                <w:iCs/>
                <w:sz w:val="16"/>
                <w:szCs w:val="16"/>
                <w:lang w:eastAsia="mk-MK"/>
              </w:rPr>
              <w:t xml:space="preserve">Месо </w:t>
            </w:r>
          </w:p>
        </w:tc>
        <w:tc>
          <w:tcPr>
            <w:tcW w:w="4007" w:type="dxa"/>
            <w:shd w:val="clear" w:color="auto" w:fill="auto"/>
            <w:vAlign w:val="center"/>
            <w:hideMark/>
          </w:tcPr>
          <w:p w:rsidR="00E55FFE" w:rsidRPr="000B5E5D" w:rsidRDefault="007F46C6" w:rsidP="00952F50">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Изградба/модернизација</w:t>
            </w:r>
            <w:r w:rsidR="00005A23">
              <w:rPr>
                <w:rFonts w:ascii="StobiSerif Regular" w:eastAsia="Times New Roman" w:hAnsi="StobiSerif Regular" w:cs="Arial"/>
                <w:sz w:val="16"/>
                <w:szCs w:val="16"/>
                <w:lang w:eastAsia="mk-MK"/>
              </w:rPr>
              <w:t xml:space="preserve"> на кланици</w:t>
            </w:r>
          </w:p>
        </w:tc>
        <w:tc>
          <w:tcPr>
            <w:tcW w:w="850"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18</w:t>
            </w:r>
          </w:p>
        </w:tc>
        <w:tc>
          <w:tcPr>
            <w:tcW w:w="851"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10</w:t>
            </w:r>
          </w:p>
        </w:tc>
        <w:tc>
          <w:tcPr>
            <w:tcW w:w="996"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8</w:t>
            </w:r>
          </w:p>
        </w:tc>
        <w:tc>
          <w:tcPr>
            <w:tcW w:w="1058"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w:t>
            </w:r>
          </w:p>
        </w:tc>
        <w:tc>
          <w:tcPr>
            <w:tcW w:w="1079"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4</w:t>
            </w:r>
          </w:p>
        </w:tc>
      </w:tr>
      <w:tr w:rsidR="00E55FFE" w:rsidRPr="000B5E5D" w:rsidTr="004D7E6F">
        <w:trPr>
          <w:trHeight w:val="128"/>
        </w:trPr>
        <w:tc>
          <w:tcPr>
            <w:tcW w:w="769" w:type="dxa"/>
            <w:vMerge/>
            <w:shd w:val="clear" w:color="auto" w:fill="auto"/>
            <w:vAlign w:val="center"/>
            <w:hideMark/>
          </w:tcPr>
          <w:p w:rsidR="00E55FFE" w:rsidRPr="000B5E5D" w:rsidRDefault="00E55FFE" w:rsidP="00952F50">
            <w:pPr>
              <w:spacing w:after="0" w:line="240" w:lineRule="auto"/>
              <w:jc w:val="center"/>
              <w:rPr>
                <w:rFonts w:ascii="StobiSerif Regular" w:eastAsia="Times New Roman" w:hAnsi="StobiSerif Regular" w:cs="Arial"/>
                <w:i/>
                <w:iCs/>
                <w:sz w:val="16"/>
                <w:szCs w:val="16"/>
                <w:lang w:eastAsia="mk-MK"/>
              </w:rPr>
            </w:pPr>
          </w:p>
        </w:tc>
        <w:tc>
          <w:tcPr>
            <w:tcW w:w="4007" w:type="dxa"/>
            <w:shd w:val="clear" w:color="auto" w:fill="auto"/>
            <w:vAlign w:val="center"/>
            <w:hideMark/>
          </w:tcPr>
          <w:p w:rsidR="00E55FFE" w:rsidRPr="000B5E5D" w:rsidRDefault="00005A23" w:rsidP="00952F50">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Опрема за отпадни материјали</w:t>
            </w:r>
          </w:p>
        </w:tc>
        <w:tc>
          <w:tcPr>
            <w:tcW w:w="850"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851"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996"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58"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79" w:type="dxa"/>
            <w:shd w:val="clear" w:color="auto" w:fill="auto"/>
            <w:noWrap/>
            <w:vAlign w:val="center"/>
            <w:hideMark/>
          </w:tcPr>
          <w:p w:rsidR="00E55FFE" w:rsidRPr="000B5E5D" w:rsidRDefault="00E55FFE"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r>
      <w:tr w:rsidR="00952F50" w:rsidRPr="000B5E5D" w:rsidTr="004D7E6F">
        <w:trPr>
          <w:trHeight w:val="164"/>
        </w:trPr>
        <w:tc>
          <w:tcPr>
            <w:tcW w:w="769" w:type="dxa"/>
            <w:vMerge w:val="restart"/>
            <w:shd w:val="clear" w:color="auto" w:fill="auto"/>
            <w:vAlign w:val="center"/>
            <w:hideMark/>
          </w:tcPr>
          <w:p w:rsidR="00952F50" w:rsidRPr="003D3B43" w:rsidRDefault="003D3B43" w:rsidP="00952F50">
            <w:pPr>
              <w:spacing w:after="0" w:line="240" w:lineRule="auto"/>
              <w:jc w:val="center"/>
              <w:rPr>
                <w:rFonts w:ascii="StobiSerif Regular" w:eastAsia="Times New Roman" w:hAnsi="StobiSerif Regular" w:cs="Arial"/>
                <w:i/>
                <w:iCs/>
                <w:sz w:val="16"/>
                <w:szCs w:val="16"/>
                <w:lang w:eastAsia="mk-MK"/>
              </w:rPr>
            </w:pPr>
            <w:r>
              <w:rPr>
                <w:rFonts w:ascii="StobiSerif Regular" w:eastAsia="Times New Roman" w:hAnsi="StobiSerif Regular" w:cs="Arial"/>
                <w:i/>
                <w:iCs/>
                <w:sz w:val="16"/>
                <w:szCs w:val="16"/>
                <w:lang w:eastAsia="mk-MK"/>
              </w:rPr>
              <w:t>Млеко</w:t>
            </w:r>
          </w:p>
        </w:tc>
        <w:tc>
          <w:tcPr>
            <w:tcW w:w="4007" w:type="dxa"/>
            <w:shd w:val="clear" w:color="auto" w:fill="auto"/>
            <w:vAlign w:val="center"/>
            <w:hideMark/>
          </w:tcPr>
          <w:p w:rsidR="00952F50" w:rsidRPr="000B5E5D" w:rsidRDefault="00005A23" w:rsidP="00952F50">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 xml:space="preserve">Изградба на откупни центри </w:t>
            </w:r>
          </w:p>
        </w:tc>
        <w:tc>
          <w:tcPr>
            <w:tcW w:w="850" w:type="dxa"/>
            <w:shd w:val="clear" w:color="auto" w:fill="auto"/>
            <w:noWrap/>
            <w:vAlign w:val="center"/>
            <w:hideMark/>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7</w:t>
            </w:r>
          </w:p>
        </w:tc>
        <w:tc>
          <w:tcPr>
            <w:tcW w:w="851" w:type="dxa"/>
            <w:shd w:val="clear" w:color="auto" w:fill="auto"/>
            <w:noWrap/>
            <w:vAlign w:val="center"/>
            <w:hideMark/>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6</w:t>
            </w:r>
          </w:p>
        </w:tc>
        <w:tc>
          <w:tcPr>
            <w:tcW w:w="996" w:type="dxa"/>
            <w:shd w:val="clear" w:color="auto" w:fill="auto"/>
            <w:noWrap/>
            <w:vAlign w:val="center"/>
            <w:hideMark/>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58" w:type="dxa"/>
            <w:shd w:val="clear" w:color="auto" w:fill="auto"/>
            <w:noWrap/>
            <w:vAlign w:val="center"/>
            <w:hideMark/>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79" w:type="dxa"/>
            <w:shd w:val="clear" w:color="auto" w:fill="auto"/>
            <w:noWrap/>
            <w:vAlign w:val="center"/>
            <w:hideMark/>
          </w:tcPr>
          <w:p w:rsidR="00952F50" w:rsidRPr="000B5E5D" w:rsidRDefault="00D54C03" w:rsidP="00952F50">
            <w:pPr>
              <w:spacing w:after="0" w:line="240" w:lineRule="auto"/>
              <w:jc w:val="center"/>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2</w:t>
            </w:r>
          </w:p>
        </w:tc>
      </w:tr>
      <w:tr w:rsidR="00952F50" w:rsidRPr="000B5E5D" w:rsidTr="004D7E6F">
        <w:trPr>
          <w:trHeight w:val="279"/>
        </w:trPr>
        <w:tc>
          <w:tcPr>
            <w:tcW w:w="769" w:type="dxa"/>
            <w:vMerge/>
            <w:shd w:val="clear" w:color="auto" w:fill="auto"/>
            <w:vAlign w:val="center"/>
            <w:hideMark/>
          </w:tcPr>
          <w:p w:rsidR="00952F50" w:rsidRPr="000B5E5D" w:rsidRDefault="00952F50" w:rsidP="00952F50">
            <w:pPr>
              <w:spacing w:after="0" w:line="240" w:lineRule="auto"/>
              <w:jc w:val="center"/>
              <w:rPr>
                <w:rFonts w:ascii="StobiSerif Regular" w:eastAsia="Times New Roman" w:hAnsi="StobiSerif Regular" w:cs="Arial"/>
                <w:i/>
                <w:iCs/>
                <w:sz w:val="16"/>
                <w:szCs w:val="16"/>
                <w:lang w:eastAsia="mk-MK"/>
              </w:rPr>
            </w:pPr>
          </w:p>
        </w:tc>
        <w:tc>
          <w:tcPr>
            <w:tcW w:w="4007" w:type="dxa"/>
            <w:shd w:val="clear" w:color="auto" w:fill="auto"/>
            <w:vAlign w:val="center"/>
            <w:hideMark/>
          </w:tcPr>
          <w:p w:rsidR="00952F50" w:rsidRPr="000B5E5D" w:rsidRDefault="00005A23" w:rsidP="00952F50">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Модернизација на млекари</w:t>
            </w:r>
          </w:p>
        </w:tc>
        <w:tc>
          <w:tcPr>
            <w:tcW w:w="850"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23</w:t>
            </w:r>
          </w:p>
        </w:tc>
        <w:tc>
          <w:tcPr>
            <w:tcW w:w="851"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12</w:t>
            </w:r>
          </w:p>
        </w:tc>
        <w:tc>
          <w:tcPr>
            <w:tcW w:w="996"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11</w:t>
            </w:r>
          </w:p>
        </w:tc>
        <w:tc>
          <w:tcPr>
            <w:tcW w:w="1058"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79" w:type="dxa"/>
            <w:shd w:val="clear" w:color="auto" w:fill="auto"/>
            <w:noWrap/>
            <w:vAlign w:val="center"/>
          </w:tcPr>
          <w:p w:rsidR="00952F50" w:rsidRPr="000B5E5D" w:rsidRDefault="00D54C03" w:rsidP="00952F50">
            <w:pPr>
              <w:spacing w:after="0" w:line="240" w:lineRule="auto"/>
              <w:jc w:val="center"/>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9</w:t>
            </w:r>
          </w:p>
        </w:tc>
      </w:tr>
      <w:tr w:rsidR="00952F50" w:rsidRPr="000B5E5D" w:rsidTr="003B1E1C">
        <w:trPr>
          <w:trHeight w:val="220"/>
        </w:trPr>
        <w:tc>
          <w:tcPr>
            <w:tcW w:w="769" w:type="dxa"/>
            <w:vMerge w:val="restart"/>
            <w:shd w:val="clear" w:color="auto" w:fill="auto"/>
            <w:vAlign w:val="center"/>
            <w:hideMark/>
          </w:tcPr>
          <w:p w:rsidR="00952F50" w:rsidRPr="000B5E5D" w:rsidRDefault="003D3B43" w:rsidP="00952F50">
            <w:pPr>
              <w:spacing w:after="0" w:line="240" w:lineRule="auto"/>
              <w:jc w:val="center"/>
              <w:rPr>
                <w:rFonts w:ascii="StobiSerif Regular" w:eastAsia="Times New Roman" w:hAnsi="StobiSerif Regular" w:cs="Arial"/>
                <w:i/>
                <w:iCs/>
                <w:sz w:val="16"/>
                <w:szCs w:val="16"/>
                <w:lang w:eastAsia="mk-MK"/>
              </w:rPr>
            </w:pPr>
            <w:r>
              <w:rPr>
                <w:rFonts w:ascii="StobiSerif Regular" w:eastAsia="Times New Roman" w:hAnsi="StobiSerif Regular" w:cs="Arial"/>
                <w:i/>
                <w:iCs/>
                <w:sz w:val="16"/>
                <w:szCs w:val="16"/>
                <w:lang w:eastAsia="mk-MK"/>
              </w:rPr>
              <w:t>О/З</w:t>
            </w:r>
          </w:p>
        </w:tc>
        <w:tc>
          <w:tcPr>
            <w:tcW w:w="4007" w:type="dxa"/>
            <w:shd w:val="clear" w:color="auto" w:fill="auto"/>
            <w:vAlign w:val="center"/>
            <w:hideMark/>
          </w:tcPr>
          <w:p w:rsidR="00952F50" w:rsidRPr="000B5E5D" w:rsidRDefault="00005A23" w:rsidP="005A3395">
            <w:pPr>
              <w:spacing w:after="0" w:line="240" w:lineRule="auto"/>
              <w:rPr>
                <w:rFonts w:ascii="StobiSerif Regular" w:eastAsia="Times New Roman" w:hAnsi="StobiSerif Regular" w:cs="Arial"/>
                <w:sz w:val="16"/>
                <w:szCs w:val="16"/>
                <w:lang w:val="en-US" w:eastAsia="mk-MK"/>
              </w:rPr>
            </w:pPr>
            <w:r>
              <w:rPr>
                <w:rFonts w:ascii="StobiSerif Regular" w:eastAsia="Times New Roman" w:hAnsi="StobiSerif Regular" w:cs="Arial"/>
                <w:sz w:val="16"/>
                <w:szCs w:val="16"/>
                <w:lang w:eastAsia="mk-MK"/>
              </w:rPr>
              <w:t>Модернизација на преработката</w:t>
            </w:r>
            <w:r w:rsidR="005A3395" w:rsidRPr="000B5E5D">
              <w:rPr>
                <w:rFonts w:ascii="StobiSerif Regular" w:eastAsia="Times New Roman" w:hAnsi="StobiSerif Regular" w:cs="Arial"/>
                <w:sz w:val="16"/>
                <w:szCs w:val="16"/>
                <w:lang w:val="en-US" w:eastAsia="mk-MK"/>
              </w:rPr>
              <w:t xml:space="preserve"> </w:t>
            </w:r>
          </w:p>
        </w:tc>
        <w:tc>
          <w:tcPr>
            <w:tcW w:w="850"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69</w:t>
            </w:r>
          </w:p>
        </w:tc>
        <w:tc>
          <w:tcPr>
            <w:tcW w:w="851"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43</w:t>
            </w:r>
          </w:p>
        </w:tc>
        <w:tc>
          <w:tcPr>
            <w:tcW w:w="996"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26</w:t>
            </w:r>
          </w:p>
        </w:tc>
        <w:tc>
          <w:tcPr>
            <w:tcW w:w="1058"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7</w:t>
            </w:r>
          </w:p>
        </w:tc>
        <w:tc>
          <w:tcPr>
            <w:tcW w:w="1079" w:type="dxa"/>
            <w:shd w:val="clear" w:color="auto" w:fill="auto"/>
            <w:noWrap/>
            <w:vAlign w:val="center"/>
          </w:tcPr>
          <w:p w:rsidR="00952F50" w:rsidRPr="000B5E5D" w:rsidRDefault="00D54C03" w:rsidP="00952F50">
            <w:pPr>
              <w:spacing w:after="0" w:line="240" w:lineRule="auto"/>
              <w:jc w:val="center"/>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13</w:t>
            </w:r>
          </w:p>
        </w:tc>
      </w:tr>
      <w:tr w:rsidR="00952F50" w:rsidRPr="000B5E5D" w:rsidTr="003B1E1C">
        <w:trPr>
          <w:trHeight w:val="265"/>
        </w:trPr>
        <w:tc>
          <w:tcPr>
            <w:tcW w:w="769" w:type="dxa"/>
            <w:vMerge/>
            <w:shd w:val="clear" w:color="auto" w:fill="auto"/>
            <w:vAlign w:val="center"/>
            <w:hideMark/>
          </w:tcPr>
          <w:p w:rsidR="00952F50" w:rsidRPr="000B5E5D" w:rsidRDefault="00952F50" w:rsidP="00952F50">
            <w:pPr>
              <w:spacing w:after="0" w:line="240" w:lineRule="auto"/>
              <w:jc w:val="center"/>
              <w:rPr>
                <w:rFonts w:ascii="StobiSerif Regular" w:eastAsia="Times New Roman" w:hAnsi="StobiSerif Regular" w:cs="Arial"/>
                <w:i/>
                <w:iCs/>
                <w:sz w:val="16"/>
                <w:szCs w:val="16"/>
                <w:lang w:eastAsia="mk-MK"/>
              </w:rPr>
            </w:pPr>
          </w:p>
        </w:tc>
        <w:tc>
          <w:tcPr>
            <w:tcW w:w="4007" w:type="dxa"/>
            <w:shd w:val="clear" w:color="auto" w:fill="auto"/>
            <w:vAlign w:val="center"/>
            <w:hideMark/>
          </w:tcPr>
          <w:p w:rsidR="00952F50" w:rsidRPr="000B5E5D" w:rsidRDefault="004D7E6F" w:rsidP="00952F50">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Модернизација на откупни центри</w:t>
            </w:r>
          </w:p>
        </w:tc>
        <w:tc>
          <w:tcPr>
            <w:tcW w:w="850"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33</w:t>
            </w:r>
          </w:p>
        </w:tc>
        <w:tc>
          <w:tcPr>
            <w:tcW w:w="851"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22</w:t>
            </w:r>
          </w:p>
        </w:tc>
        <w:tc>
          <w:tcPr>
            <w:tcW w:w="996"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11</w:t>
            </w:r>
          </w:p>
        </w:tc>
        <w:tc>
          <w:tcPr>
            <w:tcW w:w="1058"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8</w:t>
            </w:r>
          </w:p>
        </w:tc>
        <w:tc>
          <w:tcPr>
            <w:tcW w:w="1079" w:type="dxa"/>
            <w:shd w:val="clear" w:color="auto" w:fill="auto"/>
            <w:noWrap/>
            <w:vAlign w:val="center"/>
          </w:tcPr>
          <w:p w:rsidR="00952F50" w:rsidRPr="000B5E5D" w:rsidRDefault="00D54C03" w:rsidP="00952F50">
            <w:pPr>
              <w:spacing w:after="0" w:line="240" w:lineRule="auto"/>
              <w:jc w:val="center"/>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4</w:t>
            </w:r>
          </w:p>
        </w:tc>
      </w:tr>
      <w:tr w:rsidR="00952F50" w:rsidRPr="000B5E5D" w:rsidTr="004D7E6F">
        <w:trPr>
          <w:trHeight w:val="421"/>
        </w:trPr>
        <w:tc>
          <w:tcPr>
            <w:tcW w:w="769" w:type="dxa"/>
            <w:vMerge/>
            <w:shd w:val="clear" w:color="auto" w:fill="auto"/>
            <w:vAlign w:val="center"/>
            <w:hideMark/>
          </w:tcPr>
          <w:p w:rsidR="00952F50" w:rsidRPr="000B5E5D" w:rsidRDefault="00952F50" w:rsidP="00952F50">
            <w:pPr>
              <w:spacing w:after="0" w:line="240" w:lineRule="auto"/>
              <w:jc w:val="center"/>
              <w:rPr>
                <w:rFonts w:ascii="StobiSerif Regular" w:eastAsia="Times New Roman" w:hAnsi="StobiSerif Regular" w:cs="Arial"/>
                <w:i/>
                <w:iCs/>
                <w:sz w:val="16"/>
                <w:szCs w:val="16"/>
                <w:lang w:eastAsia="mk-MK"/>
              </w:rPr>
            </w:pPr>
          </w:p>
        </w:tc>
        <w:tc>
          <w:tcPr>
            <w:tcW w:w="4007" w:type="dxa"/>
            <w:shd w:val="clear" w:color="auto" w:fill="auto"/>
            <w:vAlign w:val="center"/>
            <w:hideMark/>
          </w:tcPr>
          <w:p w:rsidR="00952F50" w:rsidRPr="000B5E5D" w:rsidRDefault="004D7E6F" w:rsidP="00952F50">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Заштита на животна средина и обновлива енергија</w:t>
            </w:r>
          </w:p>
        </w:tc>
        <w:tc>
          <w:tcPr>
            <w:tcW w:w="850"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w:t>
            </w:r>
          </w:p>
        </w:tc>
        <w:tc>
          <w:tcPr>
            <w:tcW w:w="851" w:type="dxa"/>
            <w:shd w:val="clear" w:color="auto" w:fill="auto"/>
            <w:noWrap/>
            <w:vAlign w:val="center"/>
            <w:hideMark/>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996" w:type="dxa"/>
            <w:shd w:val="clear" w:color="auto" w:fill="auto"/>
            <w:noWrap/>
            <w:vAlign w:val="center"/>
            <w:hideMark/>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58" w:type="dxa"/>
            <w:shd w:val="clear" w:color="auto" w:fill="auto"/>
            <w:noWrap/>
            <w:vAlign w:val="center"/>
            <w:hideMark/>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79" w:type="dxa"/>
            <w:shd w:val="clear" w:color="auto" w:fill="auto"/>
            <w:noWrap/>
            <w:vAlign w:val="center"/>
            <w:hideMark/>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r>
      <w:tr w:rsidR="00952F50" w:rsidRPr="000B5E5D" w:rsidTr="003B1E1C">
        <w:trPr>
          <w:trHeight w:val="279"/>
        </w:trPr>
        <w:tc>
          <w:tcPr>
            <w:tcW w:w="769" w:type="dxa"/>
            <w:vMerge w:val="restart"/>
            <w:shd w:val="clear" w:color="auto" w:fill="auto"/>
            <w:vAlign w:val="center"/>
          </w:tcPr>
          <w:p w:rsidR="00952F50" w:rsidRPr="003D3B43" w:rsidRDefault="003D3B43" w:rsidP="00952F50">
            <w:pPr>
              <w:spacing w:after="0" w:line="240" w:lineRule="auto"/>
              <w:jc w:val="center"/>
              <w:rPr>
                <w:rFonts w:ascii="StobiSerif Regular" w:eastAsia="Times New Roman" w:hAnsi="StobiSerif Regular" w:cs="Arial"/>
                <w:i/>
                <w:iCs/>
                <w:sz w:val="16"/>
                <w:szCs w:val="16"/>
                <w:lang w:eastAsia="mk-MK"/>
              </w:rPr>
            </w:pPr>
            <w:r>
              <w:rPr>
                <w:rFonts w:ascii="StobiSerif Regular" w:eastAsia="Times New Roman" w:hAnsi="StobiSerif Regular" w:cs="Arial"/>
                <w:i/>
                <w:iCs/>
                <w:sz w:val="16"/>
                <w:szCs w:val="16"/>
                <w:lang w:eastAsia="mk-MK"/>
              </w:rPr>
              <w:t>Лозје</w:t>
            </w:r>
          </w:p>
        </w:tc>
        <w:tc>
          <w:tcPr>
            <w:tcW w:w="4007" w:type="dxa"/>
            <w:shd w:val="clear" w:color="auto" w:fill="auto"/>
            <w:vAlign w:val="center"/>
          </w:tcPr>
          <w:p w:rsidR="00952F50" w:rsidRPr="000B5E5D" w:rsidRDefault="004D7E6F" w:rsidP="00952F50">
            <w:pPr>
              <w:pStyle w:val="NoSpacing"/>
              <w:rPr>
                <w:rFonts w:ascii="StobiSerif Regular" w:hAnsi="StobiSerif Regular"/>
                <w:sz w:val="16"/>
                <w:szCs w:val="16"/>
                <w:lang w:eastAsia="mk-MK"/>
              </w:rPr>
            </w:pPr>
            <w:r>
              <w:rPr>
                <w:rFonts w:ascii="StobiSerif Regular" w:hAnsi="StobiSerif Regular"/>
                <w:sz w:val="16"/>
                <w:szCs w:val="16"/>
                <w:lang w:eastAsia="mk-MK"/>
              </w:rPr>
              <w:t>Модернизација на производство</w:t>
            </w:r>
          </w:p>
        </w:tc>
        <w:tc>
          <w:tcPr>
            <w:tcW w:w="850"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19</w:t>
            </w:r>
          </w:p>
        </w:tc>
        <w:tc>
          <w:tcPr>
            <w:tcW w:w="851"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14</w:t>
            </w:r>
          </w:p>
        </w:tc>
        <w:tc>
          <w:tcPr>
            <w:tcW w:w="996"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5</w:t>
            </w:r>
          </w:p>
        </w:tc>
        <w:tc>
          <w:tcPr>
            <w:tcW w:w="1058"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79"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4</w:t>
            </w:r>
          </w:p>
        </w:tc>
      </w:tr>
      <w:tr w:rsidR="00952F50" w:rsidRPr="000B5E5D" w:rsidTr="004D7E6F">
        <w:trPr>
          <w:trHeight w:val="225"/>
        </w:trPr>
        <w:tc>
          <w:tcPr>
            <w:tcW w:w="769" w:type="dxa"/>
            <w:vMerge/>
            <w:shd w:val="clear" w:color="auto" w:fill="auto"/>
            <w:vAlign w:val="center"/>
            <w:hideMark/>
          </w:tcPr>
          <w:p w:rsidR="00952F50" w:rsidRPr="000B5E5D" w:rsidRDefault="00952F50" w:rsidP="00952F50">
            <w:pPr>
              <w:spacing w:after="0" w:line="240" w:lineRule="auto"/>
              <w:jc w:val="center"/>
              <w:rPr>
                <w:rFonts w:ascii="StobiSerif Regular" w:eastAsia="Times New Roman" w:hAnsi="StobiSerif Regular" w:cs="Arial"/>
                <w:i/>
                <w:iCs/>
                <w:sz w:val="16"/>
                <w:szCs w:val="16"/>
                <w:lang w:eastAsia="mk-MK"/>
              </w:rPr>
            </w:pPr>
          </w:p>
        </w:tc>
        <w:tc>
          <w:tcPr>
            <w:tcW w:w="4007" w:type="dxa"/>
            <w:shd w:val="clear" w:color="auto" w:fill="auto"/>
            <w:vAlign w:val="center"/>
          </w:tcPr>
          <w:p w:rsidR="00952F50" w:rsidRPr="000B5E5D" w:rsidRDefault="004D7E6F" w:rsidP="00952F50">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Инвестиции во недвижен имот</w:t>
            </w:r>
          </w:p>
        </w:tc>
        <w:tc>
          <w:tcPr>
            <w:tcW w:w="850" w:type="dxa"/>
            <w:shd w:val="clear" w:color="auto" w:fill="auto"/>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w:t>
            </w:r>
          </w:p>
        </w:tc>
        <w:tc>
          <w:tcPr>
            <w:tcW w:w="851" w:type="dxa"/>
            <w:shd w:val="clear" w:color="auto" w:fill="auto"/>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w:t>
            </w:r>
          </w:p>
        </w:tc>
        <w:tc>
          <w:tcPr>
            <w:tcW w:w="996" w:type="dxa"/>
            <w:shd w:val="clear" w:color="auto" w:fill="auto"/>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c>
          <w:tcPr>
            <w:tcW w:w="1058" w:type="dxa"/>
            <w:shd w:val="clear" w:color="auto" w:fill="auto"/>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79" w:type="dxa"/>
            <w:shd w:val="clear" w:color="auto" w:fill="auto"/>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w:t>
            </w:r>
          </w:p>
        </w:tc>
      </w:tr>
      <w:tr w:rsidR="00952F50" w:rsidRPr="000B5E5D" w:rsidTr="004D7E6F">
        <w:trPr>
          <w:trHeight w:val="47"/>
        </w:trPr>
        <w:tc>
          <w:tcPr>
            <w:tcW w:w="4776" w:type="dxa"/>
            <w:gridSpan w:val="2"/>
            <w:shd w:val="clear" w:color="auto" w:fill="auto"/>
            <w:vAlign w:val="center"/>
            <w:hideMark/>
          </w:tcPr>
          <w:p w:rsidR="00952F50" w:rsidRPr="000B5E5D" w:rsidRDefault="004D7E6F" w:rsidP="00952F50">
            <w:pPr>
              <w:spacing w:after="0" w:line="240" w:lineRule="auto"/>
              <w:rPr>
                <w:rFonts w:ascii="StobiSerif Regular" w:eastAsia="Times New Roman" w:hAnsi="StobiSerif Regular" w:cs="Arial"/>
                <w:sz w:val="16"/>
                <w:szCs w:val="16"/>
                <w:lang w:val="en-US" w:eastAsia="mk-MK"/>
              </w:rPr>
            </w:pPr>
            <w:r w:rsidRPr="004D7E6F">
              <w:rPr>
                <w:rFonts w:ascii="StobiSerif Regular" w:eastAsia="Times New Roman" w:hAnsi="StobiSerif Regular" w:cs="Arial"/>
                <w:sz w:val="16"/>
                <w:szCs w:val="16"/>
                <w:lang w:val="en-US" w:eastAsia="mk-MK"/>
              </w:rPr>
              <w:t>Без тип на инвестиција</w:t>
            </w:r>
          </w:p>
        </w:tc>
        <w:tc>
          <w:tcPr>
            <w:tcW w:w="850"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18</w:t>
            </w:r>
          </w:p>
        </w:tc>
        <w:tc>
          <w:tcPr>
            <w:tcW w:w="851"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18</w:t>
            </w:r>
          </w:p>
        </w:tc>
        <w:tc>
          <w:tcPr>
            <w:tcW w:w="996"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58"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c>
          <w:tcPr>
            <w:tcW w:w="1079" w:type="dxa"/>
            <w:shd w:val="clear" w:color="auto" w:fill="auto"/>
            <w:noWrap/>
            <w:vAlign w:val="center"/>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0</w:t>
            </w:r>
          </w:p>
        </w:tc>
      </w:tr>
      <w:tr w:rsidR="00952F50" w:rsidRPr="000B5E5D" w:rsidTr="004D7E6F">
        <w:trPr>
          <w:trHeight w:val="231"/>
        </w:trPr>
        <w:tc>
          <w:tcPr>
            <w:tcW w:w="4776" w:type="dxa"/>
            <w:gridSpan w:val="2"/>
            <w:shd w:val="clear" w:color="auto" w:fill="auto"/>
            <w:vAlign w:val="center"/>
          </w:tcPr>
          <w:p w:rsidR="00952F50" w:rsidRPr="004D7E6F" w:rsidRDefault="004D7E6F" w:rsidP="00952F50">
            <w:pPr>
              <w:spacing w:after="0" w:line="240" w:lineRule="auto"/>
              <w:rPr>
                <w:rFonts w:ascii="StobiSerif Regular" w:eastAsia="Times New Roman" w:hAnsi="StobiSerif Regular" w:cs="Arial"/>
                <w:sz w:val="16"/>
                <w:szCs w:val="16"/>
                <w:lang w:eastAsia="mk-MK"/>
              </w:rPr>
            </w:pPr>
            <w:r>
              <w:rPr>
                <w:rFonts w:ascii="StobiSerif Regular" w:eastAsia="Times New Roman" w:hAnsi="StobiSerif Regular" w:cs="Arial"/>
                <w:sz w:val="16"/>
                <w:szCs w:val="16"/>
                <w:lang w:eastAsia="mk-MK"/>
              </w:rPr>
              <w:t>вкупно</w:t>
            </w:r>
          </w:p>
        </w:tc>
        <w:tc>
          <w:tcPr>
            <w:tcW w:w="850" w:type="dxa"/>
            <w:shd w:val="clear" w:color="auto" w:fill="auto"/>
            <w:noWrap/>
            <w:vAlign w:val="bottom"/>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193</w:t>
            </w:r>
          </w:p>
        </w:tc>
        <w:tc>
          <w:tcPr>
            <w:tcW w:w="851" w:type="dxa"/>
            <w:shd w:val="clear" w:color="auto" w:fill="auto"/>
            <w:noWrap/>
            <w:vAlign w:val="bottom"/>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129</w:t>
            </w:r>
          </w:p>
        </w:tc>
        <w:tc>
          <w:tcPr>
            <w:tcW w:w="996" w:type="dxa"/>
            <w:shd w:val="clear" w:color="auto" w:fill="auto"/>
            <w:noWrap/>
            <w:vAlign w:val="bottom"/>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65</w:t>
            </w:r>
          </w:p>
        </w:tc>
        <w:tc>
          <w:tcPr>
            <w:tcW w:w="1058" w:type="dxa"/>
            <w:shd w:val="clear" w:color="auto" w:fill="auto"/>
            <w:noWrap/>
            <w:vAlign w:val="bottom"/>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22</w:t>
            </w:r>
          </w:p>
        </w:tc>
        <w:tc>
          <w:tcPr>
            <w:tcW w:w="1079" w:type="dxa"/>
            <w:shd w:val="clear" w:color="auto" w:fill="auto"/>
            <w:noWrap/>
            <w:vAlign w:val="bottom"/>
          </w:tcPr>
          <w:p w:rsidR="00952F50" w:rsidRPr="000B5E5D" w:rsidRDefault="00952F50" w:rsidP="00952F50">
            <w:pPr>
              <w:spacing w:after="0" w:line="240" w:lineRule="auto"/>
              <w:jc w:val="center"/>
              <w:rPr>
                <w:rFonts w:ascii="StobiSerif Regular" w:eastAsia="Times New Roman" w:hAnsi="StobiSerif Regular" w:cs="Arial"/>
                <w:sz w:val="16"/>
                <w:szCs w:val="16"/>
                <w:lang w:eastAsia="mk-MK"/>
              </w:rPr>
            </w:pPr>
            <w:r w:rsidRPr="000B5E5D">
              <w:rPr>
                <w:rFonts w:ascii="StobiSerif Regular" w:eastAsia="Times New Roman" w:hAnsi="StobiSerif Regular" w:cs="Arial"/>
                <w:sz w:val="16"/>
                <w:szCs w:val="16"/>
                <w:lang w:eastAsia="mk-MK"/>
              </w:rPr>
              <w:t>37</w:t>
            </w:r>
          </w:p>
        </w:tc>
      </w:tr>
    </w:tbl>
    <w:p w:rsidR="00213A9D" w:rsidRPr="00213A9D" w:rsidRDefault="004D7E6F" w:rsidP="00367879">
      <w:pPr>
        <w:spacing w:after="0"/>
        <w:jc w:val="both"/>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Извор: Мониторинг систем  (2016)</w:t>
      </w:r>
    </w:p>
    <w:p w:rsidR="00B53496" w:rsidRPr="00677FC7" w:rsidRDefault="00F00CB2" w:rsidP="000E31A4">
      <w:pPr>
        <w:spacing w:before="120" w:after="0"/>
        <w:jc w:val="both"/>
        <w:rPr>
          <w:rFonts w:ascii="StobiSerif Regular" w:hAnsi="StobiSerif Regular"/>
          <w:b/>
          <w:lang w:val="en-US"/>
        </w:rPr>
      </w:pPr>
      <w:bookmarkStart w:id="39" w:name="_Toc485394989"/>
      <w:r w:rsidRPr="00677FC7">
        <w:rPr>
          <w:rFonts w:ascii="StobiSerif Regular" w:hAnsi="StobiSerif Regular"/>
          <w:b/>
        </w:rPr>
        <w:t>Слика</w:t>
      </w:r>
      <w:r w:rsidR="000E31A4" w:rsidRPr="00677FC7">
        <w:rPr>
          <w:rFonts w:ascii="StobiSerif Regular" w:hAnsi="StobiSerif Regular"/>
          <w:b/>
        </w:rPr>
        <w:t xml:space="preserve"> </w:t>
      </w:r>
      <w:r w:rsidR="000E31A4" w:rsidRPr="00677FC7">
        <w:rPr>
          <w:rFonts w:ascii="StobiSerif Regular" w:hAnsi="StobiSerif Regular"/>
          <w:b/>
        </w:rPr>
        <w:fldChar w:fldCharType="begin"/>
      </w:r>
      <w:r w:rsidR="000E31A4" w:rsidRPr="00677FC7">
        <w:rPr>
          <w:rFonts w:ascii="StobiSerif Regular" w:hAnsi="StobiSerif Regular"/>
          <w:b/>
        </w:rPr>
        <w:instrText xml:space="preserve"> SEQ Figure \* ARABIC </w:instrText>
      </w:r>
      <w:r w:rsidR="000E31A4" w:rsidRPr="00677FC7">
        <w:rPr>
          <w:rFonts w:ascii="StobiSerif Regular" w:hAnsi="StobiSerif Regular"/>
          <w:b/>
        </w:rPr>
        <w:fldChar w:fldCharType="separate"/>
      </w:r>
      <w:r w:rsidR="00AA4CF3" w:rsidRPr="00677FC7">
        <w:rPr>
          <w:rFonts w:ascii="StobiSerif Regular" w:hAnsi="StobiSerif Regular"/>
          <w:b/>
          <w:noProof/>
        </w:rPr>
        <w:t>5</w:t>
      </w:r>
      <w:r w:rsidR="000E31A4" w:rsidRPr="00677FC7">
        <w:rPr>
          <w:rFonts w:ascii="StobiSerif Regular" w:hAnsi="StobiSerif Regular"/>
          <w:b/>
        </w:rPr>
        <w:fldChar w:fldCharType="end"/>
      </w:r>
      <w:r w:rsidR="000E31A4" w:rsidRPr="00677FC7">
        <w:rPr>
          <w:rFonts w:ascii="StobiSerif Regular" w:hAnsi="StobiSerif Regular"/>
          <w:b/>
          <w:lang w:val="en-US"/>
        </w:rPr>
        <w:t>:</w:t>
      </w:r>
      <w:r w:rsidR="000E31A4" w:rsidRPr="00677FC7">
        <w:rPr>
          <w:b/>
        </w:rPr>
        <w:t xml:space="preserve"> </w:t>
      </w:r>
      <w:r w:rsidRPr="00677FC7">
        <w:rPr>
          <w:rFonts w:ascii="StobiSerif Regular" w:hAnsi="StobiSerif Regular"/>
          <w:b/>
        </w:rPr>
        <w:t>Апликации по тип на инвестиција во</w:t>
      </w:r>
      <w:r w:rsidR="000E31A4" w:rsidRPr="00677FC7">
        <w:rPr>
          <w:rFonts w:ascii="StobiSerif Regular" w:hAnsi="StobiSerif Regular"/>
          <w:b/>
          <w:lang w:val="en-US"/>
        </w:rPr>
        <w:t xml:space="preserve"> M103</w:t>
      </w:r>
      <w:bookmarkEnd w:id="39"/>
    </w:p>
    <w:p w:rsidR="00B53496" w:rsidRPr="000B5E5D" w:rsidRDefault="00F00CB2" w:rsidP="000E31A4">
      <w:pPr>
        <w:spacing w:after="0"/>
        <w:jc w:val="both"/>
        <w:rPr>
          <w:rFonts w:ascii="StobiSerif Regular" w:hAnsi="StobiSerif Regular"/>
          <w:lang w:val="en-US"/>
        </w:rPr>
      </w:pPr>
      <w:r>
        <w:rPr>
          <w:noProof/>
          <w:lang w:val="en-US"/>
        </w:rPr>
        <w:drawing>
          <wp:inline distT="0" distB="0" distL="0" distR="0" wp14:anchorId="0C80F612" wp14:editId="4A6CBF38">
            <wp:extent cx="5943600" cy="2654135"/>
            <wp:effectExtent l="0" t="0" r="19050" b="133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53496" w:rsidRPr="000B5E5D" w:rsidRDefault="00743653" w:rsidP="000E31A4">
      <w:pPr>
        <w:spacing w:after="0"/>
        <w:jc w:val="both"/>
        <w:rPr>
          <w:rFonts w:ascii="StobiSerif Regular" w:hAnsi="StobiSerif Regular"/>
          <w:sz w:val="16"/>
          <w:szCs w:val="16"/>
          <w:lang w:val="en-GB"/>
        </w:rPr>
      </w:pPr>
      <w:r>
        <w:rPr>
          <w:rFonts w:ascii="StobiSerif Regular" w:eastAsia="Times New Roman" w:hAnsi="StobiSerif Regular" w:cs="Times New Roman"/>
          <w:sz w:val="16"/>
          <w:szCs w:val="16"/>
          <w:lang w:eastAsia="mk-MK"/>
        </w:rPr>
        <w:t>Извор: Мониторинг систем  (2016)</w:t>
      </w:r>
    </w:p>
    <w:p w:rsidR="000E31A4" w:rsidRPr="00743653" w:rsidRDefault="00743653" w:rsidP="00955E09">
      <w:pPr>
        <w:spacing w:before="120" w:after="120"/>
        <w:ind w:firstLine="284"/>
        <w:jc w:val="both"/>
        <w:rPr>
          <w:rFonts w:ascii="StobiSerif Regular" w:hAnsi="StobiSerif Regular"/>
          <w:lang w:val="en-US"/>
        </w:rPr>
      </w:pPr>
      <w:r w:rsidRPr="00743653">
        <w:rPr>
          <w:rFonts w:ascii="StobiSerif Regular" w:hAnsi="StobiSerif Regular"/>
          <w:lang w:val="en-US"/>
        </w:rPr>
        <w:t xml:space="preserve">33,6% од доставените апликации </w:t>
      </w:r>
      <w:r>
        <w:rPr>
          <w:rFonts w:ascii="StobiSerif Regular" w:hAnsi="StobiSerif Regular"/>
        </w:rPr>
        <w:t>се</w:t>
      </w:r>
      <w:r w:rsidRPr="00743653">
        <w:rPr>
          <w:rFonts w:ascii="StobiSerif Regular" w:hAnsi="StobiSerif Regular"/>
          <w:lang w:val="en-US"/>
        </w:rPr>
        <w:t xml:space="preserve"> одобрени, но </w:t>
      </w:r>
      <w:r>
        <w:rPr>
          <w:rFonts w:ascii="StobiSerif Regular" w:hAnsi="StobiSerif Regular"/>
        </w:rPr>
        <w:t>загрижува фактот</w:t>
      </w:r>
      <w:r w:rsidRPr="00743653">
        <w:rPr>
          <w:rFonts w:ascii="StobiSerif Regular" w:hAnsi="StobiSerif Regular"/>
          <w:lang w:val="en-US"/>
        </w:rPr>
        <w:t xml:space="preserve"> дека 33, 8% од нив </w:t>
      </w:r>
      <w:r>
        <w:rPr>
          <w:rFonts w:ascii="StobiSerif Regular" w:hAnsi="StobiSerif Regular"/>
        </w:rPr>
        <w:t>се</w:t>
      </w:r>
      <w:r w:rsidRPr="00743653">
        <w:rPr>
          <w:rFonts w:ascii="StobiSerif Regular" w:hAnsi="StobiSerif Regular"/>
          <w:lang w:val="en-US"/>
        </w:rPr>
        <w:t xml:space="preserve"> откажани. </w:t>
      </w:r>
      <w:r>
        <w:rPr>
          <w:rFonts w:ascii="StobiSerif Regular" w:hAnsi="StobiSerif Regular"/>
        </w:rPr>
        <w:t>Во процес на реализација се 6 проекти</w:t>
      </w:r>
      <w:r w:rsidR="00B407C8" w:rsidRPr="00743653">
        <w:rPr>
          <w:rFonts w:ascii="StobiSerif Regular" w:hAnsi="StobiSerif Regular"/>
          <w:lang w:val="en-US"/>
        </w:rPr>
        <w:t>.</w:t>
      </w:r>
    </w:p>
    <w:p w:rsidR="00784CD1" w:rsidRPr="00677FC7" w:rsidRDefault="00743653" w:rsidP="00784CD1">
      <w:pPr>
        <w:autoSpaceDE w:val="0"/>
        <w:autoSpaceDN w:val="0"/>
        <w:adjustRightInd w:val="0"/>
        <w:spacing w:after="0"/>
        <w:jc w:val="both"/>
        <w:rPr>
          <w:rFonts w:ascii="StobiSerif Regular" w:hAnsi="StobiSerif Regular"/>
          <w:b/>
        </w:rPr>
      </w:pPr>
      <w:bookmarkStart w:id="40" w:name="_Toc485394908"/>
      <w:r w:rsidRPr="00677FC7">
        <w:rPr>
          <w:rFonts w:ascii="StobiSerif Regular" w:eastAsia="Times New Roman" w:hAnsi="StobiSerif Regular" w:cs="Times New Roman"/>
          <w:b/>
          <w:lang w:eastAsia="zh-CN"/>
        </w:rPr>
        <w:t>Табела</w:t>
      </w:r>
      <w:r w:rsidR="006C55E6" w:rsidRPr="00677FC7">
        <w:rPr>
          <w:rFonts w:ascii="StobiSerif Regular" w:eastAsia="Times New Roman" w:hAnsi="StobiSerif Regular" w:cs="Times New Roman"/>
          <w:b/>
          <w:lang w:val="en-GB" w:eastAsia="zh-CN"/>
        </w:rPr>
        <w:t xml:space="preserve"> </w:t>
      </w:r>
      <w:r w:rsidR="006C55E6" w:rsidRPr="00677FC7">
        <w:rPr>
          <w:rFonts w:ascii="StobiSerif Regular" w:eastAsia="Times New Roman" w:hAnsi="StobiSerif Regular" w:cs="Times New Roman"/>
          <w:b/>
          <w:lang w:val="en-GB" w:eastAsia="zh-CN"/>
        </w:rPr>
        <w:fldChar w:fldCharType="begin"/>
      </w:r>
      <w:r w:rsidR="006C55E6" w:rsidRPr="00677FC7">
        <w:rPr>
          <w:rFonts w:ascii="StobiSerif Regular" w:eastAsia="Times New Roman" w:hAnsi="StobiSerif Regular" w:cs="Times New Roman"/>
          <w:b/>
          <w:lang w:val="en-GB" w:eastAsia="zh-CN"/>
        </w:rPr>
        <w:instrText xml:space="preserve"> SEQ Table \* ARABIC </w:instrText>
      </w:r>
      <w:r w:rsidR="006C55E6" w:rsidRPr="00677FC7">
        <w:rPr>
          <w:rFonts w:ascii="StobiSerif Regular" w:eastAsia="Times New Roman" w:hAnsi="StobiSerif Regular" w:cs="Times New Roman"/>
          <w:b/>
          <w:lang w:val="en-GB" w:eastAsia="zh-CN"/>
        </w:rPr>
        <w:fldChar w:fldCharType="separate"/>
      </w:r>
      <w:r w:rsidR="006C55E6" w:rsidRPr="00677FC7">
        <w:rPr>
          <w:rFonts w:ascii="StobiSerif Regular" w:eastAsia="Times New Roman" w:hAnsi="StobiSerif Regular" w:cs="Times New Roman"/>
          <w:b/>
          <w:noProof/>
          <w:lang w:val="en-GB" w:eastAsia="zh-CN"/>
        </w:rPr>
        <w:t>16</w:t>
      </w:r>
      <w:r w:rsidR="006C55E6" w:rsidRPr="00677FC7">
        <w:rPr>
          <w:rFonts w:ascii="StobiSerif Regular" w:eastAsia="Times New Roman" w:hAnsi="StobiSerif Regular" w:cs="Times New Roman"/>
          <w:b/>
          <w:lang w:val="en-GB" w:eastAsia="zh-CN"/>
        </w:rPr>
        <w:fldChar w:fldCharType="end"/>
      </w:r>
      <w:r w:rsidR="006C55E6" w:rsidRPr="00677FC7">
        <w:rPr>
          <w:rFonts w:ascii="StobiSerif Regular" w:eastAsia="Times New Roman" w:hAnsi="StobiSerif Regular" w:cs="Times New Roman"/>
          <w:b/>
          <w:lang w:val="en-GB" w:eastAsia="zh-CN"/>
        </w:rPr>
        <w:t xml:space="preserve">: </w:t>
      </w:r>
      <w:r w:rsidRPr="00677FC7">
        <w:rPr>
          <w:rFonts w:ascii="StobiSerif Regular" w:eastAsia="Times New Roman" w:hAnsi="StobiSerif Regular" w:cs="Times New Roman"/>
          <w:b/>
          <w:bCs/>
          <w:lang w:val="en-US"/>
        </w:rPr>
        <w:t>Показатели на квалитет на апликации на Мерка 103</w:t>
      </w:r>
      <w:bookmarkEnd w:id="40"/>
    </w:p>
    <w:tbl>
      <w:tblPr>
        <w:tblW w:w="0" w:type="auto"/>
        <w:tblInd w:w="108" w:type="dxa"/>
        <w:tblCellMar>
          <w:left w:w="0" w:type="dxa"/>
          <w:right w:w="0" w:type="dxa"/>
        </w:tblCellMar>
        <w:tblLook w:val="04A0" w:firstRow="1" w:lastRow="0" w:firstColumn="1" w:lastColumn="0" w:noHBand="0" w:noVBand="1"/>
      </w:tblPr>
      <w:tblGrid>
        <w:gridCol w:w="5772"/>
        <w:gridCol w:w="3300"/>
      </w:tblGrid>
      <w:tr w:rsidR="00784CD1" w:rsidRPr="000B5E5D" w:rsidTr="00784CD1">
        <w:trPr>
          <w:trHeight w:val="260"/>
        </w:trPr>
        <w:tc>
          <w:tcPr>
            <w:tcW w:w="9072"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784CD1" w:rsidRPr="000B5E5D" w:rsidRDefault="00784CD1" w:rsidP="00784CD1">
            <w:pPr>
              <w:spacing w:after="0" w:line="240" w:lineRule="auto"/>
              <w:jc w:val="center"/>
              <w:rPr>
                <w:rFonts w:ascii="StobiSerif Regular" w:eastAsia="Times New Roman" w:hAnsi="StobiSerif Regular" w:cs="Times New Roman"/>
                <w:b/>
                <w:bCs/>
              </w:rPr>
            </w:pPr>
            <w:r w:rsidRPr="000B5E5D">
              <w:rPr>
                <w:rFonts w:ascii="StobiSerif Regular" w:eastAsia="Times New Roman" w:hAnsi="StobiSerif Regular" w:cs="Times New Roman"/>
                <w:lang w:val="en-GB" w:eastAsia="en-GB"/>
              </w:rPr>
              <w:br w:type="page"/>
            </w:r>
            <w:r w:rsidRPr="000B5E5D">
              <w:rPr>
                <w:rFonts w:ascii="StobiSerif Regular" w:eastAsia="Times New Roman" w:hAnsi="StobiSerif Regular" w:cs="Times New Roman"/>
                <w:lang w:val="en-GB" w:eastAsia="en-GB"/>
              </w:rPr>
              <w:br w:type="page"/>
            </w:r>
          </w:p>
        </w:tc>
      </w:tr>
      <w:tr w:rsidR="00045E7F" w:rsidRPr="000B5E5D" w:rsidTr="00332E3B">
        <w:trPr>
          <w:trHeight w:val="350"/>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5E7F" w:rsidRPr="001A0452" w:rsidRDefault="00045E7F" w:rsidP="001A0452">
            <w:pPr>
              <w:autoSpaceDE w:val="0"/>
              <w:autoSpaceDN w:val="0"/>
              <w:adjustRightInd w:val="0"/>
              <w:spacing w:after="0"/>
              <w:jc w:val="both"/>
              <w:rPr>
                <w:rFonts w:ascii="StobiSerif Regular" w:eastAsia="Times New Roman" w:hAnsi="StobiSerif Regular" w:cs="Times New Roman"/>
                <w:bCs/>
                <w:lang w:val="en-US"/>
              </w:rPr>
            </w:pPr>
            <w:r w:rsidRPr="001A0452">
              <w:rPr>
                <w:rFonts w:ascii="StobiSerif Regular" w:eastAsia="Times New Roman" w:hAnsi="StobiSerif Regular" w:cs="Times New Roman"/>
                <w:bCs/>
                <w:lang w:val="en-US"/>
              </w:rPr>
              <w:t>Вкупен број на поднесени барања</w:t>
            </w:r>
          </w:p>
        </w:tc>
        <w:tc>
          <w:tcPr>
            <w:tcW w:w="3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5E7F" w:rsidRPr="000B5E5D" w:rsidRDefault="00045E7F" w:rsidP="00784CD1">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193</w:t>
            </w:r>
          </w:p>
        </w:tc>
      </w:tr>
      <w:tr w:rsidR="00045E7F" w:rsidRPr="000B5E5D" w:rsidTr="00332E3B">
        <w:trPr>
          <w:trHeight w:val="350"/>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5E7F" w:rsidRPr="001A0452" w:rsidRDefault="00045E7F" w:rsidP="001A0452">
            <w:pPr>
              <w:autoSpaceDE w:val="0"/>
              <w:autoSpaceDN w:val="0"/>
              <w:adjustRightInd w:val="0"/>
              <w:spacing w:after="0"/>
              <w:jc w:val="both"/>
              <w:rPr>
                <w:rFonts w:ascii="StobiSerif Regular" w:eastAsia="Times New Roman" w:hAnsi="StobiSerif Regular" w:cs="Times New Roman"/>
                <w:bCs/>
                <w:lang w:val="en-US"/>
              </w:rPr>
            </w:pPr>
            <w:r w:rsidRPr="001A0452">
              <w:rPr>
                <w:rFonts w:ascii="StobiSerif Regular" w:eastAsia="Times New Roman" w:hAnsi="StobiSerif Regular" w:cs="Times New Roman"/>
                <w:bCs/>
                <w:lang w:val="en-US"/>
              </w:rPr>
              <w:t>Број на одобрени договори</w:t>
            </w:r>
          </w:p>
        </w:tc>
        <w:tc>
          <w:tcPr>
            <w:tcW w:w="3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5E7F" w:rsidRPr="000B5E5D" w:rsidRDefault="00045E7F" w:rsidP="00784CD1">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65</w:t>
            </w:r>
          </w:p>
        </w:tc>
      </w:tr>
      <w:tr w:rsidR="00045E7F" w:rsidRPr="000B5E5D" w:rsidTr="00332E3B">
        <w:trPr>
          <w:trHeight w:val="350"/>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5E7F" w:rsidRPr="001A0452" w:rsidRDefault="00045E7F" w:rsidP="001A0452">
            <w:pPr>
              <w:autoSpaceDE w:val="0"/>
              <w:autoSpaceDN w:val="0"/>
              <w:adjustRightInd w:val="0"/>
              <w:spacing w:after="0"/>
              <w:jc w:val="both"/>
              <w:rPr>
                <w:rFonts w:ascii="StobiSerif Regular" w:eastAsia="Times New Roman" w:hAnsi="StobiSerif Regular" w:cs="Times New Roman"/>
                <w:bCs/>
                <w:lang w:val="en-US"/>
              </w:rPr>
            </w:pPr>
            <w:r w:rsidRPr="001A0452">
              <w:rPr>
                <w:rFonts w:ascii="StobiSerif Regular" w:eastAsia="Times New Roman" w:hAnsi="StobiSerif Regular" w:cs="Times New Roman"/>
                <w:bCs/>
                <w:lang w:val="en-US"/>
              </w:rPr>
              <w:t>Број на исплатени договори</w:t>
            </w:r>
          </w:p>
        </w:tc>
        <w:tc>
          <w:tcPr>
            <w:tcW w:w="3300" w:type="dxa"/>
            <w:tcBorders>
              <w:top w:val="nil"/>
              <w:left w:val="nil"/>
              <w:bottom w:val="single" w:sz="8" w:space="0" w:color="auto"/>
              <w:right w:val="single" w:sz="8" w:space="0" w:color="auto"/>
            </w:tcBorders>
            <w:tcMar>
              <w:top w:w="0" w:type="dxa"/>
              <w:left w:w="108" w:type="dxa"/>
              <w:bottom w:w="0" w:type="dxa"/>
              <w:right w:w="108" w:type="dxa"/>
            </w:tcMar>
            <w:vAlign w:val="center"/>
          </w:tcPr>
          <w:p w:rsidR="00045E7F" w:rsidRPr="000B5E5D" w:rsidRDefault="00045E7F" w:rsidP="00784CD1">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37</w:t>
            </w:r>
          </w:p>
        </w:tc>
      </w:tr>
      <w:tr w:rsidR="00045E7F" w:rsidRPr="000B5E5D" w:rsidTr="00332E3B">
        <w:trPr>
          <w:trHeight w:val="350"/>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5E7F" w:rsidRPr="001A0452" w:rsidRDefault="00045E7F" w:rsidP="001A0452">
            <w:pPr>
              <w:autoSpaceDE w:val="0"/>
              <w:autoSpaceDN w:val="0"/>
              <w:adjustRightInd w:val="0"/>
              <w:spacing w:after="0"/>
              <w:jc w:val="both"/>
              <w:rPr>
                <w:rFonts w:ascii="StobiSerif Regular" w:eastAsia="Times New Roman" w:hAnsi="StobiSerif Regular" w:cs="Times New Roman"/>
                <w:bCs/>
                <w:lang w:val="en-US"/>
              </w:rPr>
            </w:pPr>
            <w:r w:rsidRPr="001A0452">
              <w:rPr>
                <w:rFonts w:ascii="StobiSerif Regular" w:eastAsia="Times New Roman" w:hAnsi="StobiSerif Regular" w:cs="Times New Roman"/>
                <w:bCs/>
                <w:lang w:val="en-US"/>
              </w:rPr>
              <w:t xml:space="preserve">Број на раскинати договори </w:t>
            </w:r>
          </w:p>
        </w:tc>
        <w:tc>
          <w:tcPr>
            <w:tcW w:w="3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5E7F" w:rsidRPr="000B5E5D" w:rsidRDefault="00045E7F" w:rsidP="00784CD1">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22</w:t>
            </w:r>
          </w:p>
        </w:tc>
      </w:tr>
      <w:tr w:rsidR="00045E7F" w:rsidRPr="000B5E5D" w:rsidTr="00332E3B">
        <w:trPr>
          <w:trHeight w:val="350"/>
        </w:trPr>
        <w:tc>
          <w:tcPr>
            <w:tcW w:w="577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045E7F" w:rsidRPr="001A0452" w:rsidRDefault="00045E7F" w:rsidP="001A0452">
            <w:pPr>
              <w:autoSpaceDE w:val="0"/>
              <w:autoSpaceDN w:val="0"/>
              <w:adjustRightInd w:val="0"/>
              <w:spacing w:after="0"/>
              <w:jc w:val="both"/>
              <w:rPr>
                <w:rFonts w:ascii="StobiSerif Regular" w:eastAsia="Times New Roman" w:hAnsi="StobiSerif Regular" w:cs="Times New Roman"/>
                <w:bCs/>
                <w:lang w:val="en-US"/>
              </w:rPr>
            </w:pPr>
            <w:r w:rsidRPr="001A0452">
              <w:rPr>
                <w:rFonts w:ascii="StobiSerif Regular" w:eastAsia="Times New Roman" w:hAnsi="StobiSerif Regular" w:cs="Times New Roman"/>
                <w:bCs/>
                <w:lang w:val="en-US"/>
              </w:rPr>
              <w:t>Број на тековни договори</w:t>
            </w:r>
          </w:p>
        </w:tc>
        <w:tc>
          <w:tcPr>
            <w:tcW w:w="33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45E7F" w:rsidRPr="000B5E5D" w:rsidRDefault="00045E7F" w:rsidP="00784CD1">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6</w:t>
            </w:r>
          </w:p>
        </w:tc>
      </w:tr>
    </w:tbl>
    <w:tbl>
      <w:tblPr>
        <w:tblStyle w:val="TableGrid11"/>
        <w:tblW w:w="0" w:type="auto"/>
        <w:tblInd w:w="108" w:type="dxa"/>
        <w:tblLook w:val="04A0" w:firstRow="1" w:lastRow="0" w:firstColumn="1" w:lastColumn="0" w:noHBand="0" w:noVBand="1"/>
      </w:tblPr>
      <w:tblGrid>
        <w:gridCol w:w="5786"/>
        <w:gridCol w:w="3286"/>
      </w:tblGrid>
      <w:tr w:rsidR="00B407C8" w:rsidRPr="000B5E5D" w:rsidTr="00445B20">
        <w:trPr>
          <w:trHeight w:val="91"/>
        </w:trPr>
        <w:tc>
          <w:tcPr>
            <w:tcW w:w="9072" w:type="dxa"/>
            <w:gridSpan w:val="2"/>
            <w:shd w:val="clear" w:color="auto" w:fill="92D050"/>
            <w:vAlign w:val="center"/>
          </w:tcPr>
          <w:p w:rsidR="00784CD1" w:rsidRPr="000B5E5D" w:rsidRDefault="00784CD1" w:rsidP="00784CD1">
            <w:pPr>
              <w:jc w:val="right"/>
              <w:rPr>
                <w:rFonts w:ascii="StobiSerif Regular" w:hAnsi="StobiSerif Regular" w:cs="Arial"/>
              </w:rPr>
            </w:pPr>
          </w:p>
        </w:tc>
      </w:tr>
      <w:tr w:rsidR="00045E7F" w:rsidRPr="000B5E5D" w:rsidTr="00445B20">
        <w:trPr>
          <w:cantSplit/>
          <w:trHeight w:val="20"/>
        </w:trPr>
        <w:tc>
          <w:tcPr>
            <w:tcW w:w="5786" w:type="dxa"/>
            <w:vAlign w:val="center"/>
          </w:tcPr>
          <w:p w:rsidR="00045E7F" w:rsidRPr="00445B20" w:rsidRDefault="00045E7F" w:rsidP="00D54C03">
            <w:pPr>
              <w:rPr>
                <w:rFonts w:ascii="StobiSerif Regular" w:hAnsi="StobiSerif Regular" w:cs="Arial"/>
              </w:rPr>
            </w:pPr>
            <w:r>
              <w:rPr>
                <w:rFonts w:ascii="StobiSerif Regular" w:hAnsi="StobiSerif Regular" w:cs="Arial"/>
              </w:rPr>
              <w:t>%  на</w:t>
            </w:r>
            <w:r w:rsidR="00D54C03">
              <w:rPr>
                <w:rFonts w:ascii="StobiSerif Regular" w:hAnsi="StobiSerif Regular" w:cs="Arial"/>
              </w:rPr>
              <w:t xml:space="preserve"> одобрување на барањата (</w:t>
            </w:r>
            <w:r w:rsidR="00D54C03">
              <w:rPr>
                <w:rFonts w:ascii="StobiSerif Regular" w:hAnsi="StobiSerif Regular" w:cs="Arial"/>
                <w:lang w:val="mk-MK"/>
              </w:rPr>
              <w:t>поднесени</w:t>
            </w:r>
            <w:r w:rsidR="00D54C03">
              <w:rPr>
                <w:rFonts w:ascii="StobiSerif Regular" w:hAnsi="StobiSerif Regular" w:cs="Arial"/>
              </w:rPr>
              <w:t>/</w:t>
            </w:r>
            <w:r w:rsidR="00D54C03">
              <w:rPr>
                <w:rFonts w:ascii="StobiSerif Regular" w:hAnsi="StobiSerif Regular" w:cs="Arial"/>
                <w:lang w:val="mk-MK"/>
              </w:rPr>
              <w:t>одобрени</w:t>
            </w:r>
            <w:r>
              <w:rPr>
                <w:rFonts w:ascii="StobiSerif Regular" w:hAnsi="StobiSerif Regular" w:cs="Arial"/>
              </w:rPr>
              <w:t>)</w:t>
            </w:r>
          </w:p>
        </w:tc>
        <w:tc>
          <w:tcPr>
            <w:tcW w:w="3286" w:type="dxa"/>
            <w:vAlign w:val="center"/>
          </w:tcPr>
          <w:p w:rsidR="00045E7F" w:rsidRPr="000B5E5D" w:rsidRDefault="003D3B43" w:rsidP="00445B20">
            <w:pPr>
              <w:jc w:val="right"/>
              <w:rPr>
                <w:rFonts w:ascii="StobiSerif Regular" w:hAnsi="StobiSerif Regular" w:cs="Arial"/>
              </w:rPr>
            </w:pPr>
            <w:r>
              <w:rPr>
                <w:rFonts w:ascii="StobiSerif Regular" w:hAnsi="StobiSerif Regular" w:cs="Arial"/>
              </w:rPr>
              <w:t>33</w:t>
            </w:r>
            <w:r>
              <w:rPr>
                <w:rFonts w:ascii="StobiSerif Regular" w:hAnsi="StobiSerif Regular" w:cs="Arial"/>
                <w:lang w:val="mk-MK"/>
              </w:rPr>
              <w:t>,</w:t>
            </w:r>
            <w:r w:rsidR="00045E7F" w:rsidRPr="000B5E5D">
              <w:rPr>
                <w:rFonts w:ascii="StobiSerif Regular" w:hAnsi="StobiSerif Regular" w:cs="Arial"/>
              </w:rPr>
              <w:t>6%</w:t>
            </w:r>
          </w:p>
        </w:tc>
      </w:tr>
      <w:tr w:rsidR="00045E7F" w:rsidRPr="000B5E5D" w:rsidTr="00445B20">
        <w:trPr>
          <w:cantSplit/>
          <w:trHeight w:val="20"/>
        </w:trPr>
        <w:tc>
          <w:tcPr>
            <w:tcW w:w="5786" w:type="dxa"/>
            <w:vAlign w:val="center"/>
          </w:tcPr>
          <w:p w:rsidR="00045E7F" w:rsidRPr="00445B20" w:rsidRDefault="00045E7F" w:rsidP="00EC17A6">
            <w:pPr>
              <w:rPr>
                <w:rFonts w:ascii="StobiSerif Regular" w:hAnsi="StobiSerif Regular" w:cs="Arial"/>
              </w:rPr>
            </w:pPr>
            <w:r>
              <w:rPr>
                <w:rFonts w:ascii="StobiSerif Regular" w:hAnsi="StobiSerif Regular" w:cs="Arial"/>
              </w:rPr>
              <w:t>%  на раскинување на договори (раскинати/одобрени)</w:t>
            </w:r>
          </w:p>
        </w:tc>
        <w:tc>
          <w:tcPr>
            <w:tcW w:w="3286" w:type="dxa"/>
            <w:vAlign w:val="center"/>
          </w:tcPr>
          <w:p w:rsidR="00045E7F" w:rsidRPr="000B5E5D" w:rsidRDefault="00045E7F" w:rsidP="003D3B43">
            <w:pPr>
              <w:jc w:val="right"/>
              <w:rPr>
                <w:rFonts w:ascii="StobiSerif Regular" w:hAnsi="StobiSerif Regular" w:cs="Arial"/>
              </w:rPr>
            </w:pPr>
            <w:r w:rsidRPr="000B5E5D">
              <w:rPr>
                <w:rFonts w:ascii="StobiSerif Regular" w:hAnsi="StobiSerif Regular" w:cs="Arial"/>
              </w:rPr>
              <w:t>33</w:t>
            </w:r>
            <w:r w:rsidR="003D3B43">
              <w:rPr>
                <w:rFonts w:ascii="StobiSerif Regular" w:hAnsi="StobiSerif Regular" w:cs="Arial"/>
                <w:lang w:val="mk-MK"/>
              </w:rPr>
              <w:t>,</w:t>
            </w:r>
            <w:r w:rsidR="008603FA">
              <w:rPr>
                <w:rFonts w:ascii="StobiSerif Regular" w:hAnsi="StobiSerif Regular" w:cs="Arial"/>
                <w:lang w:val="mk-MK"/>
              </w:rPr>
              <w:t xml:space="preserve"> </w:t>
            </w:r>
            <w:r w:rsidRPr="000B5E5D">
              <w:rPr>
                <w:rFonts w:ascii="StobiSerif Regular" w:hAnsi="StobiSerif Regular" w:cs="Arial"/>
              </w:rPr>
              <w:t>8%</w:t>
            </w:r>
          </w:p>
        </w:tc>
      </w:tr>
      <w:tr w:rsidR="00045E7F" w:rsidRPr="000B5E5D" w:rsidTr="00445B20">
        <w:trPr>
          <w:cantSplit/>
          <w:trHeight w:val="20"/>
        </w:trPr>
        <w:tc>
          <w:tcPr>
            <w:tcW w:w="5786" w:type="dxa"/>
            <w:vAlign w:val="center"/>
          </w:tcPr>
          <w:p w:rsidR="00045E7F" w:rsidRPr="00445B20" w:rsidRDefault="00045E7F" w:rsidP="00EC17A6">
            <w:pPr>
              <w:rPr>
                <w:rFonts w:ascii="StobiSerif Regular" w:hAnsi="StobiSerif Regular" w:cs="Arial"/>
              </w:rPr>
            </w:pPr>
            <w:r>
              <w:rPr>
                <w:rFonts w:ascii="StobiSerif Regular" w:hAnsi="StobiSerif Regular" w:cs="Arial"/>
              </w:rPr>
              <w:t>%  на исплата на договори (исплатени/(одобрени-раскинати)</w:t>
            </w:r>
          </w:p>
        </w:tc>
        <w:tc>
          <w:tcPr>
            <w:tcW w:w="3286" w:type="dxa"/>
            <w:vAlign w:val="center"/>
          </w:tcPr>
          <w:p w:rsidR="00045E7F" w:rsidRPr="000B5E5D" w:rsidRDefault="00045E7F" w:rsidP="00445B20">
            <w:pPr>
              <w:ind w:right="95"/>
              <w:jc w:val="right"/>
              <w:rPr>
                <w:rFonts w:ascii="StobiSerif Regular" w:hAnsi="StobiSerif Regular" w:cs="Arial"/>
              </w:rPr>
            </w:pPr>
            <w:r w:rsidRPr="000B5E5D">
              <w:rPr>
                <w:rFonts w:ascii="StobiSerif Regular" w:hAnsi="StobiSerif Regular" w:cs="Arial"/>
              </w:rPr>
              <w:t>86%</w:t>
            </w:r>
          </w:p>
        </w:tc>
      </w:tr>
    </w:tbl>
    <w:p w:rsidR="00784CD1" w:rsidRPr="000B5E5D" w:rsidRDefault="003B1E1C" w:rsidP="00B407C8">
      <w:pPr>
        <w:autoSpaceDE w:val="0"/>
        <w:autoSpaceDN w:val="0"/>
        <w:adjustRightInd w:val="0"/>
        <w:spacing w:after="0"/>
        <w:jc w:val="both"/>
        <w:rPr>
          <w:rFonts w:ascii="StobiSerif Regular" w:hAnsi="StobiSerif Regular"/>
          <w:sz w:val="16"/>
          <w:szCs w:val="16"/>
          <w:lang w:val="en-US"/>
        </w:rPr>
      </w:pPr>
      <w:r>
        <w:rPr>
          <w:rFonts w:ascii="StobiSerif Regular" w:eastAsia="Times New Roman" w:hAnsi="StobiSerif Regular" w:cs="Times New Roman"/>
          <w:sz w:val="16"/>
          <w:szCs w:val="16"/>
          <w:lang w:eastAsia="mk-MK"/>
        </w:rPr>
        <w:t>Извор: Мониторинг систем  (2016)</w:t>
      </w:r>
    </w:p>
    <w:p w:rsidR="00045E7F" w:rsidRPr="00045E7F" w:rsidRDefault="00045E7F" w:rsidP="00955E09">
      <w:pPr>
        <w:tabs>
          <w:tab w:val="left" w:pos="284"/>
        </w:tabs>
        <w:spacing w:before="120" w:after="120"/>
        <w:ind w:firstLine="284"/>
        <w:jc w:val="both"/>
        <w:rPr>
          <w:rFonts w:ascii="StobiSerif Regular" w:hAnsi="StobiSerif Regular"/>
        </w:rPr>
      </w:pPr>
      <w:r w:rsidRPr="00045E7F">
        <w:rPr>
          <w:rFonts w:ascii="StobiSerif Regular" w:hAnsi="StobiSerif Regular"/>
        </w:rPr>
        <w:t xml:space="preserve">Од 22 откажани проекти, во 9 случаи </w:t>
      </w:r>
      <w:r w:rsidR="00D54C03">
        <w:rPr>
          <w:rFonts w:ascii="StobiSerif Regular" w:hAnsi="StobiSerif Regular"/>
        </w:rPr>
        <w:t>не е почитувано</w:t>
      </w:r>
      <w:r w:rsidRPr="00045E7F">
        <w:rPr>
          <w:rFonts w:ascii="StobiSerif Regular" w:hAnsi="StobiSerif Regular"/>
        </w:rPr>
        <w:t xml:space="preserve"> правил</w:t>
      </w:r>
      <w:r>
        <w:rPr>
          <w:rFonts w:ascii="StobiSerif Regular" w:hAnsi="StobiSerif Regular"/>
        </w:rPr>
        <w:t>ото за</w:t>
      </w:r>
      <w:r w:rsidRPr="00045E7F">
        <w:rPr>
          <w:rFonts w:ascii="StobiSerif Regular" w:hAnsi="StobiSerif Regular"/>
        </w:rPr>
        <w:t xml:space="preserve"> 3 независни понуд</w:t>
      </w:r>
      <w:r>
        <w:rPr>
          <w:rFonts w:ascii="StobiSerif Regular" w:hAnsi="StobiSerif Regular"/>
        </w:rPr>
        <w:t>и.</w:t>
      </w:r>
      <w:r w:rsidRPr="00045E7F">
        <w:rPr>
          <w:rFonts w:ascii="StobiSerif Regular" w:hAnsi="StobiSerif Regular"/>
        </w:rPr>
        <w:t xml:space="preserve"> Во 2 случаи инвестицијата </w:t>
      </w:r>
      <w:r>
        <w:rPr>
          <w:rFonts w:ascii="StobiSerif Regular" w:hAnsi="StobiSerif Regular"/>
        </w:rPr>
        <w:t>била</w:t>
      </w:r>
      <w:r w:rsidRPr="00045E7F">
        <w:rPr>
          <w:rFonts w:ascii="StobiSerif Regular" w:hAnsi="StobiSerif Regular"/>
        </w:rPr>
        <w:t xml:space="preserve"> започната пред </w:t>
      </w:r>
      <w:r>
        <w:rPr>
          <w:rFonts w:ascii="StobiSerif Regular" w:hAnsi="StobiSerif Regular"/>
        </w:rPr>
        <w:t xml:space="preserve">склучување на договор, </w:t>
      </w:r>
      <w:r w:rsidR="00204006">
        <w:rPr>
          <w:rFonts w:ascii="StobiSerif Regular" w:hAnsi="StobiSerif Regular"/>
        </w:rPr>
        <w:t>во 6 случаи инвеститорот не поднел бар</w:t>
      </w:r>
      <w:r w:rsidR="00D54C03">
        <w:rPr>
          <w:rFonts w:ascii="StobiSerif Regular" w:hAnsi="StobiSerif Regular"/>
        </w:rPr>
        <w:t>ање за ис</w:t>
      </w:r>
      <w:r w:rsidR="00204006">
        <w:rPr>
          <w:rFonts w:ascii="StobiSerif Regular" w:hAnsi="StobiSerif Regular"/>
        </w:rPr>
        <w:t>плата, една инвестиција не се спроведувала според наведеното во договорот, во еден случај утврден</w:t>
      </w:r>
      <w:r w:rsidR="009B67B7">
        <w:rPr>
          <w:rFonts w:ascii="StobiSerif Regular" w:hAnsi="StobiSerif Regular"/>
        </w:rPr>
        <w:t>а</w:t>
      </w:r>
      <w:r w:rsidR="00204006">
        <w:rPr>
          <w:rFonts w:ascii="StobiSerif Regular" w:hAnsi="StobiSerif Regular"/>
        </w:rPr>
        <w:t xml:space="preserve"> е разлика во </w:t>
      </w:r>
      <w:r w:rsidR="009B67B7">
        <w:rPr>
          <w:rFonts w:ascii="StobiSerif Regular" w:hAnsi="StobiSerif Regular"/>
        </w:rPr>
        <w:t xml:space="preserve">опрема која е </w:t>
      </w:r>
      <w:r w:rsidR="00D54C03">
        <w:rPr>
          <w:rFonts w:ascii="StobiSerif Regular" w:hAnsi="StobiSerif Regular"/>
        </w:rPr>
        <w:t>набавена</w:t>
      </w:r>
      <w:r w:rsidR="009B67B7">
        <w:rPr>
          <w:rFonts w:ascii="StobiSerif Regular" w:hAnsi="StobiSerif Regular"/>
        </w:rPr>
        <w:t>,</w:t>
      </w:r>
      <w:r w:rsidR="000B3681">
        <w:rPr>
          <w:rFonts w:ascii="StobiSerif Regular" w:hAnsi="StobiSerif Regular"/>
        </w:rPr>
        <w:t xml:space="preserve"> еден корисник го раскинал договорот и еден договор е откажан по друг основ.</w:t>
      </w:r>
    </w:p>
    <w:p w:rsidR="00784CD1" w:rsidRPr="000B5E5D" w:rsidRDefault="000B3681" w:rsidP="00955E09">
      <w:pPr>
        <w:tabs>
          <w:tab w:val="left" w:pos="284"/>
        </w:tabs>
        <w:spacing w:before="120" w:after="120"/>
        <w:jc w:val="both"/>
        <w:rPr>
          <w:rFonts w:ascii="StobiSerif Regular" w:hAnsi="StobiSerif Regular"/>
          <w:lang w:val="en-US"/>
        </w:rPr>
      </w:pPr>
      <w:r w:rsidRPr="000B3681">
        <w:rPr>
          <w:rFonts w:ascii="StobiSerif Regular" w:hAnsi="StobiSerif Regular"/>
          <w:lang w:val="en-US"/>
        </w:rPr>
        <w:t>Во однос на</w:t>
      </w:r>
      <w:r w:rsidR="00D54C03">
        <w:rPr>
          <w:rFonts w:ascii="StobiSerif Regular" w:hAnsi="StobiSerif Regular"/>
        </w:rPr>
        <w:t xml:space="preserve"> исполнување на</w:t>
      </w:r>
      <w:r w:rsidRPr="000B3681">
        <w:rPr>
          <w:rFonts w:ascii="StobiSerif Regular" w:hAnsi="StobiSerif Regular"/>
          <w:lang w:val="en-US"/>
        </w:rPr>
        <w:t xml:space="preserve"> целите, задоволува само бројот на примени апликации кои се надминати за три апликации. Остварувањето на други</w:t>
      </w:r>
      <w:r>
        <w:rPr>
          <w:rFonts w:ascii="StobiSerif Regular" w:hAnsi="StobiSerif Regular"/>
        </w:rPr>
        <w:t>те</w:t>
      </w:r>
      <w:r w:rsidRPr="000B3681">
        <w:rPr>
          <w:rFonts w:ascii="StobiSerif Regular" w:hAnsi="StobiSerif Regular"/>
          <w:lang w:val="en-US"/>
        </w:rPr>
        <w:t xml:space="preserve"> цели е далеку од очекувано. </w:t>
      </w:r>
      <w:r>
        <w:rPr>
          <w:rFonts w:ascii="StobiSerif Regular" w:hAnsi="StobiSerif Regular"/>
        </w:rPr>
        <w:t>Нешто повеќе од</w:t>
      </w:r>
      <w:r w:rsidRPr="000B3681">
        <w:rPr>
          <w:rFonts w:ascii="StobiSerif Regular" w:hAnsi="StobiSerif Regular"/>
          <w:lang w:val="en-US"/>
        </w:rPr>
        <w:t xml:space="preserve"> една третина од предвидениот број на апликации </w:t>
      </w:r>
      <w:r>
        <w:rPr>
          <w:rFonts w:ascii="StobiSerif Regular" w:hAnsi="StobiSerif Regular"/>
        </w:rPr>
        <w:t>е</w:t>
      </w:r>
      <w:r w:rsidRPr="000B3681">
        <w:rPr>
          <w:rFonts w:ascii="StobiSerif Regular" w:hAnsi="StobiSerif Regular"/>
          <w:lang w:val="en-US"/>
        </w:rPr>
        <w:t xml:space="preserve"> одобре</w:t>
      </w:r>
      <w:r w:rsidR="000627F9">
        <w:rPr>
          <w:rFonts w:ascii="StobiSerif Regular" w:hAnsi="StobiSerif Regular"/>
          <w:lang w:val="en-US"/>
        </w:rPr>
        <w:t xml:space="preserve">на, а реализирани се само 21,7% од </w:t>
      </w:r>
      <w:r w:rsidRPr="000B3681">
        <w:rPr>
          <w:rFonts w:ascii="StobiSerif Regular" w:hAnsi="StobiSerif Regular"/>
          <w:lang w:val="en-US"/>
        </w:rPr>
        <w:t xml:space="preserve">претпријатија </w:t>
      </w:r>
      <w:r w:rsidR="000627F9" w:rsidRPr="000B3681">
        <w:rPr>
          <w:rFonts w:ascii="StobiSerif Regular" w:hAnsi="StobiSerif Regular"/>
          <w:lang w:val="en-US"/>
        </w:rPr>
        <w:t xml:space="preserve">кои беа предвидени за </w:t>
      </w:r>
      <w:r w:rsidRPr="000B3681">
        <w:rPr>
          <w:rFonts w:ascii="StobiSerif Regular" w:hAnsi="StobiSerif Regular"/>
          <w:lang w:val="en-US"/>
        </w:rPr>
        <w:t>за поддршка</w:t>
      </w:r>
      <w:r w:rsidR="00D700F4" w:rsidRPr="000B3681">
        <w:rPr>
          <w:rFonts w:ascii="StobiSerif Regular" w:hAnsi="StobiSerif Regular"/>
          <w:lang w:val="en-US"/>
        </w:rPr>
        <w:t>.</w:t>
      </w:r>
    </w:p>
    <w:p w:rsidR="00784CD1" w:rsidRPr="00677FC7" w:rsidRDefault="00F501C0" w:rsidP="00784CD1">
      <w:pPr>
        <w:spacing w:after="0"/>
        <w:rPr>
          <w:rFonts w:ascii="StobiSerif Regular" w:eastAsia="Times New Roman" w:hAnsi="StobiSerif Regular" w:cs="Times New Roman"/>
          <w:b/>
          <w:bCs/>
          <w:lang w:val="en-US"/>
        </w:rPr>
      </w:pPr>
      <w:bookmarkStart w:id="41" w:name="_Toc485394909"/>
      <w:r w:rsidRPr="00677FC7">
        <w:rPr>
          <w:rFonts w:ascii="StobiSerif Regular" w:eastAsia="Times New Roman" w:hAnsi="StobiSerif Regular" w:cs="Times New Roman"/>
          <w:b/>
          <w:lang w:eastAsia="zh-CN"/>
        </w:rPr>
        <w:t>Табела</w:t>
      </w:r>
      <w:r w:rsidR="006C55E6" w:rsidRPr="00677FC7">
        <w:rPr>
          <w:rFonts w:ascii="StobiSerif Regular" w:eastAsia="Times New Roman" w:hAnsi="StobiSerif Regular" w:cs="Times New Roman"/>
          <w:b/>
          <w:lang w:val="en-GB" w:eastAsia="zh-CN"/>
        </w:rPr>
        <w:t xml:space="preserve"> </w:t>
      </w:r>
      <w:r w:rsidR="006C55E6" w:rsidRPr="00677FC7">
        <w:rPr>
          <w:rFonts w:ascii="StobiSerif Regular" w:eastAsia="Times New Roman" w:hAnsi="StobiSerif Regular" w:cs="Times New Roman"/>
          <w:b/>
          <w:lang w:val="en-GB" w:eastAsia="zh-CN"/>
        </w:rPr>
        <w:fldChar w:fldCharType="begin"/>
      </w:r>
      <w:r w:rsidR="006C55E6" w:rsidRPr="00677FC7">
        <w:rPr>
          <w:rFonts w:ascii="StobiSerif Regular" w:eastAsia="Times New Roman" w:hAnsi="StobiSerif Regular" w:cs="Times New Roman"/>
          <w:b/>
          <w:lang w:val="en-GB" w:eastAsia="zh-CN"/>
        </w:rPr>
        <w:instrText xml:space="preserve"> SEQ Table \* ARABIC </w:instrText>
      </w:r>
      <w:r w:rsidR="006C55E6" w:rsidRPr="00677FC7">
        <w:rPr>
          <w:rFonts w:ascii="StobiSerif Regular" w:eastAsia="Times New Roman" w:hAnsi="StobiSerif Regular" w:cs="Times New Roman"/>
          <w:b/>
          <w:lang w:val="en-GB" w:eastAsia="zh-CN"/>
        </w:rPr>
        <w:fldChar w:fldCharType="separate"/>
      </w:r>
      <w:r w:rsidR="006C55E6" w:rsidRPr="00677FC7">
        <w:rPr>
          <w:rFonts w:ascii="StobiSerif Regular" w:eastAsia="Times New Roman" w:hAnsi="StobiSerif Regular" w:cs="Times New Roman"/>
          <w:b/>
          <w:noProof/>
          <w:lang w:val="en-GB" w:eastAsia="zh-CN"/>
        </w:rPr>
        <w:t>17</w:t>
      </w:r>
      <w:r w:rsidR="006C55E6" w:rsidRPr="00677FC7">
        <w:rPr>
          <w:rFonts w:ascii="StobiSerif Regular" w:eastAsia="Times New Roman" w:hAnsi="StobiSerif Regular" w:cs="Times New Roman"/>
          <w:b/>
          <w:lang w:val="en-GB" w:eastAsia="zh-CN"/>
        </w:rPr>
        <w:fldChar w:fldCharType="end"/>
      </w:r>
      <w:r w:rsidR="006C55E6" w:rsidRPr="00677FC7">
        <w:rPr>
          <w:rFonts w:ascii="StobiSerif Regular" w:eastAsia="Times New Roman" w:hAnsi="StobiSerif Regular" w:cs="Times New Roman"/>
          <w:b/>
          <w:lang w:val="en-GB" w:eastAsia="zh-CN"/>
        </w:rPr>
        <w:t xml:space="preserve">: </w:t>
      </w:r>
      <w:r w:rsidRPr="00677FC7">
        <w:rPr>
          <w:rFonts w:ascii="StobiSerif Regular" w:eastAsia="Times New Roman" w:hAnsi="StobiSerif Regular" w:cs="Times New Roman"/>
          <w:b/>
          <w:bCs/>
          <w:lang w:val="en-US"/>
        </w:rPr>
        <w:t>Излезни индикатори за М103</w:t>
      </w:r>
      <w:bookmarkEnd w:id="41"/>
    </w:p>
    <w:tbl>
      <w:tblPr>
        <w:tblW w:w="9087" w:type="dxa"/>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276"/>
        <w:gridCol w:w="1984"/>
        <w:gridCol w:w="1843"/>
        <w:gridCol w:w="1984"/>
      </w:tblGrid>
      <w:tr w:rsidR="00F501C0" w:rsidRPr="000B5E5D" w:rsidTr="00784CD1">
        <w:trPr>
          <w:trHeight w:val="300"/>
        </w:trPr>
        <w:tc>
          <w:tcPr>
            <w:tcW w:w="3276"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rsidR="00F501C0" w:rsidRPr="00A15D06" w:rsidRDefault="00F501C0" w:rsidP="00F501C0">
            <w:pPr>
              <w:spacing w:after="0" w:line="240" w:lineRule="auto"/>
              <w:rPr>
                <w:rFonts w:ascii="StobiSerif Regular" w:eastAsia="MS Mincho" w:hAnsi="StobiSerif Regular" w:cs="Arial"/>
                <w:b/>
                <w:bCs/>
                <w:sz w:val="18"/>
                <w:szCs w:val="18"/>
                <w:lang w:eastAsia="ja-JP"/>
              </w:rPr>
            </w:pPr>
            <w:r w:rsidRPr="00F501C0">
              <w:rPr>
                <w:rFonts w:ascii="StobiSerif Regular" w:eastAsia="MS Mincho" w:hAnsi="StobiSerif Regular" w:cs="Arial"/>
                <w:bCs/>
                <w:sz w:val="18"/>
                <w:szCs w:val="18"/>
                <w:lang w:val="en-US" w:eastAsia="ja-JP"/>
              </w:rPr>
              <w:t>Индикатор</w:t>
            </w:r>
          </w:p>
        </w:tc>
        <w:tc>
          <w:tcPr>
            <w:tcW w:w="1984" w:type="dxa"/>
            <w:tcBorders>
              <w:top w:val="double" w:sz="4" w:space="0" w:color="auto"/>
              <w:left w:val="double" w:sz="4" w:space="0" w:color="auto"/>
              <w:bottom w:val="double" w:sz="4" w:space="0" w:color="auto"/>
              <w:right w:val="double" w:sz="4" w:space="0" w:color="auto"/>
            </w:tcBorders>
            <w:shd w:val="clear" w:color="auto" w:fill="C6D9F1" w:themeFill="text2" w:themeFillTint="33"/>
            <w:noWrap/>
            <w:vAlign w:val="center"/>
          </w:tcPr>
          <w:p w:rsidR="00F501C0" w:rsidRPr="00F501C0" w:rsidRDefault="00F501C0" w:rsidP="00F501C0">
            <w:pPr>
              <w:spacing w:after="0" w:line="240" w:lineRule="auto"/>
              <w:jc w:val="center"/>
              <w:rPr>
                <w:rFonts w:ascii="StobiSerif Regular" w:eastAsia="MS Mincho" w:hAnsi="StobiSerif Regular" w:cs="Arial"/>
                <w:bCs/>
                <w:sz w:val="18"/>
                <w:szCs w:val="18"/>
                <w:lang w:val="en-US" w:eastAsia="ja-JP"/>
              </w:rPr>
            </w:pPr>
            <w:r w:rsidRPr="00F501C0">
              <w:rPr>
                <w:rFonts w:ascii="StobiSerif Regular" w:eastAsia="MS Mincho" w:hAnsi="StobiSerif Regular" w:cs="Arial"/>
                <w:bCs/>
                <w:sz w:val="18"/>
                <w:szCs w:val="18"/>
                <w:lang w:val="en-US" w:eastAsia="ja-JP"/>
              </w:rPr>
              <w:t>Цел</w:t>
            </w:r>
          </w:p>
        </w:tc>
        <w:tc>
          <w:tcPr>
            <w:tcW w:w="1843"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rsidR="00F501C0" w:rsidRPr="00F501C0" w:rsidRDefault="00F501C0" w:rsidP="00F501C0">
            <w:pPr>
              <w:spacing w:after="0" w:line="240" w:lineRule="auto"/>
              <w:jc w:val="center"/>
              <w:rPr>
                <w:rFonts w:ascii="StobiSerif Regular" w:eastAsia="MS Mincho" w:hAnsi="StobiSerif Regular" w:cs="Arial"/>
                <w:bCs/>
                <w:sz w:val="18"/>
                <w:szCs w:val="18"/>
                <w:lang w:val="en-US" w:eastAsia="ja-JP"/>
              </w:rPr>
            </w:pPr>
            <w:r w:rsidRPr="00F501C0">
              <w:rPr>
                <w:rFonts w:ascii="StobiSerif Regular" w:eastAsia="MS Mincho" w:hAnsi="StobiSerif Regular" w:cs="Arial"/>
                <w:bCs/>
                <w:sz w:val="18"/>
                <w:szCs w:val="18"/>
                <w:lang w:val="en-US" w:eastAsia="ja-JP"/>
              </w:rPr>
              <w:t>2016</w:t>
            </w:r>
          </w:p>
        </w:tc>
        <w:tc>
          <w:tcPr>
            <w:tcW w:w="1984"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rsidR="00F501C0" w:rsidRPr="00F501C0" w:rsidRDefault="00F501C0" w:rsidP="00F501C0">
            <w:pPr>
              <w:spacing w:after="0" w:line="240" w:lineRule="auto"/>
              <w:jc w:val="center"/>
              <w:rPr>
                <w:rFonts w:ascii="StobiSerif Regular" w:eastAsia="MS Mincho" w:hAnsi="StobiSerif Regular" w:cs="Arial"/>
                <w:bCs/>
                <w:sz w:val="18"/>
                <w:szCs w:val="18"/>
                <w:lang w:val="en-US" w:eastAsia="ja-JP"/>
              </w:rPr>
            </w:pPr>
            <w:r w:rsidRPr="00F501C0">
              <w:rPr>
                <w:rFonts w:ascii="StobiSerif Regular" w:eastAsia="MS Mincho" w:hAnsi="StobiSerif Regular" w:cs="Arial"/>
                <w:bCs/>
                <w:sz w:val="18"/>
                <w:szCs w:val="18"/>
                <w:lang w:val="en-US" w:eastAsia="ja-JP"/>
              </w:rPr>
              <w:t>% на имплементација</w:t>
            </w:r>
          </w:p>
        </w:tc>
      </w:tr>
      <w:tr w:rsidR="00F501C0" w:rsidRPr="000B5E5D" w:rsidTr="00EB78D6">
        <w:trPr>
          <w:trHeight w:val="300"/>
        </w:trPr>
        <w:tc>
          <w:tcPr>
            <w:tcW w:w="3276" w:type="dxa"/>
            <w:tcBorders>
              <w:top w:val="double" w:sz="4" w:space="0" w:color="auto"/>
              <w:left w:val="double" w:sz="4" w:space="0" w:color="auto"/>
              <w:bottom w:val="double" w:sz="4" w:space="0" w:color="auto"/>
              <w:right w:val="double" w:sz="4" w:space="0" w:color="auto"/>
            </w:tcBorders>
            <w:shd w:val="clear" w:color="auto" w:fill="auto"/>
          </w:tcPr>
          <w:p w:rsidR="00F501C0" w:rsidRPr="00A15D06" w:rsidRDefault="00F501C0" w:rsidP="006278AA">
            <w:pPr>
              <w:spacing w:after="0" w:line="240" w:lineRule="auto"/>
              <w:rPr>
                <w:rFonts w:ascii="StobiSerif Regular" w:eastAsia="MS Mincho" w:hAnsi="StobiSerif Regular" w:cs="Arial"/>
                <w:bCs/>
                <w:sz w:val="18"/>
                <w:szCs w:val="18"/>
                <w:lang w:eastAsia="ja-JP"/>
              </w:rPr>
            </w:pPr>
            <w:r w:rsidRPr="00A15D06">
              <w:rPr>
                <w:rFonts w:ascii="StobiSerif Regular" w:eastAsia="MS Mincho" w:hAnsi="StobiSerif Regular" w:cs="Arial"/>
                <w:bCs/>
                <w:sz w:val="18"/>
                <w:szCs w:val="18"/>
                <w:lang w:eastAsia="ja-JP"/>
              </w:rPr>
              <w:t>Примени апликации</w:t>
            </w:r>
          </w:p>
        </w:tc>
        <w:tc>
          <w:tcPr>
            <w:tcW w:w="1984" w:type="dxa"/>
            <w:tcBorders>
              <w:top w:val="double" w:sz="4" w:space="0" w:color="auto"/>
              <w:left w:val="double" w:sz="4" w:space="0" w:color="auto"/>
              <w:bottom w:val="double" w:sz="4" w:space="0" w:color="auto"/>
              <w:right w:val="double" w:sz="4" w:space="0" w:color="auto"/>
            </w:tcBorders>
            <w:shd w:val="clear" w:color="auto" w:fill="auto"/>
            <w:noWrap/>
          </w:tcPr>
          <w:p w:rsidR="00F501C0" w:rsidRPr="000B5E5D" w:rsidRDefault="00F501C0" w:rsidP="002C7FA3">
            <w:pPr>
              <w:spacing w:after="0" w:line="240" w:lineRule="auto"/>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190</w:t>
            </w:r>
          </w:p>
        </w:tc>
        <w:tc>
          <w:tcPr>
            <w:tcW w:w="1843" w:type="dxa"/>
            <w:tcBorders>
              <w:top w:val="double" w:sz="4" w:space="0" w:color="auto"/>
              <w:left w:val="double" w:sz="4" w:space="0" w:color="auto"/>
              <w:bottom w:val="double" w:sz="4" w:space="0" w:color="auto"/>
              <w:right w:val="double" w:sz="4" w:space="0" w:color="auto"/>
            </w:tcBorders>
            <w:vAlign w:val="center"/>
          </w:tcPr>
          <w:p w:rsidR="00F501C0" w:rsidRPr="000B5E5D" w:rsidRDefault="00F501C0" w:rsidP="00784CD1">
            <w:pPr>
              <w:spacing w:after="0"/>
              <w:jc w:val="right"/>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193</w:t>
            </w:r>
          </w:p>
        </w:tc>
        <w:tc>
          <w:tcPr>
            <w:tcW w:w="1984" w:type="dxa"/>
            <w:tcBorders>
              <w:top w:val="double" w:sz="4" w:space="0" w:color="auto"/>
              <w:left w:val="double" w:sz="4" w:space="0" w:color="auto"/>
              <w:bottom w:val="double" w:sz="4" w:space="0" w:color="auto"/>
              <w:right w:val="double" w:sz="4" w:space="0" w:color="auto"/>
            </w:tcBorders>
            <w:vAlign w:val="center"/>
          </w:tcPr>
          <w:p w:rsidR="00F501C0" w:rsidRPr="000B5E5D" w:rsidRDefault="00F501C0" w:rsidP="00784CD1">
            <w:pPr>
              <w:spacing w:after="0"/>
              <w:jc w:val="right"/>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101.5</w:t>
            </w:r>
          </w:p>
        </w:tc>
      </w:tr>
      <w:tr w:rsidR="00F501C0" w:rsidRPr="000B5E5D" w:rsidTr="00EB78D6">
        <w:trPr>
          <w:trHeight w:val="300"/>
        </w:trPr>
        <w:tc>
          <w:tcPr>
            <w:tcW w:w="3276" w:type="dxa"/>
            <w:tcBorders>
              <w:top w:val="double" w:sz="4" w:space="0" w:color="auto"/>
              <w:left w:val="double" w:sz="4" w:space="0" w:color="auto"/>
              <w:bottom w:val="double" w:sz="4" w:space="0" w:color="auto"/>
              <w:right w:val="double" w:sz="4" w:space="0" w:color="auto"/>
            </w:tcBorders>
            <w:shd w:val="clear" w:color="auto" w:fill="auto"/>
          </w:tcPr>
          <w:p w:rsidR="00F501C0" w:rsidRPr="00A15D06" w:rsidRDefault="00F501C0" w:rsidP="006278AA">
            <w:pPr>
              <w:spacing w:after="0" w:line="240" w:lineRule="auto"/>
              <w:rPr>
                <w:rFonts w:ascii="StobiSerif Regular" w:eastAsia="MS Mincho" w:hAnsi="StobiSerif Regular" w:cs="Arial"/>
                <w:bCs/>
                <w:sz w:val="18"/>
                <w:szCs w:val="18"/>
                <w:lang w:eastAsia="ja-JP"/>
              </w:rPr>
            </w:pPr>
            <w:r w:rsidRPr="00A15D06">
              <w:rPr>
                <w:rFonts w:ascii="StobiSerif Regular" w:eastAsia="MS Mincho" w:hAnsi="StobiSerif Regular" w:cs="Arial"/>
                <w:bCs/>
                <w:sz w:val="18"/>
                <w:szCs w:val="18"/>
                <w:lang w:eastAsia="ja-JP"/>
              </w:rPr>
              <w:t>Одобрени апликации</w:t>
            </w:r>
          </w:p>
        </w:tc>
        <w:tc>
          <w:tcPr>
            <w:tcW w:w="1984" w:type="dxa"/>
            <w:tcBorders>
              <w:top w:val="double" w:sz="4" w:space="0" w:color="auto"/>
              <w:left w:val="double" w:sz="4" w:space="0" w:color="auto"/>
              <w:bottom w:val="double" w:sz="4" w:space="0" w:color="auto"/>
              <w:right w:val="double" w:sz="4" w:space="0" w:color="auto"/>
            </w:tcBorders>
            <w:shd w:val="clear" w:color="auto" w:fill="auto"/>
            <w:noWrap/>
          </w:tcPr>
          <w:p w:rsidR="00F501C0" w:rsidRPr="000B5E5D" w:rsidRDefault="00F501C0" w:rsidP="002C7FA3">
            <w:pPr>
              <w:spacing w:after="0" w:line="240" w:lineRule="auto"/>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170</w:t>
            </w:r>
          </w:p>
        </w:tc>
        <w:tc>
          <w:tcPr>
            <w:tcW w:w="1843" w:type="dxa"/>
            <w:tcBorders>
              <w:top w:val="double" w:sz="4" w:space="0" w:color="auto"/>
              <w:left w:val="double" w:sz="4" w:space="0" w:color="auto"/>
              <w:bottom w:val="double" w:sz="4" w:space="0" w:color="auto"/>
              <w:right w:val="double" w:sz="4" w:space="0" w:color="auto"/>
            </w:tcBorders>
            <w:vAlign w:val="center"/>
          </w:tcPr>
          <w:p w:rsidR="00F501C0" w:rsidRPr="000B5E5D" w:rsidRDefault="00F501C0" w:rsidP="00784CD1">
            <w:pPr>
              <w:spacing w:after="0"/>
              <w:jc w:val="right"/>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65</w:t>
            </w:r>
          </w:p>
        </w:tc>
        <w:tc>
          <w:tcPr>
            <w:tcW w:w="1984" w:type="dxa"/>
            <w:tcBorders>
              <w:top w:val="double" w:sz="4" w:space="0" w:color="auto"/>
              <w:left w:val="double" w:sz="4" w:space="0" w:color="auto"/>
              <w:bottom w:val="double" w:sz="4" w:space="0" w:color="auto"/>
              <w:right w:val="double" w:sz="4" w:space="0" w:color="auto"/>
            </w:tcBorders>
            <w:vAlign w:val="center"/>
          </w:tcPr>
          <w:p w:rsidR="00F501C0" w:rsidRPr="000B5E5D" w:rsidRDefault="00F501C0" w:rsidP="00784CD1">
            <w:pPr>
              <w:spacing w:after="0"/>
              <w:jc w:val="right"/>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38.2</w:t>
            </w:r>
          </w:p>
        </w:tc>
      </w:tr>
      <w:tr w:rsidR="00F501C0" w:rsidRPr="000B5E5D" w:rsidTr="00EB78D6">
        <w:trPr>
          <w:trHeight w:val="300"/>
        </w:trPr>
        <w:tc>
          <w:tcPr>
            <w:tcW w:w="3276" w:type="dxa"/>
            <w:tcBorders>
              <w:top w:val="double" w:sz="4" w:space="0" w:color="auto"/>
              <w:left w:val="double" w:sz="4" w:space="0" w:color="auto"/>
              <w:bottom w:val="double" w:sz="4" w:space="0" w:color="auto"/>
              <w:right w:val="double" w:sz="4" w:space="0" w:color="auto"/>
            </w:tcBorders>
            <w:shd w:val="clear" w:color="auto" w:fill="auto"/>
          </w:tcPr>
          <w:p w:rsidR="00F501C0" w:rsidRPr="00A15D06" w:rsidRDefault="00F501C0" w:rsidP="006278AA">
            <w:pPr>
              <w:spacing w:after="0" w:line="240" w:lineRule="auto"/>
              <w:rPr>
                <w:rFonts w:ascii="StobiSerif Regular" w:eastAsia="MS Mincho" w:hAnsi="StobiSerif Regular" w:cs="Arial"/>
                <w:bCs/>
                <w:sz w:val="18"/>
                <w:szCs w:val="18"/>
                <w:lang w:eastAsia="ja-JP"/>
              </w:rPr>
            </w:pPr>
            <w:r w:rsidRPr="00A15D06">
              <w:rPr>
                <w:rFonts w:ascii="StobiSerif Regular" w:eastAsia="MS Mincho" w:hAnsi="StobiSerif Regular" w:cs="Arial"/>
                <w:bCs/>
                <w:sz w:val="18"/>
                <w:szCs w:val="18"/>
                <w:lang w:eastAsia="ja-JP"/>
              </w:rPr>
              <w:t>Подржани претпријатија</w:t>
            </w:r>
          </w:p>
        </w:tc>
        <w:tc>
          <w:tcPr>
            <w:tcW w:w="1984" w:type="dxa"/>
            <w:tcBorders>
              <w:top w:val="double" w:sz="4" w:space="0" w:color="auto"/>
              <w:left w:val="double" w:sz="4" w:space="0" w:color="auto"/>
              <w:bottom w:val="double" w:sz="4" w:space="0" w:color="auto"/>
              <w:right w:val="double" w:sz="4" w:space="0" w:color="auto"/>
            </w:tcBorders>
            <w:shd w:val="clear" w:color="auto" w:fill="auto"/>
            <w:noWrap/>
          </w:tcPr>
          <w:p w:rsidR="00F501C0" w:rsidRPr="000B5E5D" w:rsidRDefault="00F501C0" w:rsidP="002C7FA3">
            <w:pPr>
              <w:spacing w:after="0" w:line="240" w:lineRule="auto"/>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170</w:t>
            </w:r>
          </w:p>
        </w:tc>
        <w:tc>
          <w:tcPr>
            <w:tcW w:w="1843" w:type="dxa"/>
            <w:tcBorders>
              <w:top w:val="double" w:sz="4" w:space="0" w:color="auto"/>
              <w:left w:val="double" w:sz="4" w:space="0" w:color="auto"/>
              <w:bottom w:val="double" w:sz="4" w:space="0" w:color="auto"/>
              <w:right w:val="double" w:sz="4" w:space="0" w:color="auto"/>
            </w:tcBorders>
            <w:vAlign w:val="center"/>
          </w:tcPr>
          <w:p w:rsidR="00F501C0" w:rsidRPr="000B5E5D" w:rsidRDefault="00F501C0" w:rsidP="00784CD1">
            <w:pPr>
              <w:spacing w:after="0"/>
              <w:jc w:val="right"/>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37</w:t>
            </w:r>
          </w:p>
        </w:tc>
        <w:tc>
          <w:tcPr>
            <w:tcW w:w="1984" w:type="dxa"/>
            <w:tcBorders>
              <w:top w:val="double" w:sz="4" w:space="0" w:color="auto"/>
              <w:left w:val="double" w:sz="4" w:space="0" w:color="auto"/>
              <w:bottom w:val="double" w:sz="4" w:space="0" w:color="auto"/>
              <w:right w:val="double" w:sz="4" w:space="0" w:color="auto"/>
            </w:tcBorders>
            <w:vAlign w:val="center"/>
          </w:tcPr>
          <w:p w:rsidR="00F501C0" w:rsidRPr="000B5E5D" w:rsidRDefault="00F501C0" w:rsidP="00784CD1">
            <w:pPr>
              <w:spacing w:after="0"/>
              <w:jc w:val="right"/>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21.7</w:t>
            </w:r>
          </w:p>
        </w:tc>
      </w:tr>
      <w:tr w:rsidR="00F501C0" w:rsidRPr="000B5E5D" w:rsidTr="00EB78D6">
        <w:trPr>
          <w:trHeight w:val="300"/>
        </w:trPr>
        <w:tc>
          <w:tcPr>
            <w:tcW w:w="3276" w:type="dxa"/>
            <w:tcBorders>
              <w:top w:val="double" w:sz="4" w:space="0" w:color="auto"/>
              <w:left w:val="double" w:sz="4" w:space="0" w:color="auto"/>
              <w:bottom w:val="double" w:sz="4" w:space="0" w:color="auto"/>
              <w:right w:val="double" w:sz="4" w:space="0" w:color="auto"/>
            </w:tcBorders>
            <w:shd w:val="clear" w:color="auto" w:fill="auto"/>
          </w:tcPr>
          <w:p w:rsidR="00F501C0" w:rsidRPr="00A15D06" w:rsidRDefault="00F501C0" w:rsidP="006278AA">
            <w:pPr>
              <w:spacing w:after="0" w:line="240" w:lineRule="auto"/>
              <w:rPr>
                <w:rFonts w:ascii="StobiSerif Regular" w:eastAsia="MS Mincho" w:hAnsi="StobiSerif Regular" w:cs="Arial"/>
                <w:bCs/>
                <w:sz w:val="18"/>
                <w:szCs w:val="18"/>
                <w:lang w:eastAsia="ja-JP"/>
              </w:rPr>
            </w:pPr>
            <w:r w:rsidRPr="00A15D06">
              <w:rPr>
                <w:rFonts w:ascii="StobiSerif Regular" w:eastAsia="MS Mincho" w:hAnsi="StobiSerif Regular" w:cs="Arial"/>
                <w:bCs/>
                <w:sz w:val="18"/>
                <w:szCs w:val="18"/>
                <w:lang w:eastAsia="ja-JP"/>
              </w:rPr>
              <w:t>Вкупна сума на инвестиција</w:t>
            </w:r>
          </w:p>
        </w:tc>
        <w:tc>
          <w:tcPr>
            <w:tcW w:w="1984" w:type="dxa"/>
            <w:tcBorders>
              <w:top w:val="double" w:sz="4" w:space="0" w:color="auto"/>
              <w:left w:val="double" w:sz="4" w:space="0" w:color="auto"/>
              <w:bottom w:val="double" w:sz="4" w:space="0" w:color="auto"/>
              <w:right w:val="double" w:sz="4" w:space="0" w:color="auto"/>
            </w:tcBorders>
            <w:shd w:val="clear" w:color="auto" w:fill="auto"/>
            <w:noWrap/>
          </w:tcPr>
          <w:p w:rsidR="00F501C0" w:rsidRPr="000B5E5D" w:rsidRDefault="00F501C0" w:rsidP="00F501C0">
            <w:pPr>
              <w:spacing w:after="0" w:line="240" w:lineRule="auto"/>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 xml:space="preserve">37.9 </w:t>
            </w:r>
            <w:r>
              <w:rPr>
                <w:rFonts w:ascii="StobiSerif Regular" w:eastAsia="MS Mincho" w:hAnsi="StobiSerif Regular" w:cs="Arial"/>
                <w:bCs/>
                <w:sz w:val="18"/>
                <w:szCs w:val="18"/>
                <w:lang w:eastAsia="ja-JP"/>
              </w:rPr>
              <w:t>мил</w:t>
            </w:r>
            <w:r w:rsidRPr="000B5E5D">
              <w:rPr>
                <w:rFonts w:ascii="StobiSerif Regular" w:eastAsia="MS Mincho" w:hAnsi="StobiSerif Regular" w:cs="Arial"/>
                <w:bCs/>
                <w:sz w:val="18"/>
                <w:szCs w:val="18"/>
                <w:lang w:val="en-US" w:eastAsia="ja-JP"/>
              </w:rPr>
              <w:t>. EUR</w:t>
            </w:r>
          </w:p>
        </w:tc>
        <w:tc>
          <w:tcPr>
            <w:tcW w:w="1843" w:type="dxa"/>
            <w:tcBorders>
              <w:top w:val="double" w:sz="4" w:space="0" w:color="auto"/>
              <w:left w:val="double" w:sz="4" w:space="0" w:color="auto"/>
              <w:bottom w:val="double" w:sz="4" w:space="0" w:color="auto"/>
              <w:right w:val="double" w:sz="4" w:space="0" w:color="auto"/>
            </w:tcBorders>
            <w:vAlign w:val="center"/>
          </w:tcPr>
          <w:p w:rsidR="00F501C0" w:rsidRPr="000B5E5D" w:rsidRDefault="00F501C0" w:rsidP="00F501C0">
            <w:pPr>
              <w:spacing w:after="0"/>
              <w:jc w:val="right"/>
              <w:rPr>
                <w:rFonts w:ascii="StobiSerif Regular" w:eastAsia="MS Mincho" w:hAnsi="StobiSerif Regular" w:cs="Arial"/>
                <w:bCs/>
                <w:sz w:val="18"/>
                <w:szCs w:val="18"/>
                <w:lang w:eastAsia="ja-JP"/>
              </w:rPr>
            </w:pPr>
            <w:r w:rsidRPr="000B5E5D">
              <w:rPr>
                <w:rFonts w:ascii="StobiSerif Regular" w:eastAsia="MS Mincho" w:hAnsi="StobiSerif Regular" w:cs="Arial"/>
                <w:bCs/>
                <w:sz w:val="18"/>
                <w:szCs w:val="18"/>
                <w:lang w:val="en-US" w:eastAsia="ja-JP"/>
              </w:rPr>
              <w:t>20</w:t>
            </w:r>
            <w:r>
              <w:rPr>
                <w:rFonts w:ascii="StobiSerif Regular" w:eastAsia="MS Mincho" w:hAnsi="StobiSerif Regular" w:cs="Arial"/>
                <w:bCs/>
                <w:sz w:val="18"/>
                <w:szCs w:val="18"/>
                <w:lang w:eastAsia="ja-JP"/>
              </w:rPr>
              <w:t>мил</w:t>
            </w:r>
            <w:r w:rsidRPr="000B5E5D">
              <w:rPr>
                <w:rFonts w:ascii="StobiSerif Regular" w:eastAsia="MS Mincho" w:hAnsi="StobiSerif Regular" w:cs="Arial"/>
                <w:bCs/>
                <w:sz w:val="18"/>
                <w:szCs w:val="18"/>
                <w:lang w:val="en-US" w:eastAsia="ja-JP"/>
              </w:rPr>
              <w:t>. €</w:t>
            </w:r>
          </w:p>
        </w:tc>
        <w:tc>
          <w:tcPr>
            <w:tcW w:w="1984" w:type="dxa"/>
            <w:tcBorders>
              <w:top w:val="double" w:sz="4" w:space="0" w:color="auto"/>
              <w:left w:val="double" w:sz="4" w:space="0" w:color="auto"/>
              <w:bottom w:val="double" w:sz="4" w:space="0" w:color="auto"/>
              <w:right w:val="double" w:sz="4" w:space="0" w:color="auto"/>
            </w:tcBorders>
            <w:vAlign w:val="center"/>
          </w:tcPr>
          <w:p w:rsidR="00F501C0" w:rsidRPr="000B5E5D" w:rsidRDefault="00F501C0" w:rsidP="00784CD1">
            <w:pPr>
              <w:spacing w:after="0"/>
              <w:jc w:val="right"/>
              <w:rPr>
                <w:rFonts w:ascii="StobiSerif Regular" w:eastAsia="MS Mincho" w:hAnsi="StobiSerif Regular" w:cs="Arial"/>
                <w:bCs/>
                <w:sz w:val="18"/>
                <w:szCs w:val="18"/>
                <w:lang w:val="en-US" w:eastAsia="ja-JP"/>
              </w:rPr>
            </w:pPr>
            <w:r w:rsidRPr="000B5E5D">
              <w:rPr>
                <w:rFonts w:ascii="StobiSerif Regular" w:eastAsia="MS Mincho" w:hAnsi="StobiSerif Regular" w:cs="Arial"/>
                <w:bCs/>
                <w:sz w:val="18"/>
                <w:szCs w:val="18"/>
                <w:lang w:val="en-US" w:eastAsia="ja-JP"/>
              </w:rPr>
              <w:t>58.8%</w:t>
            </w:r>
          </w:p>
        </w:tc>
      </w:tr>
    </w:tbl>
    <w:p w:rsidR="00F501C0" w:rsidRDefault="00F501C0" w:rsidP="00F501C0">
      <w:pPr>
        <w:autoSpaceDE w:val="0"/>
        <w:autoSpaceDN w:val="0"/>
        <w:adjustRightInd w:val="0"/>
        <w:spacing w:after="0"/>
        <w:jc w:val="both"/>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Извор: Мониторинг систем  (2016)</w:t>
      </w:r>
    </w:p>
    <w:p w:rsidR="00EC17A6" w:rsidRDefault="00D54C03" w:rsidP="00784CD1">
      <w:pPr>
        <w:autoSpaceDE w:val="0"/>
        <w:autoSpaceDN w:val="0"/>
        <w:adjustRightInd w:val="0"/>
        <w:spacing w:before="120" w:after="0"/>
        <w:jc w:val="both"/>
        <w:rPr>
          <w:rFonts w:ascii="StobiSerif Regular" w:hAnsi="StobiSerif Regular"/>
          <w:color w:val="FF0000"/>
          <w:lang w:val="en-US"/>
        </w:rPr>
      </w:pPr>
      <w:r>
        <w:rPr>
          <w:rFonts w:ascii="StobiSerif Regular" w:hAnsi="StobiSerif Regular"/>
          <w:lang w:val="en-US"/>
        </w:rPr>
        <w:t>Вкупни</w:t>
      </w:r>
      <w:r>
        <w:rPr>
          <w:rFonts w:ascii="StobiSerif Regular" w:hAnsi="StobiSerif Regular"/>
        </w:rPr>
        <w:t xml:space="preserve">ите </w:t>
      </w:r>
      <w:r w:rsidR="00EC17A6" w:rsidRPr="00EC17A6">
        <w:rPr>
          <w:rFonts w:ascii="StobiSerif Regular" w:hAnsi="StobiSerif Regular"/>
          <w:lang w:val="en-US"/>
        </w:rPr>
        <w:t>прифатлив</w:t>
      </w:r>
      <w:r>
        <w:rPr>
          <w:rFonts w:ascii="StobiSerif Regular" w:hAnsi="StobiSerif Regular"/>
        </w:rPr>
        <w:t>и</w:t>
      </w:r>
      <w:r>
        <w:rPr>
          <w:rFonts w:ascii="StobiSerif Regular" w:hAnsi="StobiSerif Regular"/>
          <w:lang w:val="en-US"/>
        </w:rPr>
        <w:t xml:space="preserve"> трошо</w:t>
      </w:r>
      <w:r>
        <w:rPr>
          <w:rFonts w:ascii="StobiSerif Regular" w:hAnsi="StobiSerif Regular"/>
        </w:rPr>
        <w:t>ци</w:t>
      </w:r>
      <w:r w:rsidR="00EC17A6" w:rsidRPr="00EC17A6">
        <w:rPr>
          <w:rFonts w:ascii="StobiSerif Regular" w:hAnsi="StobiSerif Regular"/>
          <w:lang w:val="en-US"/>
        </w:rPr>
        <w:t xml:space="preserve"> за 65 одобрени проекти на крајот на 2016 година изнесува 20.001.597 € или 58,8%</w:t>
      </w:r>
      <w:r w:rsidR="00DD2663">
        <w:rPr>
          <w:rFonts w:ascii="StobiSerif Regular" w:hAnsi="StobiSerif Regular"/>
          <w:lang w:val="en-US"/>
        </w:rPr>
        <w:t xml:space="preserve"> </w:t>
      </w:r>
      <w:r w:rsidR="00DD2663">
        <w:rPr>
          <w:rFonts w:ascii="StobiSerif Regular" w:hAnsi="StobiSerif Regular"/>
        </w:rPr>
        <w:t>од предвиденото</w:t>
      </w:r>
      <w:r w:rsidR="00DD2663">
        <w:rPr>
          <w:rFonts w:ascii="StobiSerif Regular" w:hAnsi="StobiSerif Regular"/>
          <w:lang w:val="en-US"/>
        </w:rPr>
        <w:t>.</w:t>
      </w:r>
      <w:r w:rsidR="00DD2663">
        <w:rPr>
          <w:rFonts w:ascii="StobiSerif Regular" w:hAnsi="StobiSerif Regular"/>
        </w:rPr>
        <w:t xml:space="preserve"> </w:t>
      </w:r>
      <w:r w:rsidR="00EC17A6" w:rsidRPr="00EC17A6">
        <w:rPr>
          <w:rFonts w:ascii="StobiSerif Regular" w:hAnsi="StobiSerif Regular"/>
          <w:lang w:val="en-US"/>
        </w:rPr>
        <w:t xml:space="preserve">Просечната вредност на одобрената финансиска поддршка </w:t>
      </w:r>
      <w:r w:rsidR="00DD2663" w:rsidRPr="00EC17A6">
        <w:rPr>
          <w:rFonts w:ascii="StobiSerif Regular" w:hAnsi="StobiSerif Regular"/>
          <w:lang w:val="en-US"/>
        </w:rPr>
        <w:t xml:space="preserve">по проект </w:t>
      </w:r>
      <w:r w:rsidR="00EC17A6" w:rsidRPr="00EC17A6">
        <w:rPr>
          <w:rFonts w:ascii="StobiSerif Regular" w:hAnsi="StobiSerif Regular"/>
          <w:lang w:val="en-US"/>
        </w:rPr>
        <w:t>е 153.858 €.</w:t>
      </w:r>
    </w:p>
    <w:p w:rsidR="00784CD1" w:rsidRPr="00677FC7" w:rsidRDefault="00CE299E" w:rsidP="00784CD1">
      <w:pPr>
        <w:autoSpaceDE w:val="0"/>
        <w:autoSpaceDN w:val="0"/>
        <w:adjustRightInd w:val="0"/>
        <w:spacing w:before="120" w:after="0"/>
        <w:jc w:val="both"/>
        <w:rPr>
          <w:rFonts w:ascii="StobiSerif Regular" w:hAnsi="StobiSerif Regular"/>
          <w:b/>
          <w:lang w:val="en-US"/>
        </w:rPr>
      </w:pPr>
      <w:bookmarkStart w:id="42" w:name="_Toc485394910"/>
      <w:r w:rsidRPr="00677FC7">
        <w:rPr>
          <w:rFonts w:ascii="StobiSerif Regular" w:eastAsia="Times New Roman" w:hAnsi="StobiSerif Regular" w:cs="Times New Roman"/>
          <w:b/>
          <w:lang w:eastAsia="zh-CN"/>
        </w:rPr>
        <w:t>Табела</w:t>
      </w:r>
      <w:r w:rsidR="006C55E6" w:rsidRPr="00677FC7">
        <w:rPr>
          <w:rFonts w:ascii="StobiSerif Regular" w:eastAsia="Times New Roman" w:hAnsi="StobiSerif Regular" w:cs="Times New Roman"/>
          <w:b/>
          <w:lang w:val="en-GB" w:eastAsia="zh-CN"/>
        </w:rPr>
        <w:t xml:space="preserve"> </w:t>
      </w:r>
      <w:r w:rsidR="006C55E6" w:rsidRPr="00677FC7">
        <w:rPr>
          <w:rFonts w:ascii="StobiSerif Regular" w:eastAsia="Times New Roman" w:hAnsi="StobiSerif Regular" w:cs="Times New Roman"/>
          <w:b/>
          <w:lang w:val="en-GB" w:eastAsia="zh-CN"/>
        </w:rPr>
        <w:fldChar w:fldCharType="begin"/>
      </w:r>
      <w:r w:rsidR="006C55E6" w:rsidRPr="00677FC7">
        <w:rPr>
          <w:rFonts w:ascii="StobiSerif Regular" w:eastAsia="Times New Roman" w:hAnsi="StobiSerif Regular" w:cs="Times New Roman"/>
          <w:b/>
          <w:lang w:val="en-GB" w:eastAsia="zh-CN"/>
        </w:rPr>
        <w:instrText xml:space="preserve"> SEQ Table \* ARABIC </w:instrText>
      </w:r>
      <w:r w:rsidR="006C55E6" w:rsidRPr="00677FC7">
        <w:rPr>
          <w:rFonts w:ascii="StobiSerif Regular" w:eastAsia="Times New Roman" w:hAnsi="StobiSerif Regular" w:cs="Times New Roman"/>
          <w:b/>
          <w:lang w:val="en-GB" w:eastAsia="zh-CN"/>
        </w:rPr>
        <w:fldChar w:fldCharType="separate"/>
      </w:r>
      <w:r w:rsidR="006C55E6" w:rsidRPr="00677FC7">
        <w:rPr>
          <w:rFonts w:ascii="StobiSerif Regular" w:eastAsia="Times New Roman" w:hAnsi="StobiSerif Regular" w:cs="Times New Roman"/>
          <w:b/>
          <w:noProof/>
          <w:lang w:val="en-GB" w:eastAsia="zh-CN"/>
        </w:rPr>
        <w:t>18</w:t>
      </w:r>
      <w:r w:rsidR="006C55E6" w:rsidRPr="00677FC7">
        <w:rPr>
          <w:rFonts w:ascii="StobiSerif Regular" w:eastAsia="Times New Roman" w:hAnsi="StobiSerif Regular" w:cs="Times New Roman"/>
          <w:b/>
          <w:lang w:val="en-GB" w:eastAsia="zh-CN"/>
        </w:rPr>
        <w:fldChar w:fldCharType="end"/>
      </w:r>
      <w:r w:rsidR="006C55E6" w:rsidRPr="00677FC7">
        <w:rPr>
          <w:rFonts w:ascii="StobiSerif Regular" w:eastAsia="Times New Roman" w:hAnsi="StobiSerif Regular" w:cs="Times New Roman"/>
          <w:b/>
          <w:lang w:val="en-GB" w:eastAsia="zh-CN"/>
        </w:rPr>
        <w:t xml:space="preserve">: </w:t>
      </w:r>
      <w:r w:rsidRPr="00677FC7">
        <w:rPr>
          <w:rFonts w:ascii="StobiSerif Regular" w:hAnsi="StobiSerif Regular"/>
          <w:b/>
        </w:rPr>
        <w:t>Специфичните индикатори според исплатени проекти во M103</w:t>
      </w:r>
      <w:bookmarkEnd w:id="42"/>
    </w:p>
    <w:tbl>
      <w:tblPr>
        <w:tblStyle w:val="TableGrid5"/>
        <w:tblW w:w="921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EEEF8"/>
        <w:tblLook w:val="04A0" w:firstRow="1" w:lastRow="0" w:firstColumn="1" w:lastColumn="0" w:noHBand="0" w:noVBand="1"/>
      </w:tblPr>
      <w:tblGrid>
        <w:gridCol w:w="5103"/>
        <w:gridCol w:w="1276"/>
        <w:gridCol w:w="2835"/>
      </w:tblGrid>
      <w:tr w:rsidR="00CE299E" w:rsidRPr="000B5E5D" w:rsidTr="00784CD1">
        <w:tc>
          <w:tcPr>
            <w:tcW w:w="5103" w:type="dxa"/>
            <w:shd w:val="clear" w:color="auto" w:fill="BEEEF8"/>
          </w:tcPr>
          <w:p w:rsidR="00CE299E" w:rsidRPr="00CE299E" w:rsidRDefault="00CE299E" w:rsidP="00CE299E">
            <w:pPr>
              <w:rPr>
                <w:rFonts w:ascii="StobiSerif Regular" w:eastAsia="MS Mincho" w:hAnsi="StobiSerif Regular" w:cs="Arial"/>
                <w:bCs/>
                <w:sz w:val="18"/>
                <w:szCs w:val="18"/>
                <w:lang w:eastAsia="ja-JP"/>
              </w:rPr>
            </w:pPr>
            <w:r w:rsidRPr="00CE299E">
              <w:rPr>
                <w:rFonts w:ascii="StobiSerif Regular" w:eastAsia="MS Mincho" w:hAnsi="StobiSerif Regular" w:cs="Arial"/>
                <w:bCs/>
                <w:sz w:val="18"/>
                <w:szCs w:val="18"/>
                <w:lang w:eastAsia="ja-JP"/>
              </w:rPr>
              <w:t xml:space="preserve">Индикатори </w:t>
            </w:r>
          </w:p>
        </w:tc>
        <w:tc>
          <w:tcPr>
            <w:tcW w:w="1276" w:type="dxa"/>
            <w:shd w:val="clear" w:color="auto" w:fill="BEEEF8"/>
          </w:tcPr>
          <w:p w:rsidR="00CE299E" w:rsidRPr="00CE299E" w:rsidRDefault="00CE299E" w:rsidP="00CE299E">
            <w:pPr>
              <w:rPr>
                <w:rFonts w:ascii="StobiSerif Regular" w:eastAsia="MS Mincho" w:hAnsi="StobiSerif Regular" w:cs="Arial"/>
                <w:bCs/>
                <w:sz w:val="18"/>
                <w:szCs w:val="18"/>
                <w:lang w:eastAsia="ja-JP"/>
              </w:rPr>
            </w:pPr>
            <w:r w:rsidRPr="00CE299E">
              <w:rPr>
                <w:rFonts w:ascii="StobiSerif Regular" w:eastAsia="MS Mincho" w:hAnsi="StobiSerif Regular" w:cs="Arial"/>
                <w:bCs/>
                <w:sz w:val="18"/>
                <w:szCs w:val="18"/>
                <w:lang w:eastAsia="ja-JP"/>
              </w:rPr>
              <w:t>Цел</w:t>
            </w:r>
          </w:p>
        </w:tc>
        <w:tc>
          <w:tcPr>
            <w:tcW w:w="2835" w:type="dxa"/>
            <w:shd w:val="clear" w:color="auto" w:fill="BEEEF8"/>
          </w:tcPr>
          <w:p w:rsidR="00CE299E" w:rsidRPr="00CE299E" w:rsidRDefault="00CE299E" w:rsidP="00CE299E">
            <w:pPr>
              <w:rPr>
                <w:rFonts w:ascii="StobiSerif Regular" w:eastAsia="MS Mincho" w:hAnsi="StobiSerif Regular" w:cs="Arial"/>
                <w:bCs/>
                <w:sz w:val="18"/>
                <w:szCs w:val="18"/>
                <w:lang w:eastAsia="ja-JP"/>
              </w:rPr>
            </w:pPr>
            <w:r w:rsidRPr="00CE299E">
              <w:rPr>
                <w:rFonts w:ascii="StobiSerif Regular" w:eastAsia="MS Mincho" w:hAnsi="StobiSerif Regular" w:cs="Arial"/>
                <w:bCs/>
                <w:sz w:val="18"/>
                <w:szCs w:val="18"/>
                <w:lang w:eastAsia="ja-JP"/>
              </w:rPr>
              <w:t>2016</w:t>
            </w:r>
          </w:p>
        </w:tc>
      </w:tr>
      <w:tr w:rsidR="00CE299E" w:rsidRPr="000B5E5D" w:rsidTr="00784CD1">
        <w:tc>
          <w:tcPr>
            <w:tcW w:w="5103" w:type="dxa"/>
            <w:shd w:val="clear" w:color="auto" w:fill="BEEEF8"/>
          </w:tcPr>
          <w:p w:rsidR="00CE299E" w:rsidRPr="00CE299E" w:rsidRDefault="00CE299E" w:rsidP="00CE299E">
            <w:pPr>
              <w:rPr>
                <w:rFonts w:ascii="StobiSerif Regular" w:eastAsia="MS Mincho" w:hAnsi="StobiSerif Regular" w:cs="Arial"/>
                <w:bCs/>
                <w:sz w:val="18"/>
                <w:szCs w:val="18"/>
                <w:lang w:eastAsia="ja-JP"/>
              </w:rPr>
            </w:pPr>
            <w:r w:rsidRPr="00CE299E">
              <w:rPr>
                <w:rFonts w:ascii="StobiSerif Regular" w:eastAsia="MS Mincho" w:hAnsi="StobiSerif Regular" w:cs="Arial"/>
                <w:bCs/>
                <w:sz w:val="18"/>
                <w:szCs w:val="18"/>
                <w:lang w:eastAsia="ja-JP"/>
              </w:rPr>
              <w:t xml:space="preserve">Модернизирани претпријатија од вкупниот број на регистрирани претпријатија во приоритетните сектори опфатени со оваа мерка </w:t>
            </w:r>
          </w:p>
        </w:tc>
        <w:tc>
          <w:tcPr>
            <w:tcW w:w="1276" w:type="dxa"/>
            <w:shd w:val="clear" w:color="auto" w:fill="BEEEF8"/>
          </w:tcPr>
          <w:p w:rsidR="00CE299E" w:rsidRPr="000B5E5D" w:rsidRDefault="00CE299E" w:rsidP="00784CD1">
            <w:pPr>
              <w:autoSpaceDE w:val="0"/>
              <w:autoSpaceDN w:val="0"/>
              <w:adjustRightInd w:val="0"/>
              <w:jc w:val="both"/>
              <w:rPr>
                <w:rFonts w:ascii="StobiSerif Regular" w:hAnsi="StobiSerif Regular"/>
                <w:sz w:val="18"/>
                <w:szCs w:val="18"/>
                <w:lang w:val="en-GB"/>
              </w:rPr>
            </w:pPr>
            <w:r>
              <w:rPr>
                <w:rFonts w:ascii="StobiSerif Regular" w:hAnsi="StobiSerif Regular"/>
                <w:sz w:val="18"/>
                <w:szCs w:val="18"/>
              </w:rPr>
              <w:t>прибл</w:t>
            </w:r>
            <w:r w:rsidRPr="000B5E5D">
              <w:rPr>
                <w:rFonts w:ascii="StobiSerif Regular" w:hAnsi="StobiSerif Regular"/>
                <w:sz w:val="18"/>
                <w:szCs w:val="18"/>
                <w:lang w:val="en-GB"/>
              </w:rPr>
              <w:t>. 80%</w:t>
            </w:r>
          </w:p>
        </w:tc>
        <w:tc>
          <w:tcPr>
            <w:tcW w:w="2835" w:type="dxa"/>
            <w:shd w:val="clear" w:color="auto" w:fill="F1FA98"/>
          </w:tcPr>
          <w:p w:rsidR="00CE299E" w:rsidRPr="000B5E5D" w:rsidRDefault="00CE299E" w:rsidP="0080641A">
            <w:pPr>
              <w:autoSpaceDE w:val="0"/>
              <w:autoSpaceDN w:val="0"/>
              <w:adjustRightInd w:val="0"/>
              <w:rPr>
                <w:rFonts w:ascii="StobiSerif Regular" w:hAnsi="StobiSerif Regular"/>
                <w:sz w:val="18"/>
                <w:szCs w:val="18"/>
                <w:lang w:val="en-GB"/>
              </w:rPr>
            </w:pPr>
            <w:r w:rsidRPr="000B5E5D">
              <w:rPr>
                <w:rFonts w:ascii="StobiSerif Regular" w:hAnsi="StobiSerif Regular"/>
                <w:sz w:val="18"/>
                <w:szCs w:val="18"/>
                <w:lang w:val="en-GB"/>
              </w:rPr>
              <w:t xml:space="preserve">65 </w:t>
            </w:r>
            <w:r w:rsidR="0080641A">
              <w:rPr>
                <w:rFonts w:ascii="StobiSerif Regular" w:hAnsi="StobiSerif Regular"/>
                <w:sz w:val="18"/>
                <w:szCs w:val="18"/>
              </w:rPr>
              <w:t>од</w:t>
            </w:r>
            <w:r w:rsidRPr="000B5E5D">
              <w:rPr>
                <w:rFonts w:ascii="StobiSerif Regular" w:hAnsi="StobiSerif Regular"/>
                <w:sz w:val="18"/>
                <w:szCs w:val="18"/>
                <w:lang w:val="en-GB"/>
              </w:rPr>
              <w:t xml:space="preserve"> 540 </w:t>
            </w:r>
            <w:r w:rsidR="0080641A" w:rsidRPr="0080641A">
              <w:rPr>
                <w:rFonts w:ascii="StobiSerif Regular" w:hAnsi="StobiSerif Regular"/>
                <w:sz w:val="18"/>
                <w:szCs w:val="18"/>
                <w:lang w:val="en-GB"/>
              </w:rPr>
              <w:t xml:space="preserve">регистрирани оператори со храна </w:t>
            </w:r>
            <w:r w:rsidRPr="000B5E5D">
              <w:rPr>
                <w:rFonts w:ascii="StobiSerif Regular" w:hAnsi="StobiSerif Regular"/>
                <w:sz w:val="18"/>
                <w:szCs w:val="18"/>
                <w:lang w:val="en-GB"/>
              </w:rPr>
              <w:t>(12%)</w:t>
            </w:r>
          </w:p>
        </w:tc>
      </w:tr>
      <w:tr w:rsidR="00CE299E" w:rsidRPr="000B5E5D" w:rsidTr="00784CD1">
        <w:tc>
          <w:tcPr>
            <w:tcW w:w="5103" w:type="dxa"/>
            <w:shd w:val="clear" w:color="auto" w:fill="BEEEF8"/>
          </w:tcPr>
          <w:p w:rsidR="00CE299E" w:rsidRPr="00CE299E" w:rsidRDefault="00CE299E" w:rsidP="00CE299E">
            <w:pPr>
              <w:rPr>
                <w:rFonts w:ascii="StobiSerif Regular" w:eastAsia="MS Mincho" w:hAnsi="StobiSerif Regular" w:cs="Arial"/>
                <w:bCs/>
                <w:sz w:val="18"/>
                <w:szCs w:val="18"/>
                <w:lang w:eastAsia="ja-JP"/>
              </w:rPr>
            </w:pPr>
            <w:r w:rsidRPr="00CE299E">
              <w:rPr>
                <w:rFonts w:ascii="StobiSerif Regular" w:eastAsia="MS Mincho" w:hAnsi="StobiSerif Regular" w:cs="Arial"/>
                <w:bCs/>
                <w:sz w:val="18"/>
                <w:szCs w:val="18"/>
                <w:lang w:eastAsia="ja-JP"/>
              </w:rPr>
              <w:t xml:space="preserve">Реконструерани калници во согласност со стандардите на Заедницата од вкупно регистрирани кланици </w:t>
            </w:r>
          </w:p>
        </w:tc>
        <w:tc>
          <w:tcPr>
            <w:tcW w:w="1276" w:type="dxa"/>
            <w:shd w:val="clear" w:color="auto" w:fill="BEEEF8"/>
          </w:tcPr>
          <w:p w:rsidR="00CE299E" w:rsidRPr="000B5E5D" w:rsidRDefault="0080641A" w:rsidP="00784CD1">
            <w:pPr>
              <w:autoSpaceDE w:val="0"/>
              <w:autoSpaceDN w:val="0"/>
              <w:adjustRightInd w:val="0"/>
              <w:jc w:val="both"/>
              <w:rPr>
                <w:rFonts w:ascii="StobiSerif Regular" w:hAnsi="StobiSerif Regular"/>
                <w:sz w:val="18"/>
                <w:szCs w:val="18"/>
                <w:lang w:val="en-GB"/>
              </w:rPr>
            </w:pPr>
            <w:r w:rsidRPr="0080641A">
              <w:rPr>
                <w:rFonts w:ascii="StobiSerif Regular" w:hAnsi="StobiSerif Regular"/>
                <w:sz w:val="18"/>
                <w:szCs w:val="18"/>
                <w:lang w:val="en-GB"/>
              </w:rPr>
              <w:t>прибл.</w:t>
            </w:r>
            <w:r w:rsidR="00CE299E" w:rsidRPr="000B5E5D">
              <w:rPr>
                <w:rFonts w:ascii="StobiSerif Regular" w:hAnsi="StobiSerif Regular"/>
                <w:sz w:val="18"/>
                <w:szCs w:val="18"/>
                <w:lang w:val="en-GB"/>
              </w:rPr>
              <w:t xml:space="preserve"> 90%</w:t>
            </w:r>
          </w:p>
        </w:tc>
        <w:tc>
          <w:tcPr>
            <w:tcW w:w="2835" w:type="dxa"/>
            <w:shd w:val="clear" w:color="auto" w:fill="F1FA98"/>
          </w:tcPr>
          <w:p w:rsidR="00CE299E" w:rsidRPr="000B5E5D" w:rsidRDefault="00CE299E" w:rsidP="00E13C51">
            <w:pPr>
              <w:autoSpaceDE w:val="0"/>
              <w:autoSpaceDN w:val="0"/>
              <w:adjustRightInd w:val="0"/>
              <w:rPr>
                <w:rFonts w:ascii="StobiSerif Regular" w:hAnsi="StobiSerif Regular"/>
                <w:sz w:val="18"/>
                <w:szCs w:val="18"/>
              </w:rPr>
            </w:pPr>
            <w:r w:rsidRPr="000B5E5D">
              <w:rPr>
                <w:rFonts w:ascii="StobiSerif Regular" w:hAnsi="StobiSerif Regular"/>
                <w:sz w:val="18"/>
                <w:szCs w:val="18"/>
                <w:lang w:val="en-US"/>
              </w:rPr>
              <w:t>4</w:t>
            </w:r>
            <w:r w:rsidRPr="000B5E5D">
              <w:rPr>
                <w:rFonts w:ascii="StobiSerif Regular" w:hAnsi="StobiSerif Regular"/>
                <w:sz w:val="18"/>
                <w:szCs w:val="18"/>
              </w:rPr>
              <w:t xml:space="preserve"> </w:t>
            </w:r>
            <w:r w:rsidRPr="000B5E5D">
              <w:rPr>
                <w:rFonts w:ascii="StobiSerif Regular" w:hAnsi="StobiSerif Regular"/>
                <w:sz w:val="18"/>
                <w:szCs w:val="18"/>
                <w:lang w:val="en-US"/>
              </w:rPr>
              <w:t>of</w:t>
            </w:r>
            <w:r w:rsidRPr="000B5E5D">
              <w:rPr>
                <w:rFonts w:ascii="StobiSerif Regular" w:hAnsi="StobiSerif Regular"/>
                <w:sz w:val="18"/>
                <w:szCs w:val="18"/>
              </w:rPr>
              <w:t xml:space="preserve"> 21 </w:t>
            </w:r>
            <w:r w:rsidR="0080641A" w:rsidRPr="0080641A">
              <w:rPr>
                <w:rFonts w:ascii="StobiSerif Regular" w:hAnsi="StobiSerif Regular"/>
                <w:sz w:val="18"/>
                <w:szCs w:val="18"/>
                <w:lang w:val="en-US"/>
              </w:rPr>
              <w:t xml:space="preserve">регистрирани кланици </w:t>
            </w:r>
            <w:r w:rsidRPr="000B5E5D">
              <w:rPr>
                <w:rFonts w:ascii="StobiSerif Regular" w:hAnsi="StobiSerif Regular"/>
                <w:sz w:val="18"/>
                <w:szCs w:val="18"/>
              </w:rPr>
              <w:t>(</w:t>
            </w:r>
            <w:r w:rsidRPr="000B5E5D">
              <w:rPr>
                <w:rFonts w:ascii="StobiSerif Regular" w:hAnsi="StobiSerif Regular"/>
                <w:sz w:val="18"/>
                <w:szCs w:val="18"/>
                <w:lang w:val="en-US"/>
              </w:rPr>
              <w:t>19%</w:t>
            </w:r>
            <w:r w:rsidRPr="000B5E5D">
              <w:rPr>
                <w:rFonts w:ascii="StobiSerif Regular" w:hAnsi="StobiSerif Regular"/>
                <w:sz w:val="18"/>
                <w:szCs w:val="18"/>
              </w:rPr>
              <w:t>)</w:t>
            </w:r>
          </w:p>
        </w:tc>
      </w:tr>
      <w:tr w:rsidR="00CE299E" w:rsidRPr="000B5E5D" w:rsidTr="00784CD1">
        <w:tc>
          <w:tcPr>
            <w:tcW w:w="5103" w:type="dxa"/>
            <w:shd w:val="clear" w:color="auto" w:fill="BEEEF8"/>
          </w:tcPr>
          <w:p w:rsidR="00CE299E" w:rsidRPr="00CE299E" w:rsidRDefault="00CE299E" w:rsidP="00CE299E">
            <w:pPr>
              <w:rPr>
                <w:rFonts w:ascii="StobiSerif Regular" w:eastAsia="MS Mincho" w:hAnsi="StobiSerif Regular" w:cs="Arial"/>
                <w:bCs/>
                <w:sz w:val="18"/>
                <w:szCs w:val="18"/>
                <w:lang w:eastAsia="ja-JP"/>
              </w:rPr>
            </w:pPr>
            <w:r w:rsidRPr="00CE299E">
              <w:rPr>
                <w:rFonts w:ascii="StobiSerif Regular" w:eastAsia="MS Mincho" w:hAnsi="StobiSerif Regular" w:cs="Arial"/>
                <w:bCs/>
                <w:sz w:val="18"/>
                <w:szCs w:val="18"/>
                <w:lang w:eastAsia="ja-JP"/>
              </w:rPr>
              <w:t>Подржани производители на млеко и млечни производи за подобрување на хигиена на производство од вкупниот број на регистрирани производители на млеко и млечни производи</w:t>
            </w:r>
          </w:p>
        </w:tc>
        <w:tc>
          <w:tcPr>
            <w:tcW w:w="1276" w:type="dxa"/>
            <w:shd w:val="clear" w:color="auto" w:fill="BEEEF8"/>
          </w:tcPr>
          <w:p w:rsidR="00CE299E" w:rsidRPr="000B5E5D" w:rsidRDefault="0080641A" w:rsidP="00784CD1">
            <w:pPr>
              <w:autoSpaceDE w:val="0"/>
              <w:autoSpaceDN w:val="0"/>
              <w:adjustRightInd w:val="0"/>
              <w:jc w:val="both"/>
              <w:rPr>
                <w:rFonts w:ascii="StobiSerif Regular" w:hAnsi="StobiSerif Regular"/>
                <w:sz w:val="18"/>
                <w:szCs w:val="18"/>
                <w:lang w:val="en-GB"/>
              </w:rPr>
            </w:pPr>
            <w:r w:rsidRPr="0080641A">
              <w:rPr>
                <w:rFonts w:ascii="StobiSerif Regular" w:hAnsi="StobiSerif Regular"/>
                <w:sz w:val="18"/>
                <w:szCs w:val="18"/>
                <w:lang w:val="en-GB"/>
              </w:rPr>
              <w:t>прибл.</w:t>
            </w:r>
            <w:r w:rsidR="00CE299E" w:rsidRPr="000B5E5D">
              <w:rPr>
                <w:rFonts w:ascii="StobiSerif Regular" w:hAnsi="StobiSerif Regular"/>
                <w:sz w:val="18"/>
                <w:szCs w:val="18"/>
                <w:lang w:val="en-GB"/>
              </w:rPr>
              <w:t xml:space="preserve"> 70%</w:t>
            </w:r>
          </w:p>
        </w:tc>
        <w:tc>
          <w:tcPr>
            <w:tcW w:w="2835" w:type="dxa"/>
            <w:shd w:val="clear" w:color="auto" w:fill="F1FA98"/>
          </w:tcPr>
          <w:p w:rsidR="00CE299E" w:rsidRPr="000B5E5D" w:rsidRDefault="00CE299E" w:rsidP="00965686">
            <w:pPr>
              <w:autoSpaceDE w:val="0"/>
              <w:autoSpaceDN w:val="0"/>
              <w:adjustRightInd w:val="0"/>
              <w:rPr>
                <w:rFonts w:ascii="StobiSerif Regular" w:hAnsi="StobiSerif Regular"/>
                <w:sz w:val="18"/>
                <w:szCs w:val="18"/>
              </w:rPr>
            </w:pPr>
            <w:r w:rsidRPr="000B5E5D">
              <w:rPr>
                <w:rFonts w:ascii="StobiSerif Regular" w:hAnsi="StobiSerif Regular"/>
                <w:sz w:val="18"/>
                <w:szCs w:val="18"/>
                <w:lang w:val="en-GB"/>
              </w:rPr>
              <w:t>1</w:t>
            </w:r>
            <w:r>
              <w:rPr>
                <w:rFonts w:ascii="StobiSerif Regular" w:hAnsi="StobiSerif Regular"/>
                <w:sz w:val="18"/>
                <w:szCs w:val="18"/>
                <w:lang w:val="en-GB"/>
              </w:rPr>
              <w:t>0</w:t>
            </w:r>
            <w:r w:rsidRPr="000B5E5D">
              <w:rPr>
                <w:rFonts w:ascii="StobiSerif Regular" w:hAnsi="StobiSerif Regular"/>
                <w:sz w:val="18"/>
                <w:szCs w:val="18"/>
                <w:lang w:val="en-GB"/>
              </w:rPr>
              <w:t xml:space="preserve"> </w:t>
            </w:r>
            <w:r w:rsidR="0080641A" w:rsidRPr="0080641A">
              <w:rPr>
                <w:rFonts w:ascii="StobiSerif Regular" w:hAnsi="StobiSerif Regular"/>
                <w:sz w:val="18"/>
                <w:szCs w:val="18"/>
                <w:lang w:val="en-GB"/>
              </w:rPr>
              <w:t xml:space="preserve">од 80 регистрирани производители на млеко и млечни производи </w:t>
            </w:r>
            <w:r w:rsidRPr="000B5E5D">
              <w:rPr>
                <w:rFonts w:ascii="StobiSerif Regular" w:hAnsi="StobiSerif Regular"/>
                <w:sz w:val="18"/>
                <w:szCs w:val="18"/>
                <w:lang w:val="en-GB"/>
              </w:rPr>
              <w:t>(</w:t>
            </w:r>
            <w:r>
              <w:rPr>
                <w:rFonts w:ascii="StobiSerif Regular" w:hAnsi="StobiSerif Regular"/>
                <w:sz w:val="18"/>
                <w:szCs w:val="18"/>
                <w:lang w:val="en-GB"/>
              </w:rPr>
              <w:t>12.5</w:t>
            </w:r>
            <w:r w:rsidRPr="000B5E5D">
              <w:rPr>
                <w:rFonts w:ascii="StobiSerif Regular" w:hAnsi="StobiSerif Regular"/>
                <w:sz w:val="18"/>
                <w:szCs w:val="18"/>
                <w:lang w:val="en-GB"/>
              </w:rPr>
              <w:t>%)</w:t>
            </w:r>
          </w:p>
        </w:tc>
      </w:tr>
    </w:tbl>
    <w:p w:rsidR="00784CD1" w:rsidRPr="000B5E5D" w:rsidRDefault="0080641A" w:rsidP="00784CD1">
      <w:pPr>
        <w:autoSpaceDE w:val="0"/>
        <w:autoSpaceDN w:val="0"/>
        <w:adjustRightInd w:val="0"/>
        <w:spacing w:before="120" w:after="120"/>
        <w:jc w:val="both"/>
        <w:rPr>
          <w:rFonts w:ascii="StobiSerif Regular" w:hAnsi="StobiSerif Regular"/>
          <w:sz w:val="16"/>
          <w:szCs w:val="16"/>
          <w:lang w:val="en-US"/>
        </w:rPr>
      </w:pPr>
      <w:r>
        <w:rPr>
          <w:rFonts w:ascii="StobiSerif Regular" w:eastAsia="Times New Roman" w:hAnsi="StobiSerif Regular" w:cs="Times New Roman"/>
          <w:sz w:val="16"/>
          <w:szCs w:val="16"/>
          <w:lang w:eastAsia="mk-MK"/>
        </w:rPr>
        <w:t>Извор: Мониторинг систем  (2016)</w:t>
      </w:r>
      <w:r w:rsidR="00E13C51" w:rsidRPr="000B5E5D">
        <w:rPr>
          <w:rFonts w:ascii="StobiSerif Regular" w:hAnsi="StobiSerif Regular"/>
          <w:sz w:val="16"/>
          <w:szCs w:val="16"/>
          <w:lang w:val="en-US"/>
        </w:rPr>
        <w:t>,</w:t>
      </w:r>
      <w:r>
        <w:rPr>
          <w:rFonts w:ascii="StobiSerif Regular" w:hAnsi="StobiSerif Regular"/>
          <w:sz w:val="16"/>
          <w:szCs w:val="16"/>
        </w:rPr>
        <w:t>ДЗС</w:t>
      </w:r>
      <w:r w:rsidR="00E13C51" w:rsidRPr="000B5E5D">
        <w:rPr>
          <w:rFonts w:ascii="StobiSerif Regular" w:hAnsi="StobiSerif Regular"/>
          <w:sz w:val="16"/>
          <w:szCs w:val="16"/>
          <w:lang w:val="en-US"/>
        </w:rPr>
        <w:t>,</w:t>
      </w:r>
      <w:r>
        <w:rPr>
          <w:rFonts w:ascii="StobiSerif Regular" w:hAnsi="StobiSerif Regular"/>
          <w:sz w:val="16"/>
          <w:szCs w:val="16"/>
        </w:rPr>
        <w:t xml:space="preserve">АХВ </w:t>
      </w:r>
      <w:r w:rsidR="00784CD1" w:rsidRPr="000B5E5D">
        <w:rPr>
          <w:rFonts w:ascii="StobiSerif Regular" w:hAnsi="StobiSerif Regular"/>
          <w:sz w:val="16"/>
          <w:szCs w:val="16"/>
        </w:rPr>
        <w:t>(201</w:t>
      </w:r>
      <w:r>
        <w:rPr>
          <w:rFonts w:ascii="StobiSerif Regular" w:hAnsi="StobiSerif Regular"/>
          <w:sz w:val="16"/>
          <w:szCs w:val="16"/>
        </w:rPr>
        <w:t>6</w:t>
      </w:r>
      <w:r w:rsidR="00784CD1" w:rsidRPr="000B5E5D">
        <w:rPr>
          <w:rFonts w:ascii="StobiSerif Regular" w:hAnsi="StobiSerif Regular"/>
          <w:sz w:val="16"/>
          <w:szCs w:val="16"/>
        </w:rPr>
        <w:t>)</w:t>
      </w:r>
    </w:p>
    <w:p w:rsidR="00784CD1" w:rsidRPr="000B5E5D" w:rsidRDefault="003F10CB" w:rsidP="009379B5">
      <w:pPr>
        <w:autoSpaceDE w:val="0"/>
        <w:autoSpaceDN w:val="0"/>
        <w:adjustRightInd w:val="0"/>
        <w:spacing w:before="120" w:after="120"/>
        <w:jc w:val="right"/>
        <w:rPr>
          <w:rFonts w:ascii="StobiSerif Regular" w:hAnsi="StobiSerif Regular"/>
          <w:b/>
          <w:lang w:val="en-GB"/>
        </w:rPr>
      </w:pPr>
      <w:r>
        <w:rPr>
          <w:rFonts w:ascii="StobiSerif Regular" w:hAnsi="StobiSerif Regular"/>
          <w:b/>
        </w:rPr>
        <w:t xml:space="preserve">ПРИОРИТЕТНА ОСКА  </w:t>
      </w:r>
      <w:r w:rsidR="00784CD1" w:rsidRPr="000B5E5D">
        <w:rPr>
          <w:rFonts w:ascii="StobiSerif Regular" w:hAnsi="StobiSerif Regular"/>
          <w:b/>
          <w:lang w:val="en-GB"/>
        </w:rPr>
        <w:t>3</w:t>
      </w:r>
    </w:p>
    <w:p w:rsidR="003F10CB" w:rsidRPr="003F10CB" w:rsidRDefault="008A4251" w:rsidP="003F10CB">
      <w:pPr>
        <w:autoSpaceDE w:val="0"/>
        <w:autoSpaceDN w:val="0"/>
        <w:adjustRightInd w:val="0"/>
        <w:spacing w:before="120" w:after="120"/>
        <w:jc w:val="both"/>
        <w:outlineLvl w:val="2"/>
        <w:rPr>
          <w:rFonts w:ascii="StobiSerif Regular" w:hAnsi="StobiSerif Regular"/>
          <w:b/>
        </w:rPr>
      </w:pPr>
      <w:bookmarkStart w:id="43" w:name="_Toc455052749"/>
      <w:bookmarkStart w:id="44" w:name="_Toc485394812"/>
      <w:r>
        <w:rPr>
          <w:rFonts w:ascii="StobiSerif Regular" w:hAnsi="StobiSerif Regular"/>
          <w:b/>
          <w:lang w:val="en-GB"/>
        </w:rPr>
        <w:t>2</w:t>
      </w:r>
      <w:r w:rsidR="00784CD1" w:rsidRPr="000B5E5D">
        <w:rPr>
          <w:rFonts w:ascii="StobiSerif Regular" w:hAnsi="StobiSerif Regular"/>
          <w:b/>
          <w:lang w:val="en-GB"/>
        </w:rPr>
        <w:t xml:space="preserve">.3.3 </w:t>
      </w:r>
      <w:bookmarkEnd w:id="43"/>
      <w:r w:rsidR="003F10CB" w:rsidRPr="003F10CB">
        <w:rPr>
          <w:rFonts w:ascii="StobiSerif Regular" w:hAnsi="StobiSerif Regular"/>
          <w:b/>
        </w:rPr>
        <w:t xml:space="preserve">МЕРКА </w:t>
      </w:r>
      <w:r w:rsidR="003F10CB" w:rsidRPr="003F10CB">
        <w:rPr>
          <w:rFonts w:ascii="StobiSerif Regular" w:hAnsi="StobiSerif Regular"/>
          <w:b/>
          <w:lang w:val="en-GB"/>
        </w:rPr>
        <w:t xml:space="preserve">302 – </w:t>
      </w:r>
      <w:r w:rsidR="003F10CB" w:rsidRPr="003F10CB">
        <w:rPr>
          <w:rFonts w:ascii="StobiSerif Regular" w:hAnsi="StobiSerif Regular"/>
          <w:b/>
        </w:rPr>
        <w:t>Диверзификација на рурална економија</w:t>
      </w:r>
      <w:bookmarkEnd w:id="44"/>
    </w:p>
    <w:p w:rsidR="00784CD1" w:rsidRPr="000B5E5D" w:rsidRDefault="00784CD1" w:rsidP="00784CD1">
      <w:pPr>
        <w:autoSpaceDE w:val="0"/>
        <w:autoSpaceDN w:val="0"/>
        <w:adjustRightInd w:val="0"/>
        <w:spacing w:before="120" w:after="120"/>
        <w:jc w:val="both"/>
        <w:outlineLvl w:val="2"/>
        <w:rPr>
          <w:rFonts w:ascii="StobiSerif Regular" w:hAnsi="StobiSerif Regular"/>
          <w:b/>
          <w:lang w:val="en-GB"/>
        </w:rPr>
      </w:pPr>
    </w:p>
    <w:p w:rsidR="00784CD1" w:rsidRPr="009379B5" w:rsidRDefault="003F10CB" w:rsidP="00784CD1">
      <w:pPr>
        <w:autoSpaceDE w:val="0"/>
        <w:autoSpaceDN w:val="0"/>
        <w:adjustRightInd w:val="0"/>
        <w:spacing w:before="120" w:after="120"/>
        <w:jc w:val="right"/>
        <w:rPr>
          <w:rFonts w:ascii="StobiSerif Regular" w:hAnsi="StobiSerif Regular"/>
          <w:lang w:val="en-GB"/>
        </w:rPr>
      </w:pPr>
      <w:r w:rsidRPr="00A15D06">
        <w:rPr>
          <w:rFonts w:ascii="StobiSerif Regular" w:hAnsi="StobiSerif Regular"/>
          <w:b/>
        </w:rPr>
        <w:t>Буџет на мерка</w:t>
      </w:r>
      <w:r w:rsidR="00784CD1" w:rsidRPr="009379B5">
        <w:rPr>
          <w:rFonts w:ascii="StobiSerif Regular" w:hAnsi="StobiSerif Regular"/>
          <w:lang w:val="en-GB"/>
        </w:rPr>
        <w:t>: € 3.594.544</w:t>
      </w:r>
    </w:p>
    <w:p w:rsidR="009C238F" w:rsidRPr="009C238F" w:rsidRDefault="009C238F" w:rsidP="009C238F">
      <w:pPr>
        <w:tabs>
          <w:tab w:val="left" w:pos="0"/>
        </w:tabs>
        <w:spacing w:after="120"/>
        <w:ind w:firstLine="284"/>
        <w:jc w:val="both"/>
        <w:rPr>
          <w:rFonts w:ascii="StobiSerif Regular" w:eastAsia="Times New Roman" w:hAnsi="StobiSerif Regular" w:cs="Arial"/>
          <w:lang w:eastAsia="en-GB"/>
        </w:rPr>
      </w:pPr>
      <w:r w:rsidRPr="009C238F">
        <w:rPr>
          <w:rFonts w:ascii="StobiSerif Regular" w:eastAsia="Times New Roman" w:hAnsi="StobiSerif Regular" w:cs="Arial"/>
          <w:lang w:eastAsia="en-GB"/>
        </w:rPr>
        <w:t>Главната цел на оваа мерка е да се придонесе кон создавање на нови работни места и за одржување на постојните работни места преку развој на микро-деловни активности, што ќе се подигне нивото на економска активност на руралните средини и руралните произлегуваат депопулација.</w:t>
      </w:r>
    </w:p>
    <w:p w:rsidR="009C238F" w:rsidRPr="009C238F" w:rsidRDefault="009C238F" w:rsidP="009C238F">
      <w:pPr>
        <w:tabs>
          <w:tab w:val="left" w:pos="0"/>
        </w:tabs>
        <w:spacing w:after="120"/>
        <w:ind w:firstLine="284"/>
        <w:jc w:val="both"/>
        <w:rPr>
          <w:rFonts w:ascii="StobiSerif Regular" w:eastAsia="Times New Roman" w:hAnsi="StobiSerif Regular" w:cs="Arial"/>
          <w:lang w:eastAsia="en-GB"/>
        </w:rPr>
      </w:pPr>
      <w:r w:rsidRPr="009C238F">
        <w:rPr>
          <w:rFonts w:ascii="StobiSerif Regular" w:eastAsia="Times New Roman" w:hAnsi="StobiSerif Regular" w:cs="Arial"/>
          <w:lang w:eastAsia="en-GB"/>
        </w:rPr>
        <w:t>Помошта во рамките на овие активноссти, исто така, да се постигне подобрување на квалитетот на животот на пошироката корисниците во руралните области</w:t>
      </w:r>
    </w:p>
    <w:p w:rsidR="009C238F" w:rsidRPr="009C238F" w:rsidRDefault="009C238F" w:rsidP="009C238F">
      <w:pPr>
        <w:tabs>
          <w:tab w:val="left" w:pos="0"/>
        </w:tabs>
        <w:spacing w:after="120"/>
        <w:ind w:firstLine="284"/>
        <w:jc w:val="both"/>
        <w:rPr>
          <w:rFonts w:ascii="StobiSerif Regular" w:eastAsia="Times New Roman" w:hAnsi="StobiSerif Regular" w:cs="Arial"/>
          <w:lang w:eastAsia="en-GB"/>
        </w:rPr>
      </w:pPr>
      <w:r w:rsidRPr="009C238F">
        <w:rPr>
          <w:rFonts w:ascii="StobiSerif Regular" w:eastAsia="Times New Roman" w:hAnsi="StobiSerif Regular" w:cs="Arial"/>
          <w:lang w:eastAsia="en-GB"/>
        </w:rPr>
        <w:t>Специфични цели во М302 се:</w:t>
      </w:r>
    </w:p>
    <w:p w:rsidR="009C238F" w:rsidRPr="009C238F" w:rsidRDefault="009C238F" w:rsidP="00BA1CE8">
      <w:pPr>
        <w:numPr>
          <w:ilvl w:val="0"/>
          <w:numId w:val="3"/>
        </w:numPr>
        <w:tabs>
          <w:tab w:val="left" w:pos="0"/>
        </w:tabs>
        <w:spacing w:after="120"/>
        <w:jc w:val="both"/>
        <w:rPr>
          <w:rFonts w:ascii="StobiSerif Regular" w:eastAsia="Times New Roman" w:hAnsi="StobiSerif Regular" w:cs="Arial"/>
          <w:lang w:val="en-US" w:eastAsia="en-GB"/>
        </w:rPr>
      </w:pPr>
      <w:r w:rsidRPr="009C238F">
        <w:rPr>
          <w:rFonts w:ascii="StobiSerif Regular" w:eastAsia="Times New Roman" w:hAnsi="StobiSerif Regular" w:cs="Arial"/>
          <w:lang w:eastAsia="en-GB"/>
        </w:rPr>
        <w:t>П</w:t>
      </w:r>
      <w:r w:rsidRPr="009C238F">
        <w:rPr>
          <w:rFonts w:ascii="StobiSerif Regular" w:eastAsia="Times New Roman" w:hAnsi="StobiSerif Regular" w:cs="Arial"/>
          <w:lang w:val="en-US" w:eastAsia="en-GB"/>
        </w:rPr>
        <w:t xml:space="preserve">оддршка на дополнителни извори на одржлив приход за земјоделските стопанства преку промовирање на </w:t>
      </w:r>
      <w:r w:rsidRPr="009C238F">
        <w:rPr>
          <w:rFonts w:ascii="StobiSerif Regular" w:eastAsia="Times New Roman" w:hAnsi="StobiSerif Regular" w:cs="Arial"/>
          <w:lang w:eastAsia="en-GB"/>
        </w:rPr>
        <w:t>специфични и специјализирани</w:t>
      </w:r>
      <w:r w:rsidRPr="009C238F">
        <w:rPr>
          <w:rFonts w:ascii="StobiSerif Regular" w:eastAsia="Times New Roman" w:hAnsi="StobiSerif Regular" w:cs="Arial"/>
          <w:lang w:val="en-US" w:eastAsia="en-GB"/>
        </w:rPr>
        <w:t xml:space="preserve"> производи со додадена вредност</w:t>
      </w:r>
    </w:p>
    <w:p w:rsidR="009C238F" w:rsidRPr="009C238F" w:rsidRDefault="009C238F" w:rsidP="00BA1CE8">
      <w:pPr>
        <w:numPr>
          <w:ilvl w:val="0"/>
          <w:numId w:val="3"/>
        </w:numPr>
        <w:tabs>
          <w:tab w:val="left" w:pos="0"/>
        </w:tabs>
        <w:spacing w:after="120"/>
        <w:jc w:val="both"/>
        <w:rPr>
          <w:rFonts w:ascii="StobiSerif Regular" w:eastAsia="Times New Roman" w:hAnsi="StobiSerif Regular" w:cs="Arial"/>
          <w:lang w:val="en-US" w:eastAsia="en-GB"/>
        </w:rPr>
      </w:pPr>
      <w:r w:rsidRPr="009C238F">
        <w:rPr>
          <w:rFonts w:ascii="StobiSerif Regular" w:eastAsia="Times New Roman" w:hAnsi="StobiSerif Regular" w:cs="Arial"/>
          <w:lang w:val="en-US" w:eastAsia="en-GB"/>
        </w:rPr>
        <w:t>За да се зачува</w:t>
      </w:r>
      <w:r w:rsidRPr="009C238F">
        <w:rPr>
          <w:rFonts w:ascii="StobiSerif Regular" w:eastAsia="Times New Roman" w:hAnsi="StobiSerif Regular" w:cs="Arial"/>
          <w:lang w:eastAsia="en-GB"/>
        </w:rPr>
        <w:t>ат</w:t>
      </w:r>
      <w:r w:rsidRPr="009C238F">
        <w:rPr>
          <w:rFonts w:ascii="StobiSerif Regular" w:eastAsia="Times New Roman" w:hAnsi="StobiSerif Regular" w:cs="Arial"/>
          <w:lang w:val="en-US" w:eastAsia="en-GB"/>
        </w:rPr>
        <w:t xml:space="preserve"> и да се разви</w:t>
      </w:r>
      <w:r w:rsidRPr="009C238F">
        <w:rPr>
          <w:rFonts w:ascii="StobiSerif Regular" w:eastAsia="Times New Roman" w:hAnsi="StobiSerif Regular" w:cs="Arial"/>
          <w:lang w:eastAsia="en-GB"/>
        </w:rPr>
        <w:t>јат</w:t>
      </w:r>
      <w:r w:rsidRPr="009C238F">
        <w:rPr>
          <w:rFonts w:ascii="StobiSerif Regular" w:eastAsia="Times New Roman" w:hAnsi="StobiSerif Regular" w:cs="Arial"/>
          <w:lang w:val="en-US" w:eastAsia="en-GB"/>
        </w:rPr>
        <w:t xml:space="preserve"> традиционални</w:t>
      </w:r>
      <w:r w:rsidRPr="009C238F">
        <w:rPr>
          <w:rFonts w:ascii="StobiSerif Regular" w:eastAsia="Times New Roman" w:hAnsi="StobiSerif Regular" w:cs="Arial"/>
          <w:lang w:eastAsia="en-GB"/>
        </w:rPr>
        <w:t>те</w:t>
      </w:r>
      <w:r w:rsidRPr="009C238F">
        <w:rPr>
          <w:rFonts w:ascii="StobiSerif Regular" w:eastAsia="Times New Roman" w:hAnsi="StobiSerif Regular" w:cs="Arial"/>
          <w:lang w:val="en-US" w:eastAsia="en-GB"/>
        </w:rPr>
        <w:t xml:space="preserve"> занаетчиски дејности</w:t>
      </w:r>
      <w:r w:rsidRPr="009C238F">
        <w:rPr>
          <w:rFonts w:ascii="StobiSerif Regular" w:eastAsia="Times New Roman" w:hAnsi="StobiSerif Regular" w:cs="Arial"/>
          <w:lang w:eastAsia="en-GB"/>
        </w:rPr>
        <w:t xml:space="preserve"> </w:t>
      </w:r>
    </w:p>
    <w:p w:rsidR="009C238F" w:rsidRPr="009C238F" w:rsidRDefault="009C238F" w:rsidP="00BA1CE8">
      <w:pPr>
        <w:numPr>
          <w:ilvl w:val="0"/>
          <w:numId w:val="3"/>
        </w:numPr>
        <w:tabs>
          <w:tab w:val="left" w:pos="0"/>
        </w:tabs>
        <w:spacing w:after="120"/>
        <w:jc w:val="both"/>
        <w:rPr>
          <w:rFonts w:ascii="StobiSerif Regular" w:eastAsia="Times New Roman" w:hAnsi="StobiSerif Regular" w:cs="Arial"/>
          <w:lang w:val="en-US" w:eastAsia="en-GB"/>
        </w:rPr>
      </w:pPr>
      <w:r w:rsidRPr="009C238F">
        <w:rPr>
          <w:rFonts w:ascii="StobiSerif Regular" w:eastAsia="Times New Roman" w:hAnsi="StobiSerif Regular" w:cs="Arial"/>
          <w:lang w:val="en-US" w:eastAsia="en-GB"/>
        </w:rPr>
        <w:t>Да се одрж</w:t>
      </w:r>
      <w:r w:rsidRPr="009C238F">
        <w:rPr>
          <w:rFonts w:ascii="StobiSerif Regular" w:eastAsia="Times New Roman" w:hAnsi="StobiSerif Regular" w:cs="Arial"/>
          <w:lang w:eastAsia="en-GB"/>
        </w:rPr>
        <w:t>ат</w:t>
      </w:r>
      <w:r w:rsidRPr="009C238F">
        <w:rPr>
          <w:rFonts w:ascii="StobiSerif Regular" w:eastAsia="Times New Roman" w:hAnsi="StobiSerif Regular" w:cs="Arial"/>
          <w:lang w:val="en-US" w:eastAsia="en-GB"/>
        </w:rPr>
        <w:t xml:space="preserve"> земјоделските активности во руралните области преку </w:t>
      </w:r>
      <w:r w:rsidRPr="009C238F">
        <w:rPr>
          <w:rFonts w:ascii="StobiSerif Regular" w:eastAsia="Times New Roman" w:hAnsi="StobiSerif Regular" w:cs="Arial"/>
          <w:lang w:eastAsia="en-GB"/>
        </w:rPr>
        <w:t>давање</w:t>
      </w:r>
      <w:r w:rsidRPr="009C238F">
        <w:rPr>
          <w:rFonts w:ascii="StobiSerif Regular" w:eastAsia="Times New Roman" w:hAnsi="StobiSerif Regular" w:cs="Arial"/>
          <w:lang w:val="en-US" w:eastAsia="en-GB"/>
        </w:rPr>
        <w:t xml:space="preserve"> на специфични услуги</w:t>
      </w:r>
    </w:p>
    <w:p w:rsidR="009C238F" w:rsidRPr="009C238F" w:rsidRDefault="009C238F" w:rsidP="00BA1CE8">
      <w:pPr>
        <w:numPr>
          <w:ilvl w:val="0"/>
          <w:numId w:val="3"/>
        </w:numPr>
        <w:tabs>
          <w:tab w:val="left" w:pos="0"/>
        </w:tabs>
        <w:spacing w:after="120"/>
        <w:jc w:val="both"/>
        <w:rPr>
          <w:rFonts w:ascii="StobiSerif Regular" w:eastAsia="Times New Roman" w:hAnsi="StobiSerif Regular" w:cs="Arial"/>
          <w:lang w:val="en-US" w:eastAsia="en-GB"/>
        </w:rPr>
      </w:pPr>
      <w:r w:rsidRPr="009C238F">
        <w:rPr>
          <w:rFonts w:ascii="StobiSerif Regular" w:eastAsia="Times New Roman" w:hAnsi="StobiSerif Regular" w:cs="Arial"/>
          <w:lang w:val="en-US" w:eastAsia="en-GB"/>
        </w:rPr>
        <w:t>Да се одрж</w:t>
      </w:r>
      <w:r w:rsidRPr="009C238F">
        <w:rPr>
          <w:rFonts w:ascii="StobiSerif Regular" w:eastAsia="Times New Roman" w:hAnsi="StobiSerif Regular" w:cs="Arial"/>
          <w:lang w:eastAsia="en-GB"/>
        </w:rPr>
        <w:t>ат и спроведат</w:t>
      </w:r>
      <w:r w:rsidRPr="009C238F">
        <w:rPr>
          <w:rFonts w:ascii="StobiSerif Regular" w:eastAsia="Times New Roman" w:hAnsi="StobiSerif Regular" w:cs="Arial"/>
          <w:lang w:val="en-US" w:eastAsia="en-GB"/>
        </w:rPr>
        <w:t xml:space="preserve"> активности кои се специфични за рурален туризам</w:t>
      </w:r>
      <w:r w:rsidRPr="009C238F">
        <w:rPr>
          <w:rFonts w:ascii="StobiSerif Regular" w:eastAsia="Times New Roman" w:hAnsi="StobiSerif Regular" w:cs="Arial"/>
          <w:lang w:eastAsia="en-GB"/>
        </w:rPr>
        <w:t xml:space="preserve"> </w:t>
      </w:r>
    </w:p>
    <w:p w:rsidR="009C238F" w:rsidRPr="009C238F" w:rsidRDefault="009C238F" w:rsidP="009C238F">
      <w:pPr>
        <w:tabs>
          <w:tab w:val="left" w:pos="0"/>
        </w:tabs>
        <w:spacing w:after="120"/>
        <w:ind w:firstLine="284"/>
        <w:jc w:val="both"/>
        <w:rPr>
          <w:rFonts w:ascii="StobiSerif Regular" w:eastAsia="Times New Roman" w:hAnsi="StobiSerif Regular" w:cs="Arial"/>
          <w:lang w:eastAsia="en-GB"/>
        </w:rPr>
      </w:pPr>
      <w:r w:rsidRPr="009C238F">
        <w:rPr>
          <w:rFonts w:ascii="StobiSerif Regular" w:eastAsia="Times New Roman" w:hAnsi="StobiSerif Regular" w:cs="Arial"/>
          <w:lang w:eastAsia="en-GB"/>
        </w:rPr>
        <w:t>Приоритетни сектори на земјоделството за поддршка во рамките на оваа мерка се вложувања за создавање и развој на микро и мали економски бизниси во руралните средини поврзани со преработката на храна, како и активности кои не се поврзани со производство на храна, воведување на нови алтернативни активности во земјоделство, обезбедување на земјоделски услуги, занаети и рурален туризам. Мерката подржува инвестиции само во рурални подрачја.</w:t>
      </w:r>
    </w:p>
    <w:p w:rsidR="009C238F" w:rsidRDefault="009C238F" w:rsidP="00955E09">
      <w:pPr>
        <w:tabs>
          <w:tab w:val="left" w:pos="0"/>
        </w:tabs>
        <w:spacing w:after="0"/>
        <w:ind w:firstLine="284"/>
        <w:jc w:val="both"/>
        <w:rPr>
          <w:rFonts w:ascii="StobiSerif Regular" w:hAnsi="StobiSerif Regular"/>
        </w:rPr>
      </w:pPr>
      <w:r w:rsidRPr="00A15D06">
        <w:rPr>
          <w:rFonts w:ascii="StobiSerif Regular" w:hAnsi="StobiSerif Regular"/>
          <w:lang w:val="en-GB"/>
        </w:rPr>
        <w:t xml:space="preserve">Од вкупно пристигнатите пријави, </w:t>
      </w:r>
      <w:r w:rsidRPr="00A15D06">
        <w:rPr>
          <w:rFonts w:ascii="StobiSerif Regular" w:hAnsi="StobiSerif Regular"/>
        </w:rPr>
        <w:t>362</w:t>
      </w:r>
      <w:r w:rsidRPr="00A15D06">
        <w:rPr>
          <w:rFonts w:ascii="StobiSerif Regular" w:hAnsi="StobiSerif Regular"/>
          <w:lang w:val="en-GB"/>
        </w:rPr>
        <w:t xml:space="preserve"> апликации беа поднесени за мерка 302</w:t>
      </w:r>
      <w:r>
        <w:rPr>
          <w:rFonts w:ascii="StobiSerif Regular" w:hAnsi="StobiSerif Regular"/>
        </w:rPr>
        <w:t xml:space="preserve">, каде има </w:t>
      </w:r>
      <w:r w:rsidRPr="00A15D06">
        <w:rPr>
          <w:rFonts w:ascii="StobiSerif Regular" w:hAnsi="StobiSerif Regular"/>
          <w:lang w:val="en-GB"/>
        </w:rPr>
        <w:t xml:space="preserve"> </w:t>
      </w:r>
      <w:r w:rsidRPr="00A15D06">
        <w:rPr>
          <w:rFonts w:ascii="StobiSerif Regular" w:hAnsi="StobiSerif Regular"/>
        </w:rPr>
        <w:t>28 склучени</w:t>
      </w:r>
      <w:r w:rsidRPr="00A15D06">
        <w:rPr>
          <w:rFonts w:ascii="StobiSerif Regular" w:hAnsi="StobiSerif Regular"/>
          <w:lang w:val="en-GB"/>
        </w:rPr>
        <w:t xml:space="preserve"> договори</w:t>
      </w:r>
      <w:r w:rsidRPr="00A15D06">
        <w:rPr>
          <w:rFonts w:ascii="StobiSerif Regular" w:hAnsi="StobiSerif Regular"/>
        </w:rPr>
        <w:t>.</w:t>
      </w:r>
      <w:r w:rsidR="00E23E9D">
        <w:rPr>
          <w:rFonts w:ascii="StobiSerif Regular" w:hAnsi="StobiSerif Regular"/>
        </w:rPr>
        <w:t xml:space="preserve"> </w:t>
      </w:r>
      <w:r>
        <w:rPr>
          <w:rFonts w:ascii="StobiSerif Regular" w:hAnsi="StobiSerif Regular"/>
        </w:rPr>
        <w:t>Осум  договори се исплатени и 13</w:t>
      </w:r>
      <w:r w:rsidRPr="00A15D06">
        <w:rPr>
          <w:rFonts w:ascii="StobiSerif Regular" w:hAnsi="StobiSerif Regular"/>
        </w:rPr>
        <w:t xml:space="preserve"> се раскинати</w:t>
      </w:r>
      <w:r w:rsidR="00E23E9D">
        <w:rPr>
          <w:rFonts w:ascii="StobiSerif Regular" w:hAnsi="StobiSerif Regular"/>
        </w:rPr>
        <w:t>.</w:t>
      </w:r>
      <w:r>
        <w:rPr>
          <w:rFonts w:ascii="StobiSerif Regular" w:hAnsi="StobiSerif Regular"/>
        </w:rPr>
        <w:t>`</w:t>
      </w:r>
    </w:p>
    <w:p w:rsidR="00677FC7" w:rsidRPr="009C238F" w:rsidRDefault="00677FC7" w:rsidP="00955E09">
      <w:pPr>
        <w:tabs>
          <w:tab w:val="left" w:pos="0"/>
        </w:tabs>
        <w:spacing w:after="0"/>
        <w:ind w:firstLine="284"/>
        <w:jc w:val="both"/>
        <w:rPr>
          <w:rFonts w:ascii="StobiSerif Regular" w:eastAsia="Times New Roman" w:hAnsi="StobiSerif Regular" w:cs="Times New Roman"/>
          <w:lang w:eastAsia="en-GB"/>
        </w:rPr>
      </w:pPr>
    </w:p>
    <w:p w:rsidR="000C27E3" w:rsidRPr="00677FC7" w:rsidRDefault="00E23E9D" w:rsidP="000C27E3">
      <w:pPr>
        <w:autoSpaceDE w:val="0"/>
        <w:autoSpaceDN w:val="0"/>
        <w:adjustRightInd w:val="0"/>
        <w:spacing w:after="0"/>
        <w:jc w:val="both"/>
        <w:rPr>
          <w:rFonts w:ascii="StobiSerif Regular" w:hAnsi="StobiSerif Regular"/>
          <w:b/>
          <w:lang w:val="en-US"/>
        </w:rPr>
      </w:pPr>
      <w:bookmarkStart w:id="45" w:name="_Toc485394911"/>
      <w:r w:rsidRPr="00677FC7">
        <w:rPr>
          <w:rFonts w:ascii="StobiSerif Regular" w:eastAsia="Times New Roman" w:hAnsi="StobiSerif Regular" w:cs="Times New Roman"/>
          <w:b/>
          <w:lang w:eastAsia="zh-CN"/>
        </w:rPr>
        <w:t>Табела</w:t>
      </w:r>
      <w:r w:rsidR="000C27E3" w:rsidRPr="00677FC7">
        <w:rPr>
          <w:rFonts w:ascii="StobiSerif Regular" w:eastAsia="Times New Roman" w:hAnsi="StobiSerif Regular" w:cs="Times New Roman"/>
          <w:b/>
          <w:lang w:val="en-GB" w:eastAsia="zh-CN"/>
        </w:rPr>
        <w:t xml:space="preserve"> </w:t>
      </w:r>
      <w:r w:rsidR="000C27E3" w:rsidRPr="00677FC7">
        <w:rPr>
          <w:rFonts w:ascii="StobiSerif Regular" w:eastAsia="Times New Roman" w:hAnsi="StobiSerif Regular" w:cs="Times New Roman"/>
          <w:b/>
          <w:lang w:val="en-GB" w:eastAsia="zh-CN"/>
        </w:rPr>
        <w:fldChar w:fldCharType="begin"/>
      </w:r>
      <w:r w:rsidR="000C27E3" w:rsidRPr="00677FC7">
        <w:rPr>
          <w:rFonts w:ascii="StobiSerif Regular" w:eastAsia="Times New Roman" w:hAnsi="StobiSerif Regular" w:cs="Times New Roman"/>
          <w:b/>
          <w:lang w:val="en-GB" w:eastAsia="zh-CN"/>
        </w:rPr>
        <w:instrText xml:space="preserve"> SEQ Table \* ARABIC </w:instrText>
      </w:r>
      <w:r w:rsidR="000C27E3" w:rsidRPr="00677FC7">
        <w:rPr>
          <w:rFonts w:ascii="StobiSerif Regular" w:eastAsia="Times New Roman" w:hAnsi="StobiSerif Regular" w:cs="Times New Roman"/>
          <w:b/>
          <w:lang w:val="en-GB" w:eastAsia="zh-CN"/>
        </w:rPr>
        <w:fldChar w:fldCharType="separate"/>
      </w:r>
      <w:r w:rsidR="006C55E6" w:rsidRPr="00677FC7">
        <w:rPr>
          <w:rFonts w:ascii="StobiSerif Regular" w:eastAsia="Times New Roman" w:hAnsi="StobiSerif Regular" w:cs="Times New Roman"/>
          <w:b/>
          <w:noProof/>
          <w:lang w:val="en-GB" w:eastAsia="zh-CN"/>
        </w:rPr>
        <w:t>19</w:t>
      </w:r>
      <w:r w:rsidR="000C27E3" w:rsidRPr="00677FC7">
        <w:rPr>
          <w:rFonts w:ascii="StobiSerif Regular" w:eastAsia="Times New Roman" w:hAnsi="StobiSerif Regular" w:cs="Times New Roman"/>
          <w:b/>
          <w:lang w:val="en-GB" w:eastAsia="zh-CN"/>
        </w:rPr>
        <w:fldChar w:fldCharType="end"/>
      </w:r>
      <w:r w:rsidR="000C27E3" w:rsidRPr="00677FC7">
        <w:rPr>
          <w:rFonts w:ascii="StobiSerif Regular" w:eastAsia="Times New Roman" w:hAnsi="StobiSerif Regular" w:cs="Times New Roman"/>
          <w:b/>
          <w:lang w:val="en-GB" w:eastAsia="zh-CN"/>
        </w:rPr>
        <w:t xml:space="preserve">: </w:t>
      </w:r>
      <w:r w:rsidRPr="00677FC7">
        <w:rPr>
          <w:rFonts w:ascii="StobiSerif Regular" w:hAnsi="StobiSerif Regular"/>
          <w:b/>
        </w:rPr>
        <w:t>Преглед на спроведување на Мерка 302 по јавни повици</w:t>
      </w:r>
      <w:bookmarkEnd w:id="45"/>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276"/>
        <w:gridCol w:w="1276"/>
        <w:gridCol w:w="1276"/>
        <w:gridCol w:w="1417"/>
        <w:gridCol w:w="1134"/>
      </w:tblGrid>
      <w:tr w:rsidR="00E23E9D" w:rsidRPr="000B5E5D" w:rsidTr="00E23E9D">
        <w:trPr>
          <w:trHeight w:val="345"/>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3E9D" w:rsidRPr="000B5E5D" w:rsidRDefault="00E23E9D" w:rsidP="00EB78D6">
            <w:pPr>
              <w:spacing w:after="0" w:line="240" w:lineRule="auto"/>
              <w:jc w:val="right"/>
              <w:rPr>
                <w:rFonts w:ascii="StobiSerif Regular" w:eastAsia="Times New Roman" w:hAnsi="StobiSerif Regular" w:cs="Times New Roman"/>
                <w:sz w:val="16"/>
                <w:szCs w:val="16"/>
                <w:lang w:eastAsia="mk-MK"/>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3E9D" w:rsidRPr="000B5E5D" w:rsidRDefault="00E23E9D" w:rsidP="006278AA">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Јавен повик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3E9D" w:rsidRPr="000B5E5D" w:rsidRDefault="00E23E9D" w:rsidP="006278AA">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Примени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3E9D" w:rsidRPr="000B5E5D" w:rsidRDefault="00E23E9D" w:rsidP="006278AA">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Одобрени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3E9D" w:rsidRPr="000B5E5D" w:rsidRDefault="00E23E9D" w:rsidP="006278AA">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Исплатени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3E9D" w:rsidRPr="000B5E5D" w:rsidRDefault="00E23E9D" w:rsidP="006278AA">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Раскинати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3E9D" w:rsidRPr="000B5E5D" w:rsidRDefault="00E23E9D" w:rsidP="006278AA">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 xml:space="preserve">Тековни </w:t>
            </w:r>
          </w:p>
        </w:tc>
      </w:tr>
      <w:tr w:rsidR="000C27E3" w:rsidRPr="000B5E5D" w:rsidTr="00E23E9D">
        <w:trPr>
          <w:trHeight w:val="308"/>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01/2009</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34</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w:t>
            </w:r>
          </w:p>
        </w:tc>
        <w:tc>
          <w:tcPr>
            <w:tcW w:w="1134"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C27E3" w:rsidRPr="000B5E5D" w:rsidTr="00E23E9D">
        <w:trPr>
          <w:trHeight w:val="271"/>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2</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01/2010</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20</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134"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C27E3" w:rsidRPr="000B5E5D" w:rsidTr="00E23E9D">
        <w:trPr>
          <w:trHeight w:val="275"/>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3</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01/2011</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22</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7</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7</w:t>
            </w:r>
          </w:p>
        </w:tc>
        <w:tc>
          <w:tcPr>
            <w:tcW w:w="1134"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C27E3" w:rsidRPr="000B5E5D" w:rsidTr="00E23E9D">
        <w:trPr>
          <w:trHeight w:val="265"/>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4</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02/2011</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19</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w:t>
            </w:r>
          </w:p>
        </w:tc>
        <w:tc>
          <w:tcPr>
            <w:tcW w:w="1134"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C27E3" w:rsidRPr="000B5E5D" w:rsidTr="00E23E9D">
        <w:trPr>
          <w:trHeight w:val="255"/>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5</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03/2011</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26</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134"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C27E3" w:rsidRPr="000B5E5D" w:rsidTr="00E23E9D">
        <w:trPr>
          <w:trHeight w:val="245"/>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6</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01/2012</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18</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134"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C27E3" w:rsidRPr="000B5E5D" w:rsidTr="00E23E9D">
        <w:trPr>
          <w:trHeight w:val="249"/>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7</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02/2012</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14</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134"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C27E3" w:rsidRPr="000B5E5D" w:rsidTr="00E23E9D">
        <w:trPr>
          <w:trHeight w:val="239"/>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8</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01/2013</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53</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4</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2</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2</w:t>
            </w:r>
          </w:p>
        </w:tc>
        <w:tc>
          <w:tcPr>
            <w:tcW w:w="1134"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w:t>
            </w:r>
          </w:p>
        </w:tc>
      </w:tr>
      <w:tr w:rsidR="000C27E3" w:rsidRPr="000B5E5D" w:rsidTr="00E23E9D">
        <w:trPr>
          <w:trHeight w:val="259"/>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9</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01/2014</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35</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7</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3</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w:t>
            </w:r>
          </w:p>
        </w:tc>
        <w:tc>
          <w:tcPr>
            <w:tcW w:w="1134" w:type="dxa"/>
            <w:tcBorders>
              <w:top w:val="single" w:sz="4" w:space="0" w:color="auto"/>
              <w:left w:val="single" w:sz="4" w:space="0" w:color="auto"/>
              <w:bottom w:val="single" w:sz="4" w:space="0" w:color="auto"/>
              <w:right w:val="single" w:sz="4" w:space="0" w:color="auto"/>
            </w:tcBorders>
          </w:tcPr>
          <w:p w:rsidR="000C27E3" w:rsidRPr="000B5E5D" w:rsidRDefault="001C58EB" w:rsidP="00EB78D6">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3</w:t>
            </w:r>
          </w:p>
        </w:tc>
      </w:tr>
      <w:tr w:rsidR="000C27E3" w:rsidRPr="000B5E5D" w:rsidTr="00E23E9D">
        <w:trPr>
          <w:trHeight w:val="263"/>
        </w:trPr>
        <w:tc>
          <w:tcPr>
            <w:tcW w:w="42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10</w:t>
            </w:r>
          </w:p>
        </w:tc>
        <w:tc>
          <w:tcPr>
            <w:tcW w:w="1275" w:type="dxa"/>
            <w:tcBorders>
              <w:top w:val="single" w:sz="4" w:space="0" w:color="auto"/>
              <w:left w:val="single" w:sz="4" w:space="0" w:color="auto"/>
              <w:bottom w:val="single" w:sz="4" w:space="0" w:color="auto"/>
              <w:right w:val="single" w:sz="4" w:space="0" w:color="auto"/>
            </w:tcBorders>
            <w:hideMark/>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02/2014</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35</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8</w:t>
            </w:r>
          </w:p>
        </w:tc>
        <w:tc>
          <w:tcPr>
            <w:tcW w:w="1276"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3</w:t>
            </w:r>
          </w:p>
        </w:tc>
        <w:tc>
          <w:tcPr>
            <w:tcW w:w="1417" w:type="dxa"/>
            <w:tcBorders>
              <w:top w:val="single" w:sz="4" w:space="0" w:color="auto"/>
              <w:left w:val="single" w:sz="4" w:space="0" w:color="auto"/>
              <w:bottom w:val="single" w:sz="4" w:space="0" w:color="auto"/>
              <w:right w:val="single" w:sz="4" w:space="0" w:color="auto"/>
            </w:tcBorders>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134" w:type="dxa"/>
            <w:tcBorders>
              <w:top w:val="single" w:sz="4" w:space="0" w:color="auto"/>
              <w:left w:val="single" w:sz="4" w:space="0" w:color="auto"/>
              <w:bottom w:val="single" w:sz="4" w:space="0" w:color="auto"/>
              <w:right w:val="single" w:sz="4" w:space="0" w:color="auto"/>
            </w:tcBorders>
            <w:vAlign w:val="center"/>
          </w:tcPr>
          <w:p w:rsidR="000C27E3" w:rsidRPr="000B5E5D" w:rsidRDefault="001C58EB" w:rsidP="00EB78D6">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5</w:t>
            </w:r>
          </w:p>
        </w:tc>
      </w:tr>
      <w:tr w:rsidR="000C27E3" w:rsidRPr="000B5E5D" w:rsidTr="00E23E9D">
        <w:trPr>
          <w:trHeight w:val="253"/>
        </w:trPr>
        <w:tc>
          <w:tcPr>
            <w:tcW w:w="426"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11</w:t>
            </w:r>
          </w:p>
        </w:tc>
        <w:tc>
          <w:tcPr>
            <w:tcW w:w="1275"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01/2015</w:t>
            </w:r>
          </w:p>
        </w:tc>
        <w:tc>
          <w:tcPr>
            <w:tcW w:w="1276" w:type="dxa"/>
            <w:tcBorders>
              <w:top w:val="single" w:sz="4" w:space="0" w:color="auto"/>
              <w:left w:val="single" w:sz="4" w:space="0" w:color="auto"/>
              <w:bottom w:val="single" w:sz="4" w:space="0" w:color="auto"/>
              <w:right w:val="single" w:sz="4" w:space="0" w:color="auto"/>
            </w:tcBorders>
            <w:vAlign w:val="center"/>
          </w:tcPr>
          <w:p w:rsidR="000C27E3" w:rsidRPr="000B5E5D" w:rsidRDefault="000C27E3" w:rsidP="00EB78D6">
            <w:pPr>
              <w:spacing w:after="0" w:line="240" w:lineRule="auto"/>
              <w:jc w:val="center"/>
              <w:rPr>
                <w:rFonts w:ascii="StobiSerif Regular" w:hAnsi="StobiSerif Regular"/>
                <w:sz w:val="18"/>
                <w:szCs w:val="18"/>
              </w:rPr>
            </w:pPr>
            <w:r w:rsidRPr="000B5E5D">
              <w:rPr>
                <w:rFonts w:ascii="StobiSerif Regular" w:eastAsia="Times New Roman" w:hAnsi="StobiSerif Regular" w:cs="Times New Roman"/>
                <w:sz w:val="18"/>
                <w:szCs w:val="18"/>
                <w:lang w:eastAsia="mk-MK"/>
              </w:rPr>
              <w:t>33</w:t>
            </w:r>
          </w:p>
        </w:tc>
        <w:tc>
          <w:tcPr>
            <w:tcW w:w="1276" w:type="dxa"/>
            <w:tcBorders>
              <w:top w:val="single" w:sz="4" w:space="0" w:color="auto"/>
              <w:left w:val="single" w:sz="4" w:space="0" w:color="auto"/>
              <w:bottom w:val="single" w:sz="4" w:space="0" w:color="auto"/>
              <w:right w:val="single" w:sz="4" w:space="0" w:color="auto"/>
            </w:tcBorders>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2</w:t>
            </w:r>
          </w:p>
        </w:tc>
        <w:tc>
          <w:tcPr>
            <w:tcW w:w="1276" w:type="dxa"/>
            <w:tcBorders>
              <w:top w:val="single" w:sz="4" w:space="0" w:color="auto"/>
              <w:left w:val="single" w:sz="4" w:space="0" w:color="auto"/>
              <w:bottom w:val="single" w:sz="4" w:space="0" w:color="auto"/>
              <w:right w:val="single" w:sz="4" w:space="0" w:color="auto"/>
            </w:tcBorders>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0</w:t>
            </w:r>
          </w:p>
        </w:tc>
        <w:tc>
          <w:tcPr>
            <w:tcW w:w="1417" w:type="dxa"/>
            <w:tcBorders>
              <w:top w:val="single" w:sz="4" w:space="0" w:color="auto"/>
              <w:left w:val="single" w:sz="4" w:space="0" w:color="auto"/>
              <w:bottom w:val="single" w:sz="4" w:space="0" w:color="auto"/>
              <w:right w:val="single" w:sz="4" w:space="0" w:color="auto"/>
            </w:tcBorders>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w:t>
            </w:r>
          </w:p>
        </w:tc>
        <w:tc>
          <w:tcPr>
            <w:tcW w:w="1134" w:type="dxa"/>
            <w:tcBorders>
              <w:top w:val="single" w:sz="4" w:space="0" w:color="auto"/>
              <w:left w:val="single" w:sz="4" w:space="0" w:color="auto"/>
              <w:bottom w:val="single" w:sz="4" w:space="0" w:color="auto"/>
              <w:right w:val="single" w:sz="4" w:space="0" w:color="auto"/>
            </w:tcBorders>
            <w:vAlign w:val="center"/>
          </w:tcPr>
          <w:p w:rsidR="000C27E3" w:rsidRPr="000B5E5D" w:rsidRDefault="001C58EB" w:rsidP="00EB78D6">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1</w:t>
            </w:r>
          </w:p>
        </w:tc>
      </w:tr>
      <w:tr w:rsidR="000C27E3" w:rsidRPr="000B5E5D" w:rsidTr="00E23E9D">
        <w:trPr>
          <w:trHeight w:val="253"/>
        </w:trPr>
        <w:tc>
          <w:tcPr>
            <w:tcW w:w="426"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12</w:t>
            </w:r>
          </w:p>
        </w:tc>
        <w:tc>
          <w:tcPr>
            <w:tcW w:w="1275"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r w:rsidRPr="000B5E5D">
              <w:rPr>
                <w:rFonts w:ascii="StobiSerif Regular" w:eastAsia="Times New Roman" w:hAnsi="StobiSerif Regular" w:cs="Times New Roman"/>
                <w:sz w:val="16"/>
                <w:szCs w:val="16"/>
                <w:lang w:eastAsia="mk-MK"/>
              </w:rPr>
              <w:t>02/2015</w:t>
            </w:r>
          </w:p>
        </w:tc>
        <w:tc>
          <w:tcPr>
            <w:tcW w:w="1276" w:type="dxa"/>
            <w:tcBorders>
              <w:top w:val="single" w:sz="4" w:space="0" w:color="auto"/>
              <w:left w:val="single" w:sz="4" w:space="0" w:color="auto"/>
              <w:bottom w:val="single" w:sz="4" w:space="0" w:color="auto"/>
              <w:right w:val="single" w:sz="4" w:space="0" w:color="auto"/>
            </w:tcBorders>
          </w:tcPr>
          <w:p w:rsidR="000C27E3" w:rsidRPr="000B5E5D" w:rsidRDefault="000C27E3" w:rsidP="00EB78D6">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53</w:t>
            </w:r>
          </w:p>
        </w:tc>
        <w:tc>
          <w:tcPr>
            <w:tcW w:w="1276" w:type="dxa"/>
            <w:tcBorders>
              <w:top w:val="single" w:sz="4" w:space="0" w:color="auto"/>
              <w:left w:val="single" w:sz="4" w:space="0" w:color="auto"/>
              <w:bottom w:val="single" w:sz="4" w:space="0" w:color="auto"/>
              <w:right w:val="single" w:sz="4" w:space="0" w:color="auto"/>
            </w:tcBorders>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8</w:t>
            </w:r>
          </w:p>
        </w:tc>
        <w:tc>
          <w:tcPr>
            <w:tcW w:w="1276" w:type="dxa"/>
            <w:tcBorders>
              <w:top w:val="single" w:sz="4" w:space="0" w:color="auto"/>
              <w:left w:val="single" w:sz="4" w:space="0" w:color="auto"/>
              <w:bottom w:val="single" w:sz="4" w:space="0" w:color="auto"/>
              <w:right w:val="single" w:sz="4" w:space="0" w:color="auto"/>
            </w:tcBorders>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 </w:t>
            </w:r>
          </w:p>
        </w:tc>
        <w:tc>
          <w:tcPr>
            <w:tcW w:w="1417" w:type="dxa"/>
            <w:tcBorders>
              <w:top w:val="single" w:sz="4" w:space="0" w:color="auto"/>
              <w:left w:val="single" w:sz="4" w:space="0" w:color="auto"/>
              <w:bottom w:val="single" w:sz="4" w:space="0" w:color="auto"/>
              <w:right w:val="single" w:sz="4" w:space="0" w:color="auto"/>
            </w:tcBorders>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 </w:t>
            </w:r>
          </w:p>
        </w:tc>
        <w:tc>
          <w:tcPr>
            <w:tcW w:w="1134" w:type="dxa"/>
            <w:tcBorders>
              <w:top w:val="single" w:sz="4" w:space="0" w:color="auto"/>
              <w:left w:val="single" w:sz="4" w:space="0" w:color="auto"/>
              <w:bottom w:val="single" w:sz="4" w:space="0" w:color="auto"/>
              <w:right w:val="single" w:sz="4" w:space="0" w:color="auto"/>
            </w:tcBorders>
            <w:vAlign w:val="center"/>
          </w:tcPr>
          <w:p w:rsidR="000C27E3" w:rsidRPr="000B5E5D" w:rsidRDefault="001C58EB" w:rsidP="00EB78D6">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8</w:t>
            </w:r>
          </w:p>
        </w:tc>
      </w:tr>
      <w:tr w:rsidR="000C27E3" w:rsidRPr="000B5E5D" w:rsidTr="00E23E9D">
        <w:trPr>
          <w:trHeight w:val="242"/>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27E3" w:rsidRPr="000B5E5D" w:rsidRDefault="000C27E3" w:rsidP="00EB78D6">
            <w:pPr>
              <w:spacing w:after="0" w:line="240" w:lineRule="auto"/>
              <w:jc w:val="right"/>
              <w:rPr>
                <w:rFonts w:ascii="StobiSerif Regular" w:eastAsia="Times New Roman" w:hAnsi="StobiSerif Regular" w:cs="Times New Roman"/>
                <w:sz w:val="16"/>
                <w:szCs w:val="16"/>
                <w:lang w:eastAsia="mk-MK"/>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27E3" w:rsidRPr="000B5E5D" w:rsidRDefault="007D3C36" w:rsidP="00EB78D6">
            <w:pPr>
              <w:spacing w:after="0" w:line="240" w:lineRule="auto"/>
              <w:jc w:val="right"/>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Вкупно</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27E3" w:rsidRPr="000B5E5D" w:rsidRDefault="000C27E3" w:rsidP="00EB78D6">
            <w:pPr>
              <w:spacing w:after="0" w:line="240" w:lineRule="auto"/>
              <w:jc w:val="center"/>
              <w:rPr>
                <w:rFonts w:ascii="StobiSerif Regular" w:eastAsia="Times New Roman" w:hAnsi="StobiSerif Regular" w:cs="Times New Roman"/>
                <w:b/>
                <w:sz w:val="18"/>
                <w:szCs w:val="18"/>
                <w:lang w:eastAsia="mk-MK"/>
              </w:rPr>
            </w:pPr>
            <w:r w:rsidRPr="000B5E5D">
              <w:rPr>
                <w:rFonts w:ascii="StobiSerif Regular" w:eastAsia="Times New Roman" w:hAnsi="StobiSerif Regular" w:cs="Times New Roman"/>
                <w:b/>
                <w:sz w:val="18"/>
                <w:szCs w:val="18"/>
                <w:lang w:eastAsia="mk-MK"/>
              </w:rPr>
              <w:t>362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38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8</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27E3" w:rsidRPr="000B5E5D" w:rsidRDefault="000C27E3" w:rsidP="000C27E3">
            <w:pPr>
              <w:spacing w:after="0" w:line="240" w:lineRule="auto"/>
              <w:jc w:val="center"/>
              <w:rPr>
                <w:rFonts w:ascii="StobiSerif Regular" w:eastAsia="Times New Roman" w:hAnsi="StobiSerif Regular" w:cs="Times New Roman"/>
                <w:sz w:val="18"/>
                <w:szCs w:val="18"/>
                <w:lang w:eastAsia="mk-MK"/>
              </w:rPr>
            </w:pPr>
            <w:r w:rsidRPr="000B5E5D">
              <w:rPr>
                <w:rFonts w:ascii="StobiSerif Regular" w:eastAsia="Times New Roman" w:hAnsi="StobiSerif Regular" w:cs="Times New Roman"/>
                <w:sz w:val="18"/>
                <w:szCs w:val="18"/>
                <w:lang w:eastAsia="mk-MK"/>
              </w:rPr>
              <w:t>13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27E3" w:rsidRPr="000B5E5D" w:rsidRDefault="001C58EB" w:rsidP="00EB78D6">
            <w:pPr>
              <w:spacing w:after="0" w:line="240" w:lineRule="auto"/>
              <w:jc w:val="right"/>
              <w:rPr>
                <w:rFonts w:ascii="StobiSerif Regular" w:eastAsia="Times New Roman" w:hAnsi="StobiSerif Regular" w:cs="Times New Roman"/>
                <w:sz w:val="16"/>
                <w:szCs w:val="16"/>
                <w:lang w:val="en-US" w:eastAsia="mk-MK"/>
              </w:rPr>
            </w:pPr>
            <w:r w:rsidRPr="000B5E5D">
              <w:rPr>
                <w:rFonts w:ascii="StobiSerif Regular" w:eastAsia="Times New Roman" w:hAnsi="StobiSerif Regular" w:cs="Times New Roman"/>
                <w:sz w:val="16"/>
                <w:szCs w:val="16"/>
                <w:lang w:val="en-US" w:eastAsia="mk-MK"/>
              </w:rPr>
              <w:t>17</w:t>
            </w:r>
          </w:p>
        </w:tc>
      </w:tr>
    </w:tbl>
    <w:p w:rsidR="000C27E3" w:rsidRPr="000B5E5D" w:rsidRDefault="00E23E9D" w:rsidP="000C27E3">
      <w:pPr>
        <w:spacing w:after="0" w:line="240" w:lineRule="auto"/>
        <w:rPr>
          <w:rFonts w:ascii="StobiSerif Regular" w:eastAsia="Times New Roman" w:hAnsi="StobiSerif Regular" w:cs="Times New Roman"/>
          <w:sz w:val="16"/>
          <w:szCs w:val="16"/>
          <w:lang w:eastAsia="mk-MK"/>
        </w:rPr>
      </w:pPr>
      <w:r w:rsidRPr="00E23E9D">
        <w:rPr>
          <w:rFonts w:ascii="StobiSerif Regular" w:eastAsia="Times New Roman" w:hAnsi="StobiSerif Regular" w:cs="Times New Roman"/>
          <w:sz w:val="16"/>
          <w:szCs w:val="16"/>
          <w:lang w:eastAsia="mk-MK"/>
        </w:rPr>
        <w:t>Извор: Мониторинг систем  (2016)</w:t>
      </w:r>
    </w:p>
    <w:p w:rsidR="009C238F" w:rsidRPr="009C238F" w:rsidRDefault="009C238F" w:rsidP="009C238F">
      <w:pPr>
        <w:autoSpaceDE w:val="0"/>
        <w:autoSpaceDN w:val="0"/>
        <w:adjustRightInd w:val="0"/>
        <w:spacing w:before="120" w:after="120"/>
        <w:ind w:firstLine="284"/>
        <w:jc w:val="both"/>
        <w:rPr>
          <w:rFonts w:ascii="StobiSerif Regular" w:hAnsi="StobiSerif Regular"/>
        </w:rPr>
      </w:pPr>
      <w:r w:rsidRPr="009C238F">
        <w:rPr>
          <w:rFonts w:ascii="StobiSerif Regular" w:hAnsi="StobiSerif Regular"/>
        </w:rPr>
        <w:t xml:space="preserve">Повеќе од 76% од апликациите се однесуваат на секторите не-земјоделски активности и рурален туризам(278). </w:t>
      </w:r>
      <w:r>
        <w:rPr>
          <w:rFonts w:ascii="StobiSerif Regular" w:hAnsi="StobiSerif Regular"/>
        </w:rPr>
        <w:t>Пет проекти се реализирани во подмерката 3021</w:t>
      </w:r>
      <w:r w:rsidR="00E23E9D">
        <w:rPr>
          <w:rFonts w:ascii="StobiSerif Regular" w:hAnsi="StobiSerif Regular"/>
        </w:rPr>
        <w:t>-</w:t>
      </w:r>
      <w:r w:rsidRPr="009C238F">
        <w:rPr>
          <w:rFonts w:ascii="StobiSerif Regular" w:eastAsia="MS Mincho" w:hAnsi="StobiSerif Regular" w:cs="Arial"/>
          <w:sz w:val="18"/>
          <w:szCs w:val="18"/>
          <w:lang w:val="en-GB" w:eastAsia="ja-JP"/>
        </w:rPr>
        <w:t xml:space="preserve"> </w:t>
      </w:r>
      <w:r w:rsidRPr="009C238F">
        <w:rPr>
          <w:rFonts w:ascii="StobiSerif Regular" w:hAnsi="StobiSerif Regular"/>
          <w:lang w:val="en-GB"/>
        </w:rPr>
        <w:t>Воспоставување и надградба на не-земјоделски производствени активности во руралните средини</w:t>
      </w:r>
      <w:r>
        <w:rPr>
          <w:rFonts w:ascii="StobiSerif Regular" w:hAnsi="StobiSerif Regular"/>
        </w:rPr>
        <w:t>, три се реал</w:t>
      </w:r>
      <w:r w:rsidR="00E23E9D">
        <w:rPr>
          <w:rFonts w:ascii="StobiSerif Regular" w:hAnsi="StobiSerif Regular"/>
        </w:rPr>
        <w:t>изирани во под мерката  3022-</w:t>
      </w:r>
      <w:r w:rsidRPr="009C238F">
        <w:rPr>
          <w:rFonts w:ascii="StobiSerif Regular" w:hAnsi="StobiSerif Regular"/>
          <w:lang w:val="en-GB"/>
        </w:rPr>
        <w:t>Диверзификација на земјоделски приходи</w:t>
      </w:r>
      <w:r>
        <w:rPr>
          <w:rFonts w:ascii="StobiSerif Regular" w:hAnsi="StobiSerif Regular"/>
        </w:rPr>
        <w:t xml:space="preserve">. </w:t>
      </w:r>
    </w:p>
    <w:p w:rsidR="00784CD1" w:rsidRPr="00677FC7" w:rsidRDefault="007D3C36" w:rsidP="00784CD1">
      <w:pPr>
        <w:spacing w:after="0"/>
        <w:rPr>
          <w:rFonts w:ascii="StobiSerif Regular" w:eastAsia="Times New Roman" w:hAnsi="StobiSerif Regular" w:cs="Times New Roman"/>
          <w:b/>
          <w:bCs/>
          <w:lang w:val="en-US"/>
        </w:rPr>
      </w:pPr>
      <w:bookmarkStart w:id="46" w:name="_Toc485394912"/>
      <w:r w:rsidRPr="00677FC7">
        <w:rPr>
          <w:rFonts w:ascii="StobiSerif Regular" w:eastAsia="Times New Roman" w:hAnsi="StobiSerif Regular" w:cs="Times New Roman"/>
          <w:b/>
          <w:lang w:eastAsia="zh-CN"/>
        </w:rPr>
        <w:t>Табела</w:t>
      </w:r>
      <w:r w:rsidR="006C55E6" w:rsidRPr="00677FC7">
        <w:rPr>
          <w:rFonts w:ascii="StobiSerif Regular" w:eastAsia="Times New Roman" w:hAnsi="StobiSerif Regular" w:cs="Times New Roman"/>
          <w:b/>
          <w:lang w:val="en-GB" w:eastAsia="zh-CN"/>
        </w:rPr>
        <w:t xml:space="preserve"> </w:t>
      </w:r>
      <w:r w:rsidR="006C55E6" w:rsidRPr="00677FC7">
        <w:rPr>
          <w:rFonts w:ascii="StobiSerif Regular" w:eastAsia="Times New Roman" w:hAnsi="StobiSerif Regular" w:cs="Times New Roman"/>
          <w:b/>
          <w:lang w:val="en-GB" w:eastAsia="zh-CN"/>
        </w:rPr>
        <w:fldChar w:fldCharType="begin"/>
      </w:r>
      <w:r w:rsidR="006C55E6" w:rsidRPr="00677FC7">
        <w:rPr>
          <w:rFonts w:ascii="StobiSerif Regular" w:eastAsia="Times New Roman" w:hAnsi="StobiSerif Regular" w:cs="Times New Roman"/>
          <w:b/>
          <w:lang w:val="en-GB" w:eastAsia="zh-CN"/>
        </w:rPr>
        <w:instrText xml:space="preserve"> SEQ Table \* ARABIC </w:instrText>
      </w:r>
      <w:r w:rsidR="006C55E6" w:rsidRPr="00677FC7">
        <w:rPr>
          <w:rFonts w:ascii="StobiSerif Regular" w:eastAsia="Times New Roman" w:hAnsi="StobiSerif Regular" w:cs="Times New Roman"/>
          <w:b/>
          <w:lang w:val="en-GB" w:eastAsia="zh-CN"/>
        </w:rPr>
        <w:fldChar w:fldCharType="separate"/>
      </w:r>
      <w:r w:rsidR="006C55E6" w:rsidRPr="00677FC7">
        <w:rPr>
          <w:rFonts w:ascii="StobiSerif Regular" w:eastAsia="Times New Roman" w:hAnsi="StobiSerif Regular" w:cs="Times New Roman"/>
          <w:b/>
          <w:noProof/>
          <w:lang w:val="en-GB" w:eastAsia="zh-CN"/>
        </w:rPr>
        <w:t>20</w:t>
      </w:r>
      <w:r w:rsidR="006C55E6" w:rsidRPr="00677FC7">
        <w:rPr>
          <w:rFonts w:ascii="StobiSerif Regular" w:eastAsia="Times New Roman" w:hAnsi="StobiSerif Regular" w:cs="Times New Roman"/>
          <w:b/>
          <w:lang w:val="en-GB" w:eastAsia="zh-CN"/>
        </w:rPr>
        <w:fldChar w:fldCharType="end"/>
      </w:r>
      <w:r w:rsidR="006C55E6" w:rsidRPr="00677FC7">
        <w:rPr>
          <w:rFonts w:ascii="StobiSerif Regular" w:eastAsia="Times New Roman" w:hAnsi="StobiSerif Regular" w:cs="Times New Roman"/>
          <w:b/>
          <w:lang w:val="en-GB" w:eastAsia="zh-CN"/>
        </w:rPr>
        <w:t xml:space="preserve">: </w:t>
      </w:r>
      <w:r w:rsidR="009C238F" w:rsidRPr="00677FC7">
        <w:rPr>
          <w:rFonts w:ascii="StobiSerif Regular" w:hAnsi="StobiSerif Regular"/>
          <w:b/>
        </w:rPr>
        <w:t>Квалитативна анализа по приоритетен сектор во M302</w:t>
      </w:r>
      <w:bookmarkEnd w:id="46"/>
    </w:p>
    <w:tbl>
      <w:tblPr>
        <w:tblW w:w="878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ayout w:type="fixed"/>
        <w:tblLook w:val="00A0" w:firstRow="1" w:lastRow="0" w:firstColumn="1" w:lastColumn="0" w:noHBand="0" w:noVBand="0"/>
      </w:tblPr>
      <w:tblGrid>
        <w:gridCol w:w="1701"/>
        <w:gridCol w:w="1276"/>
        <w:gridCol w:w="1134"/>
        <w:gridCol w:w="1134"/>
        <w:gridCol w:w="1276"/>
        <w:gridCol w:w="1276"/>
        <w:gridCol w:w="992"/>
      </w:tblGrid>
      <w:tr w:rsidR="00717107" w:rsidRPr="000B5E5D" w:rsidTr="00E23E9D">
        <w:trPr>
          <w:trHeight w:val="300"/>
        </w:trPr>
        <w:tc>
          <w:tcPr>
            <w:tcW w:w="1701" w:type="dxa"/>
            <w:tcBorders>
              <w:bottom w:val="single" w:sz="8" w:space="0" w:color="auto"/>
            </w:tcBorders>
            <w:shd w:val="clear" w:color="auto" w:fill="D9D9D9" w:themeFill="background1" w:themeFillShade="D9"/>
            <w:noWrap/>
            <w:vAlign w:val="center"/>
          </w:tcPr>
          <w:p w:rsidR="00717107" w:rsidRPr="00E23E9D" w:rsidRDefault="00E23E9D" w:rsidP="00784CD1">
            <w:pPr>
              <w:spacing w:after="0" w:line="240" w:lineRule="auto"/>
              <w:rPr>
                <w:rFonts w:ascii="StobiSerif Regular" w:hAnsi="StobiSerif Regular"/>
                <w:sz w:val="18"/>
                <w:szCs w:val="18"/>
                <w:lang w:eastAsia="mk-MK"/>
              </w:rPr>
            </w:pPr>
            <w:r>
              <w:rPr>
                <w:rFonts w:ascii="StobiSerif Regular" w:hAnsi="StobiSerif Regular"/>
                <w:b/>
                <w:sz w:val="18"/>
                <w:szCs w:val="18"/>
                <w:lang w:eastAsia="mk-MK"/>
              </w:rPr>
              <w:t>Сектор</w:t>
            </w:r>
          </w:p>
        </w:tc>
        <w:tc>
          <w:tcPr>
            <w:tcW w:w="1276" w:type="dxa"/>
            <w:tcBorders>
              <w:bottom w:val="single" w:sz="8" w:space="0" w:color="auto"/>
            </w:tcBorders>
            <w:shd w:val="clear" w:color="auto" w:fill="D9D9D9" w:themeFill="background1" w:themeFillShade="D9"/>
            <w:noWrap/>
            <w:vAlign w:val="center"/>
          </w:tcPr>
          <w:p w:rsidR="00717107" w:rsidRPr="000B5E5D" w:rsidRDefault="00E23E9D" w:rsidP="00784CD1">
            <w:pPr>
              <w:spacing w:after="0" w:line="240" w:lineRule="auto"/>
              <w:jc w:val="center"/>
              <w:rPr>
                <w:rFonts w:ascii="StobiSerif Regular" w:hAnsi="StobiSerif Regular"/>
                <w:b/>
                <w:sz w:val="18"/>
                <w:szCs w:val="18"/>
                <w:lang w:val="en-US" w:eastAsia="mk-MK"/>
              </w:rPr>
            </w:pPr>
            <w:r>
              <w:rPr>
                <w:rFonts w:ascii="StobiSerif Regular" w:hAnsi="StobiSerif Regular"/>
                <w:b/>
                <w:sz w:val="18"/>
                <w:szCs w:val="18"/>
                <w:lang w:eastAsia="mk-MK"/>
              </w:rPr>
              <w:t xml:space="preserve">Поднесени </w:t>
            </w:r>
            <w:r w:rsidR="00717107" w:rsidRPr="000B5E5D">
              <w:rPr>
                <w:rFonts w:ascii="StobiSerif Regular" w:hAnsi="StobiSerif Regular"/>
                <w:b/>
                <w:sz w:val="18"/>
                <w:szCs w:val="18"/>
                <w:lang w:val="en-US" w:eastAsia="mk-MK"/>
              </w:rPr>
              <w:t xml:space="preserve"> </w:t>
            </w:r>
          </w:p>
        </w:tc>
        <w:tc>
          <w:tcPr>
            <w:tcW w:w="1134" w:type="dxa"/>
            <w:tcBorders>
              <w:bottom w:val="single" w:sz="8" w:space="0" w:color="auto"/>
            </w:tcBorders>
            <w:shd w:val="clear" w:color="auto" w:fill="D9D9D9" w:themeFill="background1" w:themeFillShade="D9"/>
            <w:noWrap/>
            <w:vAlign w:val="center"/>
          </w:tcPr>
          <w:p w:rsidR="00717107" w:rsidRPr="00E23E9D" w:rsidRDefault="00E23E9D" w:rsidP="00784CD1">
            <w:pPr>
              <w:spacing w:after="0" w:line="240" w:lineRule="auto"/>
              <w:jc w:val="center"/>
              <w:rPr>
                <w:rFonts w:ascii="StobiSerif Regular" w:hAnsi="StobiSerif Regular"/>
                <w:b/>
                <w:sz w:val="18"/>
                <w:szCs w:val="18"/>
                <w:lang w:eastAsia="mk-MK"/>
              </w:rPr>
            </w:pPr>
            <w:r>
              <w:rPr>
                <w:rFonts w:ascii="StobiSerif Regular" w:hAnsi="StobiSerif Regular"/>
                <w:b/>
                <w:sz w:val="18"/>
                <w:szCs w:val="18"/>
                <w:lang w:eastAsia="mk-MK"/>
              </w:rPr>
              <w:t xml:space="preserve">Одбиени </w:t>
            </w:r>
          </w:p>
        </w:tc>
        <w:tc>
          <w:tcPr>
            <w:tcW w:w="1134" w:type="dxa"/>
            <w:tcBorders>
              <w:bottom w:val="single" w:sz="8" w:space="0" w:color="auto"/>
            </w:tcBorders>
            <w:shd w:val="clear" w:color="auto" w:fill="D9D9D9" w:themeFill="background1" w:themeFillShade="D9"/>
            <w:noWrap/>
            <w:vAlign w:val="center"/>
          </w:tcPr>
          <w:p w:rsidR="00717107" w:rsidRPr="000B5E5D" w:rsidRDefault="00E23E9D" w:rsidP="00784CD1">
            <w:pPr>
              <w:spacing w:after="0" w:line="240" w:lineRule="auto"/>
              <w:jc w:val="center"/>
              <w:rPr>
                <w:rFonts w:ascii="StobiSerif Regular" w:hAnsi="StobiSerif Regular"/>
                <w:b/>
                <w:sz w:val="18"/>
                <w:szCs w:val="18"/>
                <w:lang w:val="en-US" w:eastAsia="mk-MK"/>
              </w:rPr>
            </w:pPr>
            <w:r>
              <w:rPr>
                <w:rFonts w:ascii="StobiSerif Regular" w:hAnsi="StobiSerif Regular"/>
                <w:b/>
                <w:sz w:val="18"/>
                <w:szCs w:val="18"/>
                <w:lang w:eastAsia="mk-MK"/>
              </w:rPr>
              <w:t xml:space="preserve">Одобрени </w:t>
            </w:r>
            <w:r w:rsidR="00717107" w:rsidRPr="000B5E5D">
              <w:rPr>
                <w:rFonts w:ascii="StobiSerif Regular" w:hAnsi="StobiSerif Regular"/>
                <w:b/>
                <w:sz w:val="18"/>
                <w:szCs w:val="18"/>
                <w:lang w:val="en-US" w:eastAsia="mk-MK"/>
              </w:rPr>
              <w:t xml:space="preserve"> </w:t>
            </w:r>
          </w:p>
        </w:tc>
        <w:tc>
          <w:tcPr>
            <w:tcW w:w="1276" w:type="dxa"/>
            <w:tcBorders>
              <w:bottom w:val="single" w:sz="8" w:space="0" w:color="auto"/>
            </w:tcBorders>
            <w:shd w:val="clear" w:color="auto" w:fill="D9D9D9" w:themeFill="background1" w:themeFillShade="D9"/>
            <w:vAlign w:val="center"/>
          </w:tcPr>
          <w:p w:rsidR="00717107" w:rsidRPr="000B5E5D" w:rsidRDefault="00E23E9D" w:rsidP="00784CD1">
            <w:pPr>
              <w:spacing w:after="0" w:line="240" w:lineRule="auto"/>
              <w:jc w:val="center"/>
              <w:rPr>
                <w:rFonts w:ascii="StobiSerif Regular" w:hAnsi="StobiSerif Regular"/>
                <w:b/>
                <w:sz w:val="18"/>
                <w:szCs w:val="18"/>
                <w:lang w:val="en-US" w:eastAsia="mk-MK"/>
              </w:rPr>
            </w:pPr>
            <w:r>
              <w:rPr>
                <w:rFonts w:ascii="StobiSerif Regular" w:hAnsi="StobiSerif Regular"/>
                <w:b/>
                <w:sz w:val="18"/>
                <w:szCs w:val="18"/>
                <w:lang w:eastAsia="mk-MK"/>
              </w:rPr>
              <w:t xml:space="preserve">Исплатени </w:t>
            </w:r>
            <w:r w:rsidR="00717107" w:rsidRPr="000B5E5D">
              <w:rPr>
                <w:rFonts w:ascii="StobiSerif Regular" w:hAnsi="StobiSerif Regular"/>
                <w:b/>
                <w:sz w:val="18"/>
                <w:szCs w:val="18"/>
                <w:lang w:val="en-US" w:eastAsia="mk-MK"/>
              </w:rPr>
              <w:t xml:space="preserve"> </w:t>
            </w:r>
          </w:p>
        </w:tc>
        <w:tc>
          <w:tcPr>
            <w:tcW w:w="1276" w:type="dxa"/>
            <w:tcBorders>
              <w:bottom w:val="single" w:sz="8" w:space="0" w:color="auto"/>
            </w:tcBorders>
            <w:shd w:val="clear" w:color="auto" w:fill="D9D9D9" w:themeFill="background1" w:themeFillShade="D9"/>
            <w:vAlign w:val="center"/>
          </w:tcPr>
          <w:p w:rsidR="00717107" w:rsidRPr="000B5E5D" w:rsidRDefault="00E23E9D" w:rsidP="00784CD1">
            <w:pPr>
              <w:spacing w:after="0" w:line="240" w:lineRule="auto"/>
              <w:jc w:val="center"/>
              <w:rPr>
                <w:rFonts w:ascii="StobiSerif Regular" w:hAnsi="StobiSerif Regular"/>
                <w:b/>
                <w:sz w:val="18"/>
                <w:szCs w:val="18"/>
                <w:lang w:val="en-US" w:eastAsia="mk-MK"/>
              </w:rPr>
            </w:pPr>
            <w:r>
              <w:rPr>
                <w:rFonts w:ascii="StobiSerif Regular" w:hAnsi="StobiSerif Regular"/>
                <w:b/>
                <w:sz w:val="18"/>
                <w:szCs w:val="18"/>
                <w:lang w:eastAsia="mk-MK"/>
              </w:rPr>
              <w:t xml:space="preserve">Раскинати </w:t>
            </w:r>
            <w:r w:rsidR="00717107" w:rsidRPr="000B5E5D">
              <w:rPr>
                <w:rFonts w:ascii="StobiSerif Regular" w:hAnsi="StobiSerif Regular"/>
                <w:b/>
                <w:sz w:val="18"/>
                <w:szCs w:val="18"/>
                <w:lang w:val="en-US" w:eastAsia="mk-MK"/>
              </w:rPr>
              <w:t xml:space="preserve"> </w:t>
            </w:r>
          </w:p>
        </w:tc>
        <w:tc>
          <w:tcPr>
            <w:tcW w:w="992" w:type="dxa"/>
            <w:tcBorders>
              <w:bottom w:val="single" w:sz="8" w:space="0" w:color="auto"/>
            </w:tcBorders>
            <w:shd w:val="clear" w:color="auto" w:fill="D9D9D9" w:themeFill="background1" w:themeFillShade="D9"/>
            <w:vAlign w:val="center"/>
          </w:tcPr>
          <w:p w:rsidR="00717107" w:rsidRPr="00E23E9D" w:rsidRDefault="00E23E9D" w:rsidP="00784CD1">
            <w:pPr>
              <w:spacing w:after="0" w:line="240" w:lineRule="auto"/>
              <w:jc w:val="center"/>
              <w:rPr>
                <w:rFonts w:ascii="StobiSerif Regular" w:hAnsi="StobiSerif Regular"/>
                <w:b/>
                <w:sz w:val="18"/>
                <w:szCs w:val="18"/>
                <w:lang w:eastAsia="mk-MK"/>
              </w:rPr>
            </w:pPr>
            <w:r>
              <w:rPr>
                <w:rFonts w:ascii="StobiSerif Regular" w:hAnsi="StobiSerif Regular"/>
                <w:b/>
                <w:sz w:val="18"/>
                <w:szCs w:val="18"/>
                <w:lang w:eastAsia="mk-MK"/>
              </w:rPr>
              <w:t xml:space="preserve">Тековни </w:t>
            </w:r>
          </w:p>
        </w:tc>
      </w:tr>
      <w:tr w:rsidR="00717107" w:rsidRPr="000B5E5D" w:rsidTr="00E23E9D">
        <w:trPr>
          <w:trHeight w:val="300"/>
        </w:trPr>
        <w:tc>
          <w:tcPr>
            <w:tcW w:w="1701" w:type="dxa"/>
            <w:shd w:val="clear" w:color="auto" w:fill="auto"/>
            <w:noWrap/>
            <w:vAlign w:val="center"/>
          </w:tcPr>
          <w:p w:rsidR="00717107" w:rsidRPr="000B5E5D" w:rsidRDefault="00E23E9D" w:rsidP="00784CD1">
            <w:pPr>
              <w:spacing w:after="0" w:line="240" w:lineRule="auto"/>
              <w:rPr>
                <w:rFonts w:ascii="StobiSerif Regular" w:hAnsi="StobiSerif Regular"/>
                <w:sz w:val="18"/>
                <w:szCs w:val="18"/>
                <w:lang w:eastAsia="mk-MK"/>
              </w:rPr>
            </w:pPr>
            <w:r>
              <w:rPr>
                <w:rFonts w:ascii="StobiSerif Regular" w:hAnsi="StobiSerif Regular"/>
                <w:sz w:val="18"/>
                <w:szCs w:val="18"/>
                <w:lang w:eastAsia="mk-MK"/>
              </w:rPr>
              <w:t>Не-земјоделски</w:t>
            </w:r>
          </w:p>
        </w:tc>
        <w:tc>
          <w:tcPr>
            <w:tcW w:w="1276"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136</w:t>
            </w:r>
          </w:p>
        </w:tc>
        <w:tc>
          <w:tcPr>
            <w:tcW w:w="1134"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116</w:t>
            </w:r>
          </w:p>
        </w:tc>
        <w:tc>
          <w:tcPr>
            <w:tcW w:w="1134"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20</w:t>
            </w:r>
          </w:p>
        </w:tc>
        <w:tc>
          <w:tcPr>
            <w:tcW w:w="1276"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5</w:t>
            </w:r>
          </w:p>
        </w:tc>
        <w:tc>
          <w:tcPr>
            <w:tcW w:w="1276"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6</w:t>
            </w:r>
          </w:p>
        </w:tc>
        <w:tc>
          <w:tcPr>
            <w:tcW w:w="992"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9</w:t>
            </w:r>
          </w:p>
        </w:tc>
      </w:tr>
      <w:tr w:rsidR="00717107" w:rsidRPr="000B5E5D" w:rsidTr="00E23E9D">
        <w:trPr>
          <w:trHeight w:val="300"/>
        </w:trPr>
        <w:tc>
          <w:tcPr>
            <w:tcW w:w="1701" w:type="dxa"/>
            <w:shd w:val="clear" w:color="auto" w:fill="auto"/>
            <w:noWrap/>
            <w:vAlign w:val="center"/>
          </w:tcPr>
          <w:p w:rsidR="00717107" w:rsidRPr="000B5E5D" w:rsidRDefault="00E23E9D" w:rsidP="00784CD1">
            <w:pPr>
              <w:spacing w:after="0" w:line="240" w:lineRule="auto"/>
              <w:rPr>
                <w:rFonts w:ascii="StobiSerif Regular" w:hAnsi="StobiSerif Regular"/>
                <w:sz w:val="18"/>
                <w:szCs w:val="18"/>
                <w:lang w:val="en-GB" w:eastAsia="mk-MK"/>
              </w:rPr>
            </w:pPr>
            <w:r>
              <w:rPr>
                <w:rFonts w:ascii="StobiSerif Regular" w:hAnsi="StobiSerif Regular"/>
                <w:sz w:val="18"/>
                <w:szCs w:val="18"/>
                <w:lang w:eastAsia="mk-MK"/>
              </w:rPr>
              <w:t xml:space="preserve">Занаетчиство </w:t>
            </w:r>
            <w:r w:rsidR="00717107" w:rsidRPr="000B5E5D">
              <w:rPr>
                <w:rFonts w:ascii="StobiSerif Regular" w:hAnsi="StobiSerif Regular"/>
                <w:sz w:val="18"/>
                <w:szCs w:val="18"/>
                <w:lang w:val="en-US" w:eastAsia="mk-MK"/>
              </w:rPr>
              <w:t xml:space="preserve"> </w:t>
            </w:r>
          </w:p>
        </w:tc>
        <w:tc>
          <w:tcPr>
            <w:tcW w:w="1276"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29</w:t>
            </w:r>
          </w:p>
        </w:tc>
        <w:tc>
          <w:tcPr>
            <w:tcW w:w="1134"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25</w:t>
            </w:r>
          </w:p>
        </w:tc>
        <w:tc>
          <w:tcPr>
            <w:tcW w:w="1134"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4</w:t>
            </w:r>
          </w:p>
        </w:tc>
        <w:tc>
          <w:tcPr>
            <w:tcW w:w="1276"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0</w:t>
            </w:r>
          </w:p>
        </w:tc>
        <w:tc>
          <w:tcPr>
            <w:tcW w:w="1276"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2</w:t>
            </w:r>
          </w:p>
        </w:tc>
        <w:tc>
          <w:tcPr>
            <w:tcW w:w="992"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2</w:t>
            </w:r>
          </w:p>
        </w:tc>
      </w:tr>
      <w:tr w:rsidR="00717107" w:rsidRPr="000B5E5D" w:rsidTr="00E23E9D">
        <w:trPr>
          <w:trHeight w:val="300"/>
        </w:trPr>
        <w:tc>
          <w:tcPr>
            <w:tcW w:w="1701" w:type="dxa"/>
            <w:shd w:val="clear" w:color="auto" w:fill="auto"/>
            <w:noWrap/>
            <w:vAlign w:val="center"/>
          </w:tcPr>
          <w:p w:rsidR="00717107" w:rsidRPr="000B5E5D" w:rsidRDefault="00E23E9D" w:rsidP="00784CD1">
            <w:pPr>
              <w:spacing w:after="0" w:line="240" w:lineRule="auto"/>
              <w:rPr>
                <w:rFonts w:ascii="StobiSerif Regular" w:hAnsi="StobiSerif Regular"/>
                <w:sz w:val="18"/>
                <w:szCs w:val="18"/>
                <w:lang w:val="en-US" w:eastAsia="mk-MK"/>
              </w:rPr>
            </w:pPr>
            <w:r>
              <w:rPr>
                <w:rFonts w:ascii="StobiSerif Regular" w:hAnsi="StobiSerif Regular"/>
                <w:sz w:val="18"/>
                <w:szCs w:val="18"/>
                <w:lang w:eastAsia="mk-MK"/>
              </w:rPr>
              <w:t>Земјоделски услуги</w:t>
            </w:r>
            <w:r w:rsidR="00717107" w:rsidRPr="000B5E5D">
              <w:rPr>
                <w:rFonts w:ascii="StobiSerif Regular" w:hAnsi="StobiSerif Regular"/>
                <w:sz w:val="18"/>
                <w:szCs w:val="18"/>
                <w:lang w:val="en-US" w:eastAsia="mk-MK"/>
              </w:rPr>
              <w:t xml:space="preserve"> </w:t>
            </w:r>
          </w:p>
        </w:tc>
        <w:tc>
          <w:tcPr>
            <w:tcW w:w="1276"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10</w:t>
            </w:r>
          </w:p>
        </w:tc>
        <w:tc>
          <w:tcPr>
            <w:tcW w:w="1134"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4</w:t>
            </w:r>
          </w:p>
        </w:tc>
        <w:tc>
          <w:tcPr>
            <w:tcW w:w="1134" w:type="dxa"/>
            <w:shd w:val="clear" w:color="auto" w:fill="auto"/>
            <w:noWrap/>
            <w:vAlign w:val="bottom"/>
          </w:tcPr>
          <w:p w:rsidR="00717107" w:rsidRPr="000B5E5D" w:rsidRDefault="00C60B5C" w:rsidP="00325DFD">
            <w:pPr>
              <w:spacing w:after="0" w:line="240" w:lineRule="auto"/>
              <w:rPr>
                <w:rFonts w:ascii="StobiSerif Regular" w:hAnsi="StobiSerif Regular"/>
                <w:sz w:val="18"/>
                <w:szCs w:val="18"/>
                <w:lang w:val="en-US" w:eastAsia="mk-MK"/>
              </w:rPr>
            </w:pPr>
            <w:r w:rsidRPr="000B5E5D">
              <w:rPr>
                <w:rFonts w:ascii="StobiSerif Regular" w:hAnsi="StobiSerif Regular"/>
                <w:sz w:val="18"/>
                <w:szCs w:val="18"/>
                <w:lang w:val="en-US" w:eastAsia="mk-MK"/>
              </w:rPr>
              <w:t>3</w:t>
            </w:r>
          </w:p>
        </w:tc>
        <w:tc>
          <w:tcPr>
            <w:tcW w:w="1276"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0</w:t>
            </w:r>
          </w:p>
        </w:tc>
        <w:tc>
          <w:tcPr>
            <w:tcW w:w="1276" w:type="dxa"/>
            <w:shd w:val="clear" w:color="auto" w:fill="auto"/>
            <w:vAlign w:val="bottom"/>
          </w:tcPr>
          <w:p w:rsidR="00717107" w:rsidRPr="000B5E5D" w:rsidRDefault="00C60B5C" w:rsidP="00325DFD">
            <w:pPr>
              <w:spacing w:after="0" w:line="240" w:lineRule="auto"/>
              <w:rPr>
                <w:rFonts w:ascii="StobiSerif Regular" w:hAnsi="StobiSerif Regular"/>
                <w:sz w:val="18"/>
                <w:szCs w:val="18"/>
                <w:lang w:val="en-US" w:eastAsia="mk-MK"/>
              </w:rPr>
            </w:pPr>
            <w:r w:rsidRPr="000B5E5D">
              <w:rPr>
                <w:rFonts w:ascii="StobiSerif Regular" w:hAnsi="StobiSerif Regular"/>
                <w:sz w:val="18"/>
                <w:szCs w:val="18"/>
                <w:lang w:val="en-US" w:eastAsia="mk-MK"/>
              </w:rPr>
              <w:t>3</w:t>
            </w:r>
          </w:p>
        </w:tc>
        <w:tc>
          <w:tcPr>
            <w:tcW w:w="992"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0</w:t>
            </w:r>
          </w:p>
        </w:tc>
      </w:tr>
      <w:tr w:rsidR="00717107" w:rsidRPr="000B5E5D" w:rsidTr="00E23E9D">
        <w:trPr>
          <w:trHeight w:val="300"/>
        </w:trPr>
        <w:tc>
          <w:tcPr>
            <w:tcW w:w="1701" w:type="dxa"/>
            <w:shd w:val="clear" w:color="auto" w:fill="auto"/>
            <w:noWrap/>
            <w:vAlign w:val="center"/>
          </w:tcPr>
          <w:p w:rsidR="00717107" w:rsidRPr="00E23E9D" w:rsidRDefault="00E23E9D" w:rsidP="00784CD1">
            <w:pPr>
              <w:spacing w:after="0" w:line="240" w:lineRule="auto"/>
              <w:rPr>
                <w:rFonts w:ascii="StobiSerif Regular" w:hAnsi="StobiSerif Regular"/>
                <w:sz w:val="18"/>
                <w:szCs w:val="18"/>
                <w:lang w:eastAsia="mk-MK"/>
              </w:rPr>
            </w:pPr>
            <w:r>
              <w:rPr>
                <w:rFonts w:ascii="StobiSerif Regular" w:hAnsi="StobiSerif Regular"/>
                <w:sz w:val="18"/>
                <w:szCs w:val="18"/>
                <w:lang w:eastAsia="mk-MK"/>
              </w:rPr>
              <w:t>Алтернативно производство</w:t>
            </w:r>
          </w:p>
        </w:tc>
        <w:tc>
          <w:tcPr>
            <w:tcW w:w="1276"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34</w:t>
            </w:r>
          </w:p>
        </w:tc>
        <w:tc>
          <w:tcPr>
            <w:tcW w:w="1134"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29</w:t>
            </w:r>
          </w:p>
        </w:tc>
        <w:tc>
          <w:tcPr>
            <w:tcW w:w="1134"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5</w:t>
            </w:r>
          </w:p>
        </w:tc>
        <w:tc>
          <w:tcPr>
            <w:tcW w:w="1276"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3</w:t>
            </w:r>
          </w:p>
        </w:tc>
        <w:tc>
          <w:tcPr>
            <w:tcW w:w="1276"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0</w:t>
            </w:r>
          </w:p>
        </w:tc>
        <w:tc>
          <w:tcPr>
            <w:tcW w:w="992"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2</w:t>
            </w:r>
          </w:p>
        </w:tc>
      </w:tr>
      <w:tr w:rsidR="00717107" w:rsidRPr="000B5E5D" w:rsidTr="00E23E9D">
        <w:trPr>
          <w:trHeight w:val="300"/>
        </w:trPr>
        <w:tc>
          <w:tcPr>
            <w:tcW w:w="1701" w:type="dxa"/>
            <w:shd w:val="clear" w:color="auto" w:fill="auto"/>
            <w:noWrap/>
            <w:vAlign w:val="center"/>
          </w:tcPr>
          <w:p w:rsidR="00717107" w:rsidRPr="000B5E5D" w:rsidRDefault="00E23E9D" w:rsidP="00784CD1">
            <w:pPr>
              <w:spacing w:after="0" w:line="240" w:lineRule="auto"/>
              <w:rPr>
                <w:rFonts w:ascii="StobiSerif Regular" w:hAnsi="StobiSerif Regular"/>
                <w:sz w:val="18"/>
                <w:szCs w:val="18"/>
                <w:lang w:val="en-US" w:eastAsia="mk-MK"/>
              </w:rPr>
            </w:pPr>
            <w:r>
              <w:rPr>
                <w:rFonts w:ascii="StobiSerif Regular" w:hAnsi="StobiSerif Regular"/>
                <w:sz w:val="18"/>
                <w:szCs w:val="18"/>
                <w:lang w:eastAsia="mk-MK"/>
              </w:rPr>
              <w:t>Рурален туризам</w:t>
            </w:r>
            <w:r w:rsidR="00717107" w:rsidRPr="000B5E5D">
              <w:rPr>
                <w:rFonts w:ascii="StobiSerif Regular" w:hAnsi="StobiSerif Regular"/>
                <w:sz w:val="18"/>
                <w:szCs w:val="18"/>
                <w:lang w:val="en-US" w:eastAsia="mk-MK"/>
              </w:rPr>
              <w:t xml:space="preserve"> </w:t>
            </w:r>
          </w:p>
        </w:tc>
        <w:tc>
          <w:tcPr>
            <w:tcW w:w="1276"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142</w:t>
            </w:r>
          </w:p>
        </w:tc>
        <w:tc>
          <w:tcPr>
            <w:tcW w:w="1134"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136</w:t>
            </w:r>
          </w:p>
        </w:tc>
        <w:tc>
          <w:tcPr>
            <w:tcW w:w="1134" w:type="dxa"/>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6</w:t>
            </w:r>
          </w:p>
        </w:tc>
        <w:tc>
          <w:tcPr>
            <w:tcW w:w="1276"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0</w:t>
            </w:r>
          </w:p>
        </w:tc>
        <w:tc>
          <w:tcPr>
            <w:tcW w:w="1276"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2</w:t>
            </w:r>
          </w:p>
        </w:tc>
        <w:tc>
          <w:tcPr>
            <w:tcW w:w="992" w:type="dxa"/>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4</w:t>
            </w:r>
          </w:p>
        </w:tc>
      </w:tr>
      <w:tr w:rsidR="00717107" w:rsidRPr="000B5E5D" w:rsidTr="00E23E9D">
        <w:trPr>
          <w:trHeight w:val="300"/>
        </w:trPr>
        <w:tc>
          <w:tcPr>
            <w:tcW w:w="1701" w:type="dxa"/>
            <w:tcBorders>
              <w:bottom w:val="single" w:sz="8" w:space="0" w:color="auto"/>
            </w:tcBorders>
            <w:shd w:val="clear" w:color="auto" w:fill="auto"/>
            <w:noWrap/>
            <w:vAlign w:val="center"/>
          </w:tcPr>
          <w:p w:rsidR="00717107" w:rsidRPr="000B5E5D" w:rsidRDefault="00E23E9D" w:rsidP="00784CD1">
            <w:pPr>
              <w:spacing w:after="0" w:line="240" w:lineRule="auto"/>
              <w:rPr>
                <w:rFonts w:ascii="StobiSerif Regular" w:hAnsi="StobiSerif Regular"/>
                <w:sz w:val="18"/>
                <w:szCs w:val="18"/>
                <w:lang w:val="en-US" w:eastAsia="mk-MK"/>
              </w:rPr>
            </w:pPr>
            <w:r>
              <w:rPr>
                <w:rFonts w:ascii="StobiSerif Regular" w:hAnsi="StobiSerif Regular"/>
                <w:sz w:val="18"/>
                <w:szCs w:val="18"/>
                <w:lang w:eastAsia="mk-MK"/>
              </w:rPr>
              <w:t>Без тип</w:t>
            </w:r>
            <w:r w:rsidR="00717107" w:rsidRPr="000B5E5D">
              <w:rPr>
                <w:rFonts w:ascii="StobiSerif Regular" w:hAnsi="StobiSerif Regular"/>
                <w:sz w:val="18"/>
                <w:szCs w:val="18"/>
                <w:lang w:val="en-US" w:eastAsia="mk-MK"/>
              </w:rPr>
              <w:t xml:space="preserve"> </w:t>
            </w:r>
          </w:p>
        </w:tc>
        <w:tc>
          <w:tcPr>
            <w:tcW w:w="1276" w:type="dxa"/>
            <w:tcBorders>
              <w:bottom w:val="single" w:sz="8" w:space="0" w:color="auto"/>
            </w:tcBorders>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15</w:t>
            </w:r>
          </w:p>
        </w:tc>
        <w:tc>
          <w:tcPr>
            <w:tcW w:w="1134" w:type="dxa"/>
            <w:tcBorders>
              <w:bottom w:val="single" w:sz="8" w:space="0" w:color="auto"/>
            </w:tcBorders>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15</w:t>
            </w:r>
          </w:p>
        </w:tc>
        <w:tc>
          <w:tcPr>
            <w:tcW w:w="1134" w:type="dxa"/>
            <w:tcBorders>
              <w:bottom w:val="single" w:sz="8" w:space="0" w:color="auto"/>
            </w:tcBorders>
            <w:shd w:val="clear" w:color="auto" w:fill="auto"/>
            <w:noWrap/>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0</w:t>
            </w:r>
          </w:p>
        </w:tc>
        <w:tc>
          <w:tcPr>
            <w:tcW w:w="1276" w:type="dxa"/>
            <w:tcBorders>
              <w:bottom w:val="single" w:sz="8" w:space="0" w:color="auto"/>
            </w:tcBorders>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0</w:t>
            </w:r>
          </w:p>
        </w:tc>
        <w:tc>
          <w:tcPr>
            <w:tcW w:w="1276" w:type="dxa"/>
            <w:tcBorders>
              <w:bottom w:val="single" w:sz="8" w:space="0" w:color="auto"/>
            </w:tcBorders>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0</w:t>
            </w:r>
          </w:p>
        </w:tc>
        <w:tc>
          <w:tcPr>
            <w:tcW w:w="992" w:type="dxa"/>
            <w:tcBorders>
              <w:bottom w:val="single" w:sz="8" w:space="0" w:color="auto"/>
            </w:tcBorders>
            <w:shd w:val="clear" w:color="auto" w:fill="auto"/>
            <w:vAlign w:val="bottom"/>
          </w:tcPr>
          <w:p w:rsidR="00717107" w:rsidRPr="000B5E5D" w:rsidRDefault="00717107" w:rsidP="00325DFD">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0</w:t>
            </w:r>
          </w:p>
        </w:tc>
      </w:tr>
      <w:tr w:rsidR="00612E05" w:rsidRPr="000B5E5D" w:rsidTr="00E23E9D">
        <w:trPr>
          <w:trHeight w:val="300"/>
        </w:trPr>
        <w:tc>
          <w:tcPr>
            <w:tcW w:w="1701" w:type="dxa"/>
            <w:shd w:val="clear" w:color="auto" w:fill="D9D9D9" w:themeFill="background1" w:themeFillShade="D9"/>
            <w:noWrap/>
            <w:vAlign w:val="center"/>
          </w:tcPr>
          <w:p w:rsidR="00C60B5C" w:rsidRPr="000B5E5D" w:rsidRDefault="00C60B5C" w:rsidP="00784CD1">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 xml:space="preserve">Total </w:t>
            </w:r>
          </w:p>
        </w:tc>
        <w:tc>
          <w:tcPr>
            <w:tcW w:w="1276" w:type="dxa"/>
            <w:shd w:val="clear" w:color="auto" w:fill="D9D9D9" w:themeFill="background1" w:themeFillShade="D9"/>
            <w:noWrap/>
            <w:vAlign w:val="bottom"/>
          </w:tcPr>
          <w:p w:rsidR="00C60B5C" w:rsidRPr="000B5E5D" w:rsidRDefault="00C60B5C" w:rsidP="00C60B5C">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366</w:t>
            </w:r>
          </w:p>
        </w:tc>
        <w:tc>
          <w:tcPr>
            <w:tcW w:w="1134" w:type="dxa"/>
            <w:shd w:val="clear" w:color="auto" w:fill="D9D9D9" w:themeFill="background1" w:themeFillShade="D9"/>
            <w:noWrap/>
            <w:vAlign w:val="bottom"/>
          </w:tcPr>
          <w:p w:rsidR="00C60B5C" w:rsidRPr="000B5E5D" w:rsidRDefault="00C60B5C" w:rsidP="00C60B5C">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325</w:t>
            </w:r>
          </w:p>
        </w:tc>
        <w:tc>
          <w:tcPr>
            <w:tcW w:w="1134" w:type="dxa"/>
            <w:shd w:val="clear" w:color="auto" w:fill="D9D9D9" w:themeFill="background1" w:themeFillShade="D9"/>
            <w:noWrap/>
            <w:vAlign w:val="bottom"/>
          </w:tcPr>
          <w:p w:rsidR="00C60B5C" w:rsidRPr="000B5E5D" w:rsidRDefault="00C60B5C" w:rsidP="00C60B5C">
            <w:pPr>
              <w:spacing w:after="0" w:line="240" w:lineRule="auto"/>
              <w:rPr>
                <w:rFonts w:ascii="StobiSerif Regular" w:hAnsi="StobiSerif Regular"/>
                <w:sz w:val="18"/>
                <w:szCs w:val="18"/>
                <w:lang w:val="en-US" w:eastAsia="mk-MK"/>
              </w:rPr>
            </w:pPr>
            <w:r w:rsidRPr="000B5E5D">
              <w:rPr>
                <w:rFonts w:ascii="StobiSerif Regular" w:hAnsi="StobiSerif Regular"/>
                <w:sz w:val="18"/>
                <w:szCs w:val="18"/>
                <w:lang w:val="en-US" w:eastAsia="mk-MK"/>
              </w:rPr>
              <w:t>38</w:t>
            </w:r>
          </w:p>
        </w:tc>
        <w:tc>
          <w:tcPr>
            <w:tcW w:w="1276" w:type="dxa"/>
            <w:shd w:val="clear" w:color="auto" w:fill="D9D9D9" w:themeFill="background1" w:themeFillShade="D9"/>
            <w:vAlign w:val="bottom"/>
          </w:tcPr>
          <w:p w:rsidR="00C60B5C" w:rsidRPr="000B5E5D" w:rsidRDefault="00C60B5C" w:rsidP="00C60B5C">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8</w:t>
            </w:r>
          </w:p>
        </w:tc>
        <w:tc>
          <w:tcPr>
            <w:tcW w:w="1276" w:type="dxa"/>
            <w:shd w:val="clear" w:color="auto" w:fill="D9D9D9" w:themeFill="background1" w:themeFillShade="D9"/>
            <w:vAlign w:val="bottom"/>
          </w:tcPr>
          <w:p w:rsidR="00C60B5C" w:rsidRPr="000B5E5D" w:rsidRDefault="00C60B5C" w:rsidP="00C60B5C">
            <w:pPr>
              <w:spacing w:after="0" w:line="240" w:lineRule="auto"/>
              <w:rPr>
                <w:rFonts w:ascii="StobiSerif Regular" w:hAnsi="StobiSerif Regular"/>
                <w:sz w:val="18"/>
                <w:szCs w:val="18"/>
                <w:lang w:val="en-US" w:eastAsia="mk-MK"/>
              </w:rPr>
            </w:pPr>
            <w:r w:rsidRPr="000B5E5D">
              <w:rPr>
                <w:rFonts w:ascii="StobiSerif Regular" w:hAnsi="StobiSerif Regular"/>
                <w:sz w:val="18"/>
                <w:szCs w:val="18"/>
                <w:lang w:eastAsia="mk-MK"/>
              </w:rPr>
              <w:t>1</w:t>
            </w:r>
            <w:r w:rsidRPr="000B5E5D">
              <w:rPr>
                <w:rFonts w:ascii="StobiSerif Regular" w:hAnsi="StobiSerif Regular"/>
                <w:sz w:val="18"/>
                <w:szCs w:val="18"/>
                <w:lang w:val="en-US" w:eastAsia="mk-MK"/>
              </w:rPr>
              <w:t>3</w:t>
            </w:r>
          </w:p>
        </w:tc>
        <w:tc>
          <w:tcPr>
            <w:tcW w:w="992" w:type="dxa"/>
            <w:shd w:val="clear" w:color="auto" w:fill="D9D9D9" w:themeFill="background1" w:themeFillShade="D9"/>
            <w:vAlign w:val="bottom"/>
          </w:tcPr>
          <w:p w:rsidR="00C60B5C" w:rsidRPr="000B5E5D" w:rsidRDefault="00C60B5C" w:rsidP="00C60B5C">
            <w:pPr>
              <w:spacing w:after="0" w:line="240" w:lineRule="auto"/>
              <w:rPr>
                <w:rFonts w:ascii="StobiSerif Regular" w:hAnsi="StobiSerif Regular"/>
                <w:sz w:val="18"/>
                <w:szCs w:val="18"/>
                <w:lang w:eastAsia="mk-MK"/>
              </w:rPr>
            </w:pPr>
            <w:r w:rsidRPr="000B5E5D">
              <w:rPr>
                <w:rFonts w:ascii="StobiSerif Regular" w:hAnsi="StobiSerif Regular"/>
                <w:sz w:val="18"/>
                <w:szCs w:val="18"/>
                <w:lang w:eastAsia="mk-MK"/>
              </w:rPr>
              <w:t>17</w:t>
            </w:r>
          </w:p>
        </w:tc>
      </w:tr>
    </w:tbl>
    <w:p w:rsidR="00784CD1" w:rsidRPr="000B5E5D" w:rsidRDefault="00E23E9D" w:rsidP="00612E05">
      <w:pPr>
        <w:autoSpaceDE w:val="0"/>
        <w:autoSpaceDN w:val="0"/>
        <w:adjustRightInd w:val="0"/>
        <w:spacing w:after="0"/>
        <w:jc w:val="both"/>
        <w:rPr>
          <w:rFonts w:ascii="StobiSerif Regular" w:hAnsi="StobiSerif Regular"/>
          <w:sz w:val="16"/>
          <w:szCs w:val="16"/>
          <w:lang w:val="en-US"/>
        </w:rPr>
      </w:pPr>
      <w:r>
        <w:rPr>
          <w:rFonts w:ascii="StobiSerif Regular" w:eastAsia="Times New Roman" w:hAnsi="StobiSerif Regular" w:cs="Times New Roman"/>
          <w:sz w:val="16"/>
          <w:szCs w:val="16"/>
          <w:lang w:eastAsia="mk-MK"/>
        </w:rPr>
        <w:t>Извор: Мониторинг систем  (2016)</w:t>
      </w:r>
    </w:p>
    <w:p w:rsidR="009C238F" w:rsidRDefault="009C238F" w:rsidP="00955E09">
      <w:pPr>
        <w:spacing w:before="120" w:after="120"/>
        <w:ind w:firstLine="284"/>
        <w:jc w:val="both"/>
        <w:rPr>
          <w:rFonts w:ascii="StobiSerif Regular" w:hAnsi="StobiSerif Regular"/>
        </w:rPr>
      </w:pPr>
      <w:r>
        <w:rPr>
          <w:rFonts w:ascii="StobiSerif Regular" w:hAnsi="StobiSerif Regular"/>
        </w:rPr>
        <w:t xml:space="preserve">Забележано е подобрување од претходната година, десет договори се склучени а 5 договори се завршени. </w:t>
      </w:r>
    </w:p>
    <w:p w:rsidR="00903BA4" w:rsidRPr="00903BA4" w:rsidRDefault="00903BA4" w:rsidP="00903BA4">
      <w:pPr>
        <w:spacing w:before="120" w:after="120"/>
        <w:ind w:firstLine="284"/>
        <w:jc w:val="both"/>
        <w:rPr>
          <w:rFonts w:ascii="StobiSerif Regular" w:hAnsi="StobiSerif Regular"/>
        </w:rPr>
      </w:pPr>
      <w:r w:rsidRPr="00903BA4">
        <w:rPr>
          <w:rFonts w:ascii="StobiSerif Regular" w:hAnsi="StobiSerif Regular"/>
        </w:rPr>
        <w:t>Податоците за причините за одбивање добиени од Агенцијата за јавен повик 02/2015 покажуваат дека повеќе од половина од апликациите биле празни. Главните причини за отфрлање се следниве:</w:t>
      </w:r>
    </w:p>
    <w:p w:rsidR="00903BA4" w:rsidRPr="00903BA4" w:rsidRDefault="00903BA4" w:rsidP="00903BA4">
      <w:pPr>
        <w:pStyle w:val="ListParagraph"/>
        <w:numPr>
          <w:ilvl w:val="0"/>
          <w:numId w:val="55"/>
        </w:numPr>
        <w:spacing w:before="120" w:after="120"/>
        <w:jc w:val="both"/>
        <w:rPr>
          <w:rFonts w:ascii="StobiSerif Regular" w:hAnsi="StobiSerif Regular"/>
        </w:rPr>
      </w:pPr>
      <w:r w:rsidRPr="00903BA4">
        <w:rPr>
          <w:rFonts w:ascii="StobiSerif Regular" w:hAnsi="StobiSerif Regular"/>
        </w:rPr>
        <w:t>Апликантот не одговори на "Известување за пополнување на апликацијата" испратена од Агенцијата - 31 апликација. Оваа апликација беше доставена празна и не ги содржи ниту основните информации за барателот и инвестицијата</w:t>
      </w:r>
    </w:p>
    <w:p w:rsidR="00903BA4" w:rsidRPr="00903BA4" w:rsidRDefault="00903BA4" w:rsidP="00903BA4">
      <w:pPr>
        <w:pStyle w:val="ListParagraph"/>
        <w:numPr>
          <w:ilvl w:val="0"/>
          <w:numId w:val="55"/>
        </w:numPr>
        <w:spacing w:before="120" w:after="120"/>
        <w:jc w:val="both"/>
        <w:rPr>
          <w:rFonts w:ascii="StobiSerif Regular" w:hAnsi="StobiSerif Regular"/>
        </w:rPr>
      </w:pPr>
      <w:r w:rsidRPr="00903BA4">
        <w:rPr>
          <w:rFonts w:ascii="StobiSerif Regular" w:hAnsi="StobiSerif Regular"/>
        </w:rPr>
        <w:t>Апликантот поднел дополнителни документи што ги бара Агенцијата, но сепак некои документи недостигале или содржеле грешки -9 пријави. Во повеќето од овие апликации апликантите наидоа на проблеми со понудите, документ за насловот на земјиште, бизнис план, градежни дозволи итн.</w:t>
      </w:r>
    </w:p>
    <w:p w:rsidR="00903BA4" w:rsidRPr="00903BA4" w:rsidRDefault="00903BA4" w:rsidP="00903BA4">
      <w:pPr>
        <w:pStyle w:val="ListParagraph"/>
        <w:numPr>
          <w:ilvl w:val="0"/>
          <w:numId w:val="55"/>
        </w:numPr>
        <w:spacing w:before="120" w:after="120"/>
        <w:jc w:val="both"/>
        <w:rPr>
          <w:rFonts w:ascii="StobiSerif Regular" w:hAnsi="StobiSerif Regular"/>
        </w:rPr>
      </w:pPr>
      <w:r w:rsidRPr="00903BA4">
        <w:rPr>
          <w:rFonts w:ascii="StobiSerif Regular" w:hAnsi="StobiSerif Regular"/>
        </w:rPr>
        <w:t>Апликантот ја откажа апликацијата со потпишана изјава - 3 апликации</w:t>
      </w:r>
    </w:p>
    <w:p w:rsidR="00903BA4" w:rsidRPr="00903BA4" w:rsidRDefault="00903BA4" w:rsidP="00903BA4">
      <w:pPr>
        <w:pStyle w:val="ListParagraph"/>
        <w:numPr>
          <w:ilvl w:val="0"/>
          <w:numId w:val="55"/>
        </w:numPr>
        <w:spacing w:before="120" w:after="120"/>
        <w:jc w:val="both"/>
        <w:rPr>
          <w:rFonts w:ascii="StobiSerif Regular" w:hAnsi="StobiSerif Regular"/>
        </w:rPr>
      </w:pPr>
      <w:r w:rsidRPr="00903BA4">
        <w:rPr>
          <w:rFonts w:ascii="StobiSerif Regular" w:hAnsi="StobiSerif Regular"/>
        </w:rPr>
        <w:t>Апликантот поднесе барање под јавен повик 02/2015 иако претходната инвестиција не е финализирана-1 апликација</w:t>
      </w:r>
    </w:p>
    <w:p w:rsidR="00903BA4" w:rsidRPr="00903BA4" w:rsidRDefault="00903BA4" w:rsidP="00903BA4">
      <w:pPr>
        <w:pStyle w:val="ListParagraph"/>
        <w:numPr>
          <w:ilvl w:val="0"/>
          <w:numId w:val="55"/>
        </w:numPr>
        <w:spacing w:before="120" w:after="120"/>
        <w:jc w:val="both"/>
        <w:rPr>
          <w:rFonts w:ascii="StobiSerif Regular" w:hAnsi="StobiSerif Regular"/>
        </w:rPr>
      </w:pPr>
      <w:r w:rsidRPr="00903BA4">
        <w:rPr>
          <w:rFonts w:ascii="StobiSerif Regular" w:hAnsi="StobiSerif Regular"/>
        </w:rPr>
        <w:t>Апликацијата е одбиена бидејќи апликантот (правно лице) не е во бараниот опсег на МСП-1 апликација</w:t>
      </w:r>
    </w:p>
    <w:p w:rsidR="001C58EB" w:rsidRPr="00677FC7" w:rsidRDefault="001A0452" w:rsidP="001A0452">
      <w:pPr>
        <w:spacing w:after="0"/>
        <w:rPr>
          <w:rFonts w:asciiTheme="majorHAnsi" w:eastAsia="Times New Roman" w:hAnsiTheme="majorHAnsi" w:cs="Times New Roman"/>
          <w:b/>
          <w:lang w:eastAsia="en-GB"/>
        </w:rPr>
      </w:pPr>
      <w:bookmarkStart w:id="47" w:name="_Toc485394913"/>
      <w:r w:rsidRPr="00677FC7">
        <w:rPr>
          <w:rFonts w:ascii="StobiSerif Regular" w:eastAsia="Times New Roman" w:hAnsi="StobiSerif Regular" w:cs="Times New Roman"/>
          <w:b/>
          <w:sz w:val="20"/>
          <w:szCs w:val="20"/>
          <w:lang w:eastAsia="en-GB"/>
        </w:rPr>
        <w:t>Табела</w:t>
      </w:r>
      <w:r w:rsidR="001C58EB" w:rsidRPr="00677FC7">
        <w:rPr>
          <w:rFonts w:ascii="StobiSerif Regular" w:eastAsia="Times New Roman" w:hAnsi="StobiSerif Regular" w:cs="Times New Roman"/>
          <w:b/>
          <w:sz w:val="20"/>
          <w:szCs w:val="20"/>
          <w:lang w:val="en-GB" w:eastAsia="en-GB"/>
        </w:rPr>
        <w:t xml:space="preserve"> </w:t>
      </w:r>
      <w:r w:rsidR="001C58EB" w:rsidRPr="00677FC7">
        <w:rPr>
          <w:rFonts w:ascii="StobiSerif Regular" w:eastAsia="Times New Roman" w:hAnsi="StobiSerif Regular" w:cs="Times New Roman"/>
          <w:b/>
          <w:sz w:val="20"/>
          <w:szCs w:val="20"/>
          <w:lang w:val="en-GB" w:eastAsia="en-GB"/>
        </w:rPr>
        <w:fldChar w:fldCharType="begin"/>
      </w:r>
      <w:r w:rsidR="001C58EB" w:rsidRPr="00677FC7">
        <w:rPr>
          <w:rFonts w:ascii="StobiSerif Regular" w:eastAsia="Times New Roman" w:hAnsi="StobiSerif Regular" w:cs="Times New Roman"/>
          <w:b/>
          <w:sz w:val="20"/>
          <w:szCs w:val="20"/>
          <w:lang w:val="en-GB" w:eastAsia="en-GB"/>
        </w:rPr>
        <w:instrText xml:space="preserve"> SEQ Table \* ARABIC </w:instrText>
      </w:r>
      <w:r w:rsidR="001C58EB" w:rsidRPr="00677FC7">
        <w:rPr>
          <w:rFonts w:ascii="StobiSerif Regular" w:eastAsia="Times New Roman" w:hAnsi="StobiSerif Regular" w:cs="Times New Roman"/>
          <w:b/>
          <w:sz w:val="20"/>
          <w:szCs w:val="20"/>
          <w:lang w:val="en-GB" w:eastAsia="en-GB"/>
        </w:rPr>
        <w:fldChar w:fldCharType="separate"/>
      </w:r>
      <w:r w:rsidR="006C55E6" w:rsidRPr="00677FC7">
        <w:rPr>
          <w:rFonts w:ascii="StobiSerif Regular" w:eastAsia="Times New Roman" w:hAnsi="StobiSerif Regular" w:cs="Times New Roman"/>
          <w:b/>
          <w:noProof/>
          <w:sz w:val="20"/>
          <w:szCs w:val="20"/>
          <w:lang w:val="en-GB" w:eastAsia="en-GB"/>
        </w:rPr>
        <w:t>21</w:t>
      </w:r>
      <w:r w:rsidR="001C58EB" w:rsidRPr="00677FC7">
        <w:rPr>
          <w:rFonts w:ascii="StobiSerif Regular" w:eastAsia="Times New Roman" w:hAnsi="StobiSerif Regular" w:cs="Times New Roman"/>
          <w:b/>
          <w:sz w:val="20"/>
          <w:szCs w:val="20"/>
          <w:lang w:val="en-GB" w:eastAsia="en-GB"/>
        </w:rPr>
        <w:fldChar w:fldCharType="end"/>
      </w:r>
      <w:r w:rsidR="001C58EB" w:rsidRPr="00677FC7">
        <w:rPr>
          <w:rFonts w:ascii="StobiSerif Regular" w:eastAsia="Times New Roman" w:hAnsi="StobiSerif Regular" w:cs="Times New Roman"/>
          <w:b/>
          <w:bCs/>
          <w:sz w:val="20"/>
          <w:szCs w:val="20"/>
        </w:rPr>
        <w:t>:</w:t>
      </w:r>
      <w:r w:rsidR="001C58EB" w:rsidRPr="00677FC7">
        <w:rPr>
          <w:b/>
        </w:rPr>
        <w:t xml:space="preserve"> </w:t>
      </w:r>
      <w:r w:rsidRPr="00677FC7">
        <w:rPr>
          <w:rFonts w:ascii="StobiSerif Regular" w:eastAsia="Times New Roman" w:hAnsi="StobiSerif Regular" w:cs="Times New Roman"/>
          <w:b/>
          <w:bCs/>
          <w:sz w:val="20"/>
          <w:szCs w:val="20"/>
          <w:lang w:val="en-US"/>
        </w:rPr>
        <w:t xml:space="preserve">Показатели на квалитет на апликации на Мерка </w:t>
      </w:r>
      <w:r w:rsidR="001C58EB" w:rsidRPr="00677FC7">
        <w:rPr>
          <w:rFonts w:ascii="StobiSerif Regular" w:eastAsia="Times New Roman" w:hAnsi="StobiSerif Regular" w:cs="Times New Roman"/>
          <w:b/>
          <w:bCs/>
          <w:sz w:val="20"/>
          <w:szCs w:val="20"/>
          <w:lang w:val="en-US"/>
        </w:rPr>
        <w:t>302</w:t>
      </w:r>
      <w:bookmarkEnd w:id="47"/>
    </w:p>
    <w:tbl>
      <w:tblPr>
        <w:tblW w:w="0" w:type="auto"/>
        <w:tblInd w:w="108" w:type="dxa"/>
        <w:tblCellMar>
          <w:left w:w="0" w:type="dxa"/>
          <w:right w:w="0" w:type="dxa"/>
        </w:tblCellMar>
        <w:tblLook w:val="04A0" w:firstRow="1" w:lastRow="0" w:firstColumn="1" w:lastColumn="0" w:noHBand="0" w:noVBand="1"/>
      </w:tblPr>
      <w:tblGrid>
        <w:gridCol w:w="5772"/>
        <w:gridCol w:w="3526"/>
      </w:tblGrid>
      <w:tr w:rsidR="001C58EB" w:rsidRPr="000B5E5D" w:rsidTr="00EB78D6">
        <w:trPr>
          <w:trHeight w:val="260"/>
        </w:trPr>
        <w:tc>
          <w:tcPr>
            <w:tcW w:w="9298"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C58EB" w:rsidRPr="000B5E5D" w:rsidRDefault="001C58EB" w:rsidP="001A0452">
            <w:pPr>
              <w:spacing w:after="0" w:line="240" w:lineRule="auto"/>
              <w:jc w:val="center"/>
              <w:rPr>
                <w:rFonts w:ascii="StobiSerif Regular" w:eastAsia="Times New Roman" w:hAnsi="StobiSerif Regular" w:cs="Times New Roman"/>
                <w:lang w:val="en-GB" w:eastAsia="en-GB"/>
              </w:rPr>
            </w:pPr>
            <w:r w:rsidRPr="000B5E5D">
              <w:rPr>
                <w:rFonts w:ascii="StobiSerif Regular" w:eastAsia="Times New Roman" w:hAnsi="StobiSerif Regular" w:cs="Times New Roman"/>
                <w:lang w:val="en-GB" w:eastAsia="en-GB"/>
              </w:rPr>
              <w:br w:type="page"/>
            </w:r>
            <w:r w:rsidRPr="000B5E5D">
              <w:rPr>
                <w:rFonts w:ascii="StobiSerif Regular" w:eastAsia="Times New Roman" w:hAnsi="StobiSerif Regular" w:cs="Times New Roman"/>
                <w:lang w:val="en-GB" w:eastAsia="en-GB"/>
              </w:rPr>
              <w:br w:type="page"/>
            </w:r>
          </w:p>
        </w:tc>
      </w:tr>
      <w:tr w:rsidR="001A0452" w:rsidRPr="000B5E5D" w:rsidTr="001A0452">
        <w:trPr>
          <w:trHeight w:val="247"/>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452" w:rsidRPr="001A0452" w:rsidRDefault="001A0452" w:rsidP="001A0452">
            <w:pPr>
              <w:spacing w:after="0"/>
              <w:rPr>
                <w:rFonts w:ascii="StobiSerif Regular" w:eastAsia="Times New Roman" w:hAnsi="StobiSerif Regular" w:cs="Times New Roman"/>
                <w:bCs/>
                <w:sz w:val="20"/>
                <w:szCs w:val="20"/>
                <w:lang w:val="en-US"/>
              </w:rPr>
            </w:pPr>
            <w:r w:rsidRPr="001A0452">
              <w:rPr>
                <w:rFonts w:ascii="StobiSerif Regular" w:eastAsia="Times New Roman" w:hAnsi="StobiSerif Regular" w:cs="Times New Roman"/>
                <w:bCs/>
                <w:sz w:val="20"/>
                <w:szCs w:val="20"/>
                <w:lang w:val="en-US"/>
              </w:rPr>
              <w:t>Вкупен број на поднесени барања</w:t>
            </w:r>
          </w:p>
        </w:tc>
        <w:tc>
          <w:tcPr>
            <w:tcW w:w="3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452" w:rsidRPr="000B5E5D" w:rsidRDefault="001A0452" w:rsidP="001C58EB">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362</w:t>
            </w:r>
          </w:p>
        </w:tc>
      </w:tr>
      <w:tr w:rsidR="001A0452" w:rsidRPr="000B5E5D" w:rsidTr="001A0452">
        <w:trPr>
          <w:trHeight w:val="181"/>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452" w:rsidRPr="001A0452" w:rsidRDefault="001A0452" w:rsidP="001A0452">
            <w:pPr>
              <w:spacing w:after="0"/>
              <w:rPr>
                <w:rFonts w:ascii="StobiSerif Regular" w:eastAsia="Times New Roman" w:hAnsi="StobiSerif Regular" w:cs="Times New Roman"/>
                <w:bCs/>
                <w:sz w:val="20"/>
                <w:szCs w:val="20"/>
                <w:lang w:val="en-US"/>
              </w:rPr>
            </w:pPr>
            <w:r w:rsidRPr="001A0452">
              <w:rPr>
                <w:rFonts w:ascii="StobiSerif Regular" w:eastAsia="Times New Roman" w:hAnsi="StobiSerif Regular" w:cs="Times New Roman"/>
                <w:bCs/>
                <w:sz w:val="20"/>
                <w:szCs w:val="20"/>
                <w:lang w:val="en-US"/>
              </w:rPr>
              <w:t>Број на одобрени договори</w:t>
            </w:r>
          </w:p>
        </w:tc>
        <w:tc>
          <w:tcPr>
            <w:tcW w:w="3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452" w:rsidRPr="000B5E5D" w:rsidRDefault="001A0452" w:rsidP="001C58EB">
            <w:pPr>
              <w:spacing w:after="0" w:line="240" w:lineRule="auto"/>
              <w:jc w:val="right"/>
              <w:rPr>
                <w:rFonts w:ascii="StobiSerif Regular" w:eastAsia="Times New Roman" w:hAnsi="StobiSerif Regular" w:cs="Arial"/>
              </w:rPr>
            </w:pPr>
            <w:r w:rsidRPr="000B5E5D">
              <w:rPr>
                <w:rFonts w:ascii="StobiSerif Regular" w:eastAsia="Times New Roman" w:hAnsi="StobiSerif Regular" w:cs="Arial"/>
                <w:lang w:val="en-US"/>
              </w:rPr>
              <w:t>38</w:t>
            </w:r>
          </w:p>
        </w:tc>
      </w:tr>
      <w:tr w:rsidR="001A0452" w:rsidRPr="000B5E5D" w:rsidTr="001A0452">
        <w:trPr>
          <w:trHeight w:val="271"/>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A0452" w:rsidRPr="001A0452" w:rsidRDefault="001A0452" w:rsidP="001A0452">
            <w:pPr>
              <w:spacing w:after="0"/>
              <w:rPr>
                <w:rFonts w:ascii="StobiSerif Regular" w:eastAsia="Times New Roman" w:hAnsi="StobiSerif Regular" w:cs="Times New Roman"/>
                <w:bCs/>
                <w:sz w:val="20"/>
                <w:szCs w:val="20"/>
                <w:lang w:val="en-US"/>
              </w:rPr>
            </w:pPr>
            <w:r w:rsidRPr="001A0452">
              <w:rPr>
                <w:rFonts w:ascii="StobiSerif Regular" w:eastAsia="Times New Roman" w:hAnsi="StobiSerif Regular" w:cs="Times New Roman"/>
                <w:bCs/>
                <w:sz w:val="20"/>
                <w:szCs w:val="20"/>
                <w:lang w:val="en-US"/>
              </w:rPr>
              <w:t>Број на исплатени договори</w:t>
            </w:r>
          </w:p>
        </w:tc>
        <w:tc>
          <w:tcPr>
            <w:tcW w:w="3526" w:type="dxa"/>
            <w:tcBorders>
              <w:top w:val="nil"/>
              <w:left w:val="nil"/>
              <w:bottom w:val="single" w:sz="8" w:space="0" w:color="auto"/>
              <w:right w:val="single" w:sz="8" w:space="0" w:color="auto"/>
            </w:tcBorders>
            <w:tcMar>
              <w:top w:w="0" w:type="dxa"/>
              <w:left w:w="108" w:type="dxa"/>
              <w:bottom w:w="0" w:type="dxa"/>
              <w:right w:w="108" w:type="dxa"/>
            </w:tcMar>
            <w:vAlign w:val="center"/>
          </w:tcPr>
          <w:p w:rsidR="001A0452" w:rsidRPr="000B5E5D" w:rsidRDefault="001A0452" w:rsidP="001C58EB">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8</w:t>
            </w:r>
          </w:p>
        </w:tc>
      </w:tr>
      <w:tr w:rsidR="001A0452" w:rsidRPr="000B5E5D" w:rsidTr="001A0452">
        <w:trPr>
          <w:trHeight w:val="205"/>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452" w:rsidRPr="001A0452" w:rsidRDefault="001A0452" w:rsidP="001A0452">
            <w:pPr>
              <w:spacing w:after="0"/>
              <w:rPr>
                <w:rFonts w:ascii="StobiSerif Regular" w:eastAsia="Times New Roman" w:hAnsi="StobiSerif Regular" w:cs="Times New Roman"/>
                <w:bCs/>
                <w:sz w:val="20"/>
                <w:szCs w:val="20"/>
                <w:lang w:val="en-US"/>
              </w:rPr>
            </w:pPr>
            <w:r w:rsidRPr="001A0452">
              <w:rPr>
                <w:rFonts w:ascii="StobiSerif Regular" w:eastAsia="Times New Roman" w:hAnsi="StobiSerif Regular" w:cs="Times New Roman"/>
                <w:bCs/>
                <w:sz w:val="20"/>
                <w:szCs w:val="20"/>
                <w:lang w:val="en-US"/>
              </w:rPr>
              <w:t xml:space="preserve">Број на раскинати договори </w:t>
            </w:r>
          </w:p>
        </w:tc>
        <w:tc>
          <w:tcPr>
            <w:tcW w:w="3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452" w:rsidRPr="000B5E5D" w:rsidRDefault="001A0452" w:rsidP="001C58EB">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13</w:t>
            </w:r>
          </w:p>
        </w:tc>
      </w:tr>
      <w:tr w:rsidR="001A0452" w:rsidRPr="000B5E5D" w:rsidTr="006278AA">
        <w:trPr>
          <w:trHeight w:val="350"/>
        </w:trPr>
        <w:tc>
          <w:tcPr>
            <w:tcW w:w="577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1A0452" w:rsidRPr="001A0452" w:rsidRDefault="001A0452" w:rsidP="001A0452">
            <w:pPr>
              <w:spacing w:after="0"/>
              <w:rPr>
                <w:rFonts w:ascii="StobiSerif Regular" w:eastAsia="Times New Roman" w:hAnsi="StobiSerif Regular" w:cs="Times New Roman"/>
                <w:bCs/>
                <w:sz w:val="20"/>
                <w:szCs w:val="20"/>
                <w:lang w:val="en-US"/>
              </w:rPr>
            </w:pPr>
            <w:r w:rsidRPr="001A0452">
              <w:rPr>
                <w:rFonts w:ascii="StobiSerif Regular" w:eastAsia="Times New Roman" w:hAnsi="StobiSerif Regular" w:cs="Times New Roman"/>
                <w:bCs/>
                <w:sz w:val="20"/>
                <w:szCs w:val="20"/>
                <w:lang w:val="en-US"/>
              </w:rPr>
              <w:t>Број на тековни договори</w:t>
            </w:r>
          </w:p>
        </w:tc>
        <w:tc>
          <w:tcPr>
            <w:tcW w:w="35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1A0452" w:rsidRPr="000B5E5D" w:rsidRDefault="001A0452" w:rsidP="005E3E0C">
            <w:pPr>
              <w:spacing w:after="0" w:line="240" w:lineRule="auto"/>
              <w:jc w:val="right"/>
              <w:rPr>
                <w:rFonts w:ascii="StobiSerif Regular" w:eastAsia="Times New Roman" w:hAnsi="StobiSerif Regular" w:cs="Arial"/>
                <w:lang w:val="en-US"/>
              </w:rPr>
            </w:pPr>
            <w:r w:rsidRPr="000B5E5D">
              <w:rPr>
                <w:rFonts w:ascii="StobiSerif Regular" w:eastAsia="Times New Roman" w:hAnsi="StobiSerif Regular" w:cs="Arial"/>
                <w:lang w:val="en-US"/>
              </w:rPr>
              <w:t>17</w:t>
            </w:r>
          </w:p>
        </w:tc>
      </w:tr>
    </w:tbl>
    <w:tbl>
      <w:tblPr>
        <w:tblStyle w:val="TableGrid8"/>
        <w:tblW w:w="0" w:type="auto"/>
        <w:tblInd w:w="108" w:type="dxa"/>
        <w:tblLook w:val="04A0" w:firstRow="1" w:lastRow="0" w:firstColumn="1" w:lastColumn="0" w:noHBand="0" w:noVBand="1"/>
      </w:tblPr>
      <w:tblGrid>
        <w:gridCol w:w="5847"/>
        <w:gridCol w:w="3451"/>
      </w:tblGrid>
      <w:tr w:rsidR="001C58EB" w:rsidRPr="000B5E5D" w:rsidTr="00EB78D6">
        <w:trPr>
          <w:trHeight w:val="80"/>
        </w:trPr>
        <w:tc>
          <w:tcPr>
            <w:tcW w:w="9298" w:type="dxa"/>
            <w:gridSpan w:val="2"/>
            <w:shd w:val="clear" w:color="auto" w:fill="92D050"/>
            <w:vAlign w:val="center"/>
          </w:tcPr>
          <w:p w:rsidR="001C58EB" w:rsidRPr="000B5E5D" w:rsidRDefault="001C58EB" w:rsidP="001C58EB">
            <w:pPr>
              <w:spacing w:after="120"/>
              <w:jc w:val="center"/>
              <w:rPr>
                <w:rFonts w:ascii="StobiSerif Regular" w:hAnsi="StobiSerif Regular" w:cs="Arial"/>
              </w:rPr>
            </w:pPr>
          </w:p>
        </w:tc>
      </w:tr>
      <w:tr w:rsidR="001A0452" w:rsidRPr="000B5E5D" w:rsidTr="001A0452">
        <w:trPr>
          <w:trHeight w:val="217"/>
        </w:trPr>
        <w:tc>
          <w:tcPr>
            <w:tcW w:w="5847" w:type="dxa"/>
            <w:vAlign w:val="center"/>
          </w:tcPr>
          <w:p w:rsidR="001A0452" w:rsidRPr="001A0452" w:rsidRDefault="001A0452" w:rsidP="007D3C36">
            <w:pPr>
              <w:spacing w:line="276" w:lineRule="auto"/>
              <w:rPr>
                <w:rFonts w:ascii="StobiSerif Regular" w:hAnsi="StobiSerif Regular"/>
                <w:bCs/>
              </w:rPr>
            </w:pPr>
            <w:r w:rsidRPr="001A0452">
              <w:rPr>
                <w:rFonts w:ascii="StobiSerif Regular" w:hAnsi="StobiSerif Regular"/>
                <w:bCs/>
              </w:rPr>
              <w:t>%  на одобрување на барањата (</w:t>
            </w:r>
            <w:r w:rsidR="007D3C36">
              <w:rPr>
                <w:rFonts w:ascii="StobiSerif Regular" w:hAnsi="StobiSerif Regular"/>
                <w:bCs/>
                <w:lang w:val="mk-MK"/>
              </w:rPr>
              <w:t>поднесени</w:t>
            </w:r>
            <w:r w:rsidRPr="001A0452">
              <w:rPr>
                <w:rFonts w:ascii="StobiSerif Regular" w:hAnsi="StobiSerif Regular"/>
                <w:bCs/>
              </w:rPr>
              <w:t>/</w:t>
            </w:r>
            <w:r w:rsidR="007D3C36">
              <w:rPr>
                <w:rFonts w:ascii="StobiSerif Regular" w:hAnsi="StobiSerif Regular"/>
                <w:bCs/>
                <w:lang w:val="mk-MK"/>
              </w:rPr>
              <w:t>одобрени</w:t>
            </w:r>
            <w:r w:rsidRPr="001A0452">
              <w:rPr>
                <w:rFonts w:ascii="StobiSerif Regular" w:hAnsi="StobiSerif Regular"/>
                <w:bCs/>
              </w:rPr>
              <w:t>)</w:t>
            </w:r>
          </w:p>
        </w:tc>
        <w:tc>
          <w:tcPr>
            <w:tcW w:w="3451" w:type="dxa"/>
            <w:vAlign w:val="center"/>
          </w:tcPr>
          <w:p w:rsidR="001A0452" w:rsidRPr="000B5E5D" w:rsidRDefault="001A0452" w:rsidP="001C58EB">
            <w:pPr>
              <w:spacing w:after="120"/>
              <w:jc w:val="right"/>
              <w:rPr>
                <w:rFonts w:ascii="StobiSerif Regular" w:hAnsi="StobiSerif Regular" w:cs="Arial"/>
              </w:rPr>
            </w:pPr>
            <w:r w:rsidRPr="000B5E5D">
              <w:rPr>
                <w:rFonts w:ascii="StobiSerif Regular" w:hAnsi="StobiSerif Regular" w:cs="Arial"/>
              </w:rPr>
              <w:t>10.4%</w:t>
            </w:r>
          </w:p>
        </w:tc>
      </w:tr>
      <w:tr w:rsidR="001A0452" w:rsidRPr="000B5E5D" w:rsidTr="00EB78D6">
        <w:trPr>
          <w:trHeight w:val="350"/>
        </w:trPr>
        <w:tc>
          <w:tcPr>
            <w:tcW w:w="5847" w:type="dxa"/>
            <w:vAlign w:val="center"/>
          </w:tcPr>
          <w:p w:rsidR="001A0452" w:rsidRPr="001A0452" w:rsidRDefault="001A0452" w:rsidP="001A0452">
            <w:pPr>
              <w:spacing w:line="276" w:lineRule="auto"/>
              <w:rPr>
                <w:rFonts w:ascii="StobiSerif Regular" w:hAnsi="StobiSerif Regular"/>
                <w:bCs/>
              </w:rPr>
            </w:pPr>
            <w:r w:rsidRPr="001A0452">
              <w:rPr>
                <w:rFonts w:ascii="StobiSerif Regular" w:hAnsi="StobiSerif Regular"/>
                <w:bCs/>
              </w:rPr>
              <w:t>%  на раскинување на договори (раскинати/одобрени)</w:t>
            </w:r>
          </w:p>
        </w:tc>
        <w:tc>
          <w:tcPr>
            <w:tcW w:w="3451" w:type="dxa"/>
            <w:vAlign w:val="center"/>
          </w:tcPr>
          <w:p w:rsidR="001A0452" w:rsidRPr="000B5E5D" w:rsidRDefault="001A0452" w:rsidP="001C58EB">
            <w:pPr>
              <w:spacing w:after="120"/>
              <w:jc w:val="right"/>
              <w:rPr>
                <w:rFonts w:ascii="StobiSerif Regular" w:hAnsi="StobiSerif Regular" w:cs="Arial"/>
              </w:rPr>
            </w:pPr>
            <w:r w:rsidRPr="000B5E5D">
              <w:rPr>
                <w:rFonts w:ascii="StobiSerif Regular" w:hAnsi="StobiSerif Regular" w:cs="Arial"/>
              </w:rPr>
              <w:t>34.2%</w:t>
            </w:r>
          </w:p>
        </w:tc>
      </w:tr>
      <w:tr w:rsidR="001A0452" w:rsidRPr="000B5E5D" w:rsidTr="00EB78D6">
        <w:trPr>
          <w:trHeight w:val="350"/>
        </w:trPr>
        <w:tc>
          <w:tcPr>
            <w:tcW w:w="5847" w:type="dxa"/>
            <w:vAlign w:val="center"/>
          </w:tcPr>
          <w:p w:rsidR="001A0452" w:rsidRPr="001A0452" w:rsidRDefault="001A0452" w:rsidP="001A0452">
            <w:pPr>
              <w:spacing w:line="276" w:lineRule="auto"/>
              <w:rPr>
                <w:rFonts w:ascii="StobiSerif Regular" w:hAnsi="StobiSerif Regular"/>
                <w:bCs/>
              </w:rPr>
            </w:pPr>
            <w:r w:rsidRPr="001A0452">
              <w:rPr>
                <w:rFonts w:ascii="StobiSerif Regular" w:hAnsi="StobiSerif Regular"/>
                <w:bCs/>
              </w:rPr>
              <w:t>%  на исплата на договори (исплатени/(одобрени-раскинати)</w:t>
            </w:r>
          </w:p>
        </w:tc>
        <w:tc>
          <w:tcPr>
            <w:tcW w:w="3451" w:type="dxa"/>
            <w:vAlign w:val="center"/>
          </w:tcPr>
          <w:p w:rsidR="001A0452" w:rsidRPr="000B5E5D" w:rsidRDefault="001A0452" w:rsidP="001C58EB">
            <w:pPr>
              <w:spacing w:after="120"/>
              <w:jc w:val="right"/>
              <w:rPr>
                <w:rFonts w:ascii="StobiSerif Regular" w:hAnsi="StobiSerif Regular" w:cs="Arial"/>
              </w:rPr>
            </w:pPr>
            <w:r w:rsidRPr="000B5E5D">
              <w:rPr>
                <w:rFonts w:ascii="StobiSerif Regular" w:hAnsi="StobiSerif Regular" w:cs="Arial"/>
              </w:rPr>
              <w:t>38.1%</w:t>
            </w:r>
          </w:p>
        </w:tc>
      </w:tr>
    </w:tbl>
    <w:p w:rsidR="001A0452" w:rsidRDefault="001A0452" w:rsidP="00955E09">
      <w:pPr>
        <w:autoSpaceDE w:val="0"/>
        <w:autoSpaceDN w:val="0"/>
        <w:adjustRightInd w:val="0"/>
        <w:spacing w:before="120" w:after="0"/>
        <w:ind w:firstLine="284"/>
        <w:jc w:val="both"/>
        <w:rPr>
          <w:rFonts w:ascii="StobiSerif Regular" w:eastAsia="Times New Roman" w:hAnsi="StobiSerif Regular" w:cs="Times New Roman"/>
          <w:sz w:val="16"/>
          <w:szCs w:val="16"/>
          <w:lang w:eastAsia="mk-MK"/>
        </w:rPr>
      </w:pPr>
      <w:r>
        <w:rPr>
          <w:rFonts w:ascii="StobiSerif Regular" w:eastAsia="Times New Roman" w:hAnsi="StobiSerif Regular" w:cs="Times New Roman"/>
          <w:sz w:val="16"/>
          <w:szCs w:val="16"/>
          <w:lang w:eastAsia="mk-MK"/>
        </w:rPr>
        <w:t>Извор: Мониторинг систем  (2016)</w:t>
      </w:r>
    </w:p>
    <w:p w:rsidR="00E840F4" w:rsidRDefault="00000B21" w:rsidP="00955E09">
      <w:pPr>
        <w:autoSpaceDE w:val="0"/>
        <w:autoSpaceDN w:val="0"/>
        <w:adjustRightInd w:val="0"/>
        <w:spacing w:before="120" w:after="0"/>
        <w:ind w:firstLine="284"/>
        <w:jc w:val="both"/>
        <w:rPr>
          <w:rFonts w:ascii="StobiSerif Regular" w:hAnsi="StobiSerif Regular"/>
        </w:rPr>
      </w:pPr>
      <w:r>
        <w:rPr>
          <w:rFonts w:ascii="StobiSerif Regular" w:hAnsi="StobiSerif Regular"/>
        </w:rPr>
        <w:t xml:space="preserve">Покрај нискиот процент на одобрени договори има исто така и висок процент од </w:t>
      </w:r>
      <w:r w:rsidRPr="000B5E5D">
        <w:rPr>
          <w:rFonts w:ascii="StobiSerif Regular" w:hAnsi="StobiSerif Regular"/>
          <w:lang w:val="en-US"/>
        </w:rPr>
        <w:t>38%</w:t>
      </w:r>
      <w:r>
        <w:rPr>
          <w:rFonts w:ascii="StobiSerif Regular" w:hAnsi="StobiSerif Regular"/>
        </w:rPr>
        <w:t xml:space="preserve"> на раскинати договори.  </w:t>
      </w:r>
    </w:p>
    <w:p w:rsidR="00784CD1" w:rsidRPr="000B5E5D" w:rsidRDefault="00000B21" w:rsidP="00955E09">
      <w:pPr>
        <w:autoSpaceDE w:val="0"/>
        <w:autoSpaceDN w:val="0"/>
        <w:adjustRightInd w:val="0"/>
        <w:spacing w:before="120" w:after="0"/>
        <w:ind w:firstLine="284"/>
        <w:jc w:val="both"/>
        <w:rPr>
          <w:rFonts w:ascii="StobiSerif Regular" w:hAnsi="StobiSerif Regular"/>
          <w:lang w:val="en-US"/>
        </w:rPr>
      </w:pPr>
      <w:r w:rsidRPr="00A15D06">
        <w:rPr>
          <w:rFonts w:ascii="StobiSerif Regular" w:hAnsi="StobiSerif Regular"/>
        </w:rPr>
        <w:t>Повеќе од една третина од склучените договори се раскинати</w:t>
      </w:r>
      <w:r w:rsidR="00784CD1" w:rsidRPr="000B5E5D">
        <w:rPr>
          <w:rFonts w:ascii="StobiSerif Regular" w:hAnsi="StobiSerif Regular"/>
        </w:rPr>
        <w:t>.</w:t>
      </w:r>
    </w:p>
    <w:p w:rsidR="00784CD1" w:rsidRDefault="00000B21" w:rsidP="00784CD1">
      <w:pPr>
        <w:autoSpaceDE w:val="0"/>
        <w:autoSpaceDN w:val="0"/>
        <w:adjustRightInd w:val="0"/>
        <w:spacing w:after="0"/>
        <w:jc w:val="both"/>
        <w:rPr>
          <w:rFonts w:ascii="StobiSerif Regular" w:hAnsi="StobiSerif Regular"/>
        </w:rPr>
      </w:pPr>
      <w:r>
        <w:rPr>
          <w:rFonts w:ascii="StobiSerif Regular" w:hAnsi="StobiSerif Regular"/>
        </w:rPr>
        <w:t xml:space="preserve">Причини за раскинати договори се </w:t>
      </w:r>
      <w:r w:rsidR="00784CD1" w:rsidRPr="000B5E5D">
        <w:rPr>
          <w:rFonts w:ascii="StobiSerif Regular" w:hAnsi="StobiSerif Regular"/>
        </w:rPr>
        <w:t>:</w:t>
      </w:r>
    </w:p>
    <w:p w:rsidR="00000B21" w:rsidRPr="00000B21" w:rsidRDefault="00000B21" w:rsidP="00BA1CE8">
      <w:pPr>
        <w:numPr>
          <w:ilvl w:val="0"/>
          <w:numId w:val="4"/>
        </w:numPr>
        <w:autoSpaceDE w:val="0"/>
        <w:autoSpaceDN w:val="0"/>
        <w:adjustRightInd w:val="0"/>
        <w:spacing w:before="120" w:after="120"/>
        <w:contextualSpacing/>
        <w:jc w:val="both"/>
        <w:rPr>
          <w:rFonts w:ascii="StobiSerif Regular" w:hAnsi="StobiSerif Regular"/>
          <w:lang w:val="en-GB"/>
        </w:rPr>
      </w:pPr>
      <w:r w:rsidRPr="00000B21">
        <w:rPr>
          <w:rFonts w:ascii="StobiSerif Regular" w:hAnsi="StobiSerif Regular"/>
        </w:rPr>
        <w:t>6 го прекршиле правилото за три понуди</w:t>
      </w:r>
    </w:p>
    <w:p w:rsidR="00C40A5B" w:rsidRPr="003E6B9F" w:rsidRDefault="00C40A5B" w:rsidP="00BA1CE8">
      <w:pPr>
        <w:pStyle w:val="ListParagraph"/>
        <w:numPr>
          <w:ilvl w:val="0"/>
          <w:numId w:val="4"/>
        </w:numPr>
        <w:autoSpaceDE w:val="0"/>
        <w:autoSpaceDN w:val="0"/>
        <w:adjustRightInd w:val="0"/>
        <w:spacing w:before="120" w:after="120"/>
        <w:jc w:val="both"/>
        <w:rPr>
          <w:rFonts w:ascii="StobiSerif Regular" w:hAnsi="StobiSerif Regular"/>
          <w:lang w:val="en-GB"/>
        </w:rPr>
      </w:pPr>
      <w:r w:rsidRPr="003E6B9F">
        <w:rPr>
          <w:rFonts w:ascii="StobiSerif Regular" w:hAnsi="StobiSerif Regular"/>
        </w:rPr>
        <w:t>1 опремата се разликува од онаа во договорот</w:t>
      </w:r>
    </w:p>
    <w:p w:rsidR="00366393" w:rsidRPr="00366393" w:rsidRDefault="00366393" w:rsidP="00BA1CE8">
      <w:pPr>
        <w:pStyle w:val="ListParagraph"/>
        <w:numPr>
          <w:ilvl w:val="0"/>
          <w:numId w:val="4"/>
        </w:numPr>
        <w:autoSpaceDE w:val="0"/>
        <w:autoSpaceDN w:val="0"/>
        <w:adjustRightInd w:val="0"/>
        <w:spacing w:before="120" w:after="120"/>
        <w:jc w:val="both"/>
        <w:rPr>
          <w:rFonts w:ascii="StobiSerif Regular" w:hAnsi="StobiSerif Regular"/>
          <w:lang w:val="en-GB"/>
        </w:rPr>
      </w:pPr>
      <w:r w:rsidRPr="003E6B9F">
        <w:rPr>
          <w:rFonts w:ascii="StobiSerif Regular" w:hAnsi="StobiSerif Regular"/>
        </w:rPr>
        <w:t>1 не може да докаже сопственост на земјиште</w:t>
      </w:r>
    </w:p>
    <w:p w:rsidR="00366393" w:rsidRPr="00366393" w:rsidRDefault="00366393" w:rsidP="00BA1CE8">
      <w:pPr>
        <w:pStyle w:val="ListParagraph"/>
        <w:numPr>
          <w:ilvl w:val="0"/>
          <w:numId w:val="4"/>
        </w:numPr>
        <w:autoSpaceDE w:val="0"/>
        <w:autoSpaceDN w:val="0"/>
        <w:adjustRightInd w:val="0"/>
        <w:spacing w:before="120" w:after="120"/>
        <w:jc w:val="both"/>
        <w:rPr>
          <w:rFonts w:ascii="StobiSerif Regular" w:hAnsi="StobiSerif Regular"/>
          <w:lang w:val="en-GB"/>
        </w:rPr>
      </w:pPr>
      <w:r>
        <w:rPr>
          <w:rFonts w:ascii="StobiSerif Regular" w:hAnsi="StobiSerif Regular"/>
        </w:rPr>
        <w:t>1 започнат со имплементација пред потпишување на договор</w:t>
      </w:r>
    </w:p>
    <w:p w:rsidR="00366393" w:rsidRPr="003E6B9F" w:rsidRDefault="00366393" w:rsidP="00BA1CE8">
      <w:pPr>
        <w:pStyle w:val="ListParagraph"/>
        <w:numPr>
          <w:ilvl w:val="0"/>
          <w:numId w:val="4"/>
        </w:numPr>
        <w:autoSpaceDE w:val="0"/>
        <w:autoSpaceDN w:val="0"/>
        <w:adjustRightInd w:val="0"/>
        <w:spacing w:before="120" w:after="120"/>
        <w:jc w:val="both"/>
        <w:rPr>
          <w:rFonts w:ascii="StobiSerif Regular" w:hAnsi="StobiSerif Regular"/>
          <w:lang w:val="en-GB"/>
        </w:rPr>
      </w:pPr>
      <w:r>
        <w:rPr>
          <w:rFonts w:ascii="StobiSerif Regular" w:hAnsi="StobiSerif Regular"/>
        </w:rPr>
        <w:t>3 не поднеле барање за исплата</w:t>
      </w:r>
    </w:p>
    <w:p w:rsidR="00000B21" w:rsidRPr="00000B21" w:rsidRDefault="00366393" w:rsidP="00BA1CE8">
      <w:pPr>
        <w:numPr>
          <w:ilvl w:val="0"/>
          <w:numId w:val="4"/>
        </w:numPr>
        <w:autoSpaceDE w:val="0"/>
        <w:autoSpaceDN w:val="0"/>
        <w:adjustRightInd w:val="0"/>
        <w:spacing w:before="120" w:after="120"/>
        <w:contextualSpacing/>
        <w:jc w:val="both"/>
        <w:rPr>
          <w:rFonts w:ascii="StobiSerif Regular" w:hAnsi="StobiSerif Regular"/>
          <w:lang w:val="en-GB"/>
        </w:rPr>
      </w:pPr>
      <w:r>
        <w:rPr>
          <w:rFonts w:ascii="StobiSerif Regular" w:hAnsi="StobiSerif Regular"/>
        </w:rPr>
        <w:t>Непочитување на договор</w:t>
      </w:r>
    </w:p>
    <w:p w:rsidR="00500EF1" w:rsidRPr="00366393" w:rsidRDefault="00500EF1" w:rsidP="00366393">
      <w:pPr>
        <w:autoSpaceDE w:val="0"/>
        <w:autoSpaceDN w:val="0"/>
        <w:adjustRightInd w:val="0"/>
        <w:spacing w:before="120" w:after="120"/>
        <w:contextualSpacing/>
        <w:jc w:val="both"/>
        <w:rPr>
          <w:rFonts w:ascii="StobiSerif Regular" w:hAnsi="StobiSerif Regular"/>
        </w:rPr>
      </w:pPr>
    </w:p>
    <w:p w:rsidR="00F26BFB" w:rsidRDefault="00F26BFB" w:rsidP="007D3C36">
      <w:pPr>
        <w:tabs>
          <w:tab w:val="left" w:pos="720"/>
        </w:tabs>
        <w:jc w:val="both"/>
        <w:rPr>
          <w:rFonts w:ascii="StobiSerif Regular" w:hAnsi="StobiSerif Regular"/>
        </w:rPr>
      </w:pPr>
      <w:r w:rsidRPr="00F26BFB">
        <w:rPr>
          <w:rFonts w:ascii="StobiSerif Regular" w:hAnsi="StobiSerif Regular"/>
        </w:rPr>
        <w:t>Постигнување на целите во однос на заеднички показатели на ЕУ за мониторинг во Мерка 302 с</w:t>
      </w:r>
      <w:r w:rsidR="007D3C36">
        <w:rPr>
          <w:rFonts w:ascii="StobiSerif Regular" w:hAnsi="StobiSerif Regular"/>
        </w:rPr>
        <w:t>е постигнува само во смисла на „</w:t>
      </w:r>
      <w:r w:rsidRPr="00F26BFB">
        <w:rPr>
          <w:rFonts w:ascii="StobiSerif Regular" w:hAnsi="StobiSerif Regular"/>
        </w:rPr>
        <w:t>број на примени</w:t>
      </w:r>
      <w:r w:rsidR="007D3C36">
        <w:rPr>
          <w:rFonts w:ascii="StobiSerif Regular" w:hAnsi="StobiSerif Regular"/>
        </w:rPr>
        <w:t xml:space="preserve"> </w:t>
      </w:r>
      <w:r w:rsidRPr="00F26BFB">
        <w:rPr>
          <w:rFonts w:ascii="StobiSerif Regular" w:hAnsi="StobiSerif Regular"/>
        </w:rPr>
        <w:t>апликации", каде што целта е надмината. Постои одредено подобрување во одобрени апликации</w:t>
      </w:r>
      <w:r w:rsidR="00F608F9">
        <w:rPr>
          <w:rFonts w:ascii="StobiSerif Regular" w:hAnsi="StobiSerif Regular"/>
        </w:rPr>
        <w:t xml:space="preserve"> во споредба со минатата година</w:t>
      </w:r>
      <w:r w:rsidRPr="00F26BFB">
        <w:rPr>
          <w:rFonts w:ascii="StobiSerif Regular" w:hAnsi="StobiSerif Regular"/>
        </w:rPr>
        <w:t>; каде што за 40% од примените апликации се склучени договори. Со оглед на тоа што</w:t>
      </w:r>
      <w:r>
        <w:rPr>
          <w:rFonts w:ascii="StobiSerif Regular" w:hAnsi="StobiSerif Regular"/>
        </w:rPr>
        <w:t xml:space="preserve"> ова е последна</w:t>
      </w:r>
      <w:r w:rsidRPr="00F26BFB">
        <w:rPr>
          <w:rFonts w:ascii="StobiSerif Regular" w:hAnsi="StobiSerif Regular"/>
        </w:rPr>
        <w:t xml:space="preserve"> година од спроведувањето и дека процентот </w:t>
      </w:r>
      <w:r>
        <w:rPr>
          <w:rFonts w:ascii="StobiSerif Regular" w:hAnsi="StobiSerif Regular"/>
        </w:rPr>
        <w:t>на реализација е 3, 1%, не можеме да бидеме</w:t>
      </w:r>
      <w:r w:rsidRPr="00F26BFB">
        <w:rPr>
          <w:rFonts w:ascii="StobiSerif Regular" w:hAnsi="StobiSerif Regular"/>
        </w:rPr>
        <w:t xml:space="preserve"> задоволни со ситуацијата. 17 тековни договори даваат надеж за подобра реализација.</w:t>
      </w:r>
    </w:p>
    <w:p w:rsidR="00784CD1" w:rsidRPr="00677FC7" w:rsidRDefault="00DC60D8" w:rsidP="00784CD1">
      <w:pPr>
        <w:spacing w:before="120" w:after="0"/>
        <w:rPr>
          <w:rFonts w:ascii="StobiSerif Regular" w:eastAsia="Times New Roman" w:hAnsi="StobiSerif Regular" w:cs="Times New Roman"/>
          <w:b/>
          <w:bCs/>
          <w:lang w:val="en-US"/>
        </w:rPr>
      </w:pPr>
      <w:bookmarkStart w:id="48" w:name="_Toc485394914"/>
      <w:r w:rsidRPr="00677FC7">
        <w:rPr>
          <w:rFonts w:ascii="StobiSerif Regular" w:eastAsia="Times New Roman" w:hAnsi="StobiSerif Regular" w:cs="Times New Roman"/>
          <w:b/>
          <w:lang w:eastAsia="zh-CN"/>
        </w:rPr>
        <w:t>Табела</w:t>
      </w:r>
      <w:r w:rsidR="006C55E6" w:rsidRPr="00677FC7">
        <w:rPr>
          <w:rFonts w:ascii="StobiSerif Regular" w:eastAsia="Times New Roman" w:hAnsi="StobiSerif Regular" w:cs="Times New Roman"/>
          <w:b/>
          <w:lang w:val="en-GB" w:eastAsia="zh-CN"/>
        </w:rPr>
        <w:t xml:space="preserve"> </w:t>
      </w:r>
      <w:r w:rsidR="006C55E6" w:rsidRPr="00677FC7">
        <w:rPr>
          <w:rFonts w:ascii="StobiSerif Regular" w:eastAsia="Times New Roman" w:hAnsi="StobiSerif Regular" w:cs="Times New Roman"/>
          <w:b/>
          <w:lang w:val="en-GB" w:eastAsia="zh-CN"/>
        </w:rPr>
        <w:fldChar w:fldCharType="begin"/>
      </w:r>
      <w:r w:rsidR="006C55E6" w:rsidRPr="00677FC7">
        <w:rPr>
          <w:rFonts w:ascii="StobiSerif Regular" w:eastAsia="Times New Roman" w:hAnsi="StobiSerif Regular" w:cs="Times New Roman"/>
          <w:b/>
          <w:lang w:val="en-GB" w:eastAsia="zh-CN"/>
        </w:rPr>
        <w:instrText xml:space="preserve"> SEQ Table \* ARABIC </w:instrText>
      </w:r>
      <w:r w:rsidR="006C55E6" w:rsidRPr="00677FC7">
        <w:rPr>
          <w:rFonts w:ascii="StobiSerif Regular" w:eastAsia="Times New Roman" w:hAnsi="StobiSerif Regular" w:cs="Times New Roman"/>
          <w:b/>
          <w:lang w:val="en-GB" w:eastAsia="zh-CN"/>
        </w:rPr>
        <w:fldChar w:fldCharType="separate"/>
      </w:r>
      <w:r w:rsidR="006C55E6" w:rsidRPr="00677FC7">
        <w:rPr>
          <w:rFonts w:ascii="StobiSerif Regular" w:eastAsia="Times New Roman" w:hAnsi="StobiSerif Regular" w:cs="Times New Roman"/>
          <w:b/>
          <w:noProof/>
          <w:lang w:val="en-GB" w:eastAsia="zh-CN"/>
        </w:rPr>
        <w:t>22</w:t>
      </w:r>
      <w:r w:rsidR="006C55E6" w:rsidRPr="00677FC7">
        <w:rPr>
          <w:rFonts w:ascii="StobiSerif Regular" w:eastAsia="Times New Roman" w:hAnsi="StobiSerif Regular" w:cs="Times New Roman"/>
          <w:b/>
          <w:lang w:val="en-GB" w:eastAsia="zh-CN"/>
        </w:rPr>
        <w:fldChar w:fldCharType="end"/>
      </w:r>
      <w:r w:rsidR="006C55E6" w:rsidRPr="00677FC7">
        <w:rPr>
          <w:rFonts w:ascii="StobiSerif Regular" w:eastAsia="Times New Roman" w:hAnsi="StobiSerif Regular" w:cs="Times New Roman"/>
          <w:b/>
          <w:lang w:val="en-GB" w:eastAsia="zh-CN"/>
        </w:rPr>
        <w:t xml:space="preserve">: </w:t>
      </w:r>
      <w:r w:rsidRPr="00677FC7">
        <w:rPr>
          <w:rFonts w:ascii="StobiSerif Regular" w:eastAsia="Times New Roman" w:hAnsi="StobiSerif Regular" w:cs="Times New Roman"/>
          <w:b/>
          <w:bCs/>
        </w:rPr>
        <w:t>Излезни индикатори во</w:t>
      </w:r>
      <w:r w:rsidR="00784CD1" w:rsidRPr="00677FC7">
        <w:rPr>
          <w:rFonts w:ascii="StobiSerif Regular" w:eastAsia="Times New Roman" w:hAnsi="StobiSerif Regular" w:cs="Times New Roman"/>
          <w:b/>
          <w:bCs/>
          <w:lang w:val="en-US"/>
        </w:rPr>
        <w:t xml:space="preserve"> M302</w:t>
      </w:r>
      <w:bookmarkEnd w:id="48"/>
    </w:p>
    <w:tbl>
      <w:tblPr>
        <w:tblW w:w="8662" w:type="dxa"/>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828"/>
        <w:gridCol w:w="1559"/>
        <w:gridCol w:w="1559"/>
        <w:gridCol w:w="1716"/>
      </w:tblGrid>
      <w:tr w:rsidR="00DC60D8" w:rsidRPr="000B5E5D" w:rsidTr="00784CD1">
        <w:trPr>
          <w:trHeight w:val="300"/>
        </w:trPr>
        <w:tc>
          <w:tcPr>
            <w:tcW w:w="3828" w:type="dxa"/>
            <w:shd w:val="clear" w:color="auto" w:fill="C6D9F1" w:themeFill="text2" w:themeFillTint="33"/>
          </w:tcPr>
          <w:p w:rsidR="00DC60D8" w:rsidRPr="00A15D06" w:rsidRDefault="00DC60D8" w:rsidP="006278AA">
            <w:pPr>
              <w:spacing w:after="0" w:line="240" w:lineRule="auto"/>
              <w:jc w:val="center"/>
              <w:rPr>
                <w:rFonts w:ascii="StobiSerif Regular" w:eastAsia="MS Mincho" w:hAnsi="StobiSerif Regular" w:cs="Arial"/>
                <w:b/>
                <w:bCs/>
                <w:sz w:val="18"/>
                <w:szCs w:val="18"/>
                <w:lang w:eastAsia="ja-JP"/>
              </w:rPr>
            </w:pPr>
            <w:r w:rsidRPr="00A15D06">
              <w:rPr>
                <w:rFonts w:ascii="StobiSerif Regular" w:eastAsia="MS Mincho" w:hAnsi="StobiSerif Regular" w:cs="Arial"/>
                <w:b/>
                <w:bCs/>
                <w:sz w:val="18"/>
                <w:szCs w:val="18"/>
                <w:lang w:eastAsia="ja-JP"/>
              </w:rPr>
              <w:t xml:space="preserve">Индикатор </w:t>
            </w:r>
          </w:p>
        </w:tc>
        <w:tc>
          <w:tcPr>
            <w:tcW w:w="1559" w:type="dxa"/>
            <w:shd w:val="clear" w:color="auto" w:fill="C6D9F1" w:themeFill="text2" w:themeFillTint="33"/>
            <w:noWrap/>
          </w:tcPr>
          <w:p w:rsidR="00DC60D8" w:rsidRPr="00A15D06" w:rsidRDefault="00DC60D8" w:rsidP="006278AA">
            <w:pPr>
              <w:spacing w:after="0" w:line="240" w:lineRule="auto"/>
              <w:jc w:val="center"/>
              <w:rPr>
                <w:rFonts w:ascii="StobiSerif Regular" w:eastAsia="MS Mincho" w:hAnsi="StobiSerif Regular" w:cs="Arial"/>
                <w:b/>
                <w:bCs/>
                <w:sz w:val="18"/>
                <w:szCs w:val="18"/>
                <w:lang w:eastAsia="ja-JP"/>
              </w:rPr>
            </w:pPr>
            <w:r w:rsidRPr="00A15D06">
              <w:rPr>
                <w:rFonts w:ascii="StobiSerif Regular" w:eastAsia="MS Mincho" w:hAnsi="StobiSerif Regular" w:cs="Arial"/>
                <w:b/>
                <w:bCs/>
                <w:sz w:val="18"/>
                <w:szCs w:val="18"/>
                <w:lang w:eastAsia="ja-JP"/>
              </w:rPr>
              <w:t xml:space="preserve">Цел </w:t>
            </w:r>
          </w:p>
        </w:tc>
        <w:tc>
          <w:tcPr>
            <w:tcW w:w="1559" w:type="dxa"/>
            <w:shd w:val="clear" w:color="auto" w:fill="C6D9F1" w:themeFill="text2" w:themeFillTint="33"/>
          </w:tcPr>
          <w:p w:rsidR="00DC60D8" w:rsidRPr="00DC60D8" w:rsidRDefault="00DC60D8" w:rsidP="00DC60D8">
            <w:pPr>
              <w:spacing w:after="0" w:line="240" w:lineRule="auto"/>
              <w:jc w:val="center"/>
              <w:rPr>
                <w:rFonts w:ascii="StobiSerif Regular" w:eastAsia="MS Mincho" w:hAnsi="StobiSerif Regular" w:cs="Arial"/>
                <w:b/>
                <w:bCs/>
                <w:sz w:val="18"/>
                <w:szCs w:val="18"/>
                <w:lang w:eastAsia="ja-JP"/>
              </w:rPr>
            </w:pPr>
            <w:r w:rsidRPr="00A15D06">
              <w:rPr>
                <w:rFonts w:ascii="StobiSerif Regular" w:eastAsia="MS Mincho" w:hAnsi="StobiSerif Regular" w:cs="Arial"/>
                <w:b/>
                <w:bCs/>
                <w:sz w:val="18"/>
                <w:szCs w:val="18"/>
                <w:lang w:val="en-GB" w:eastAsia="ja-JP"/>
              </w:rPr>
              <w:t>201</w:t>
            </w:r>
            <w:r>
              <w:rPr>
                <w:rFonts w:ascii="StobiSerif Regular" w:eastAsia="MS Mincho" w:hAnsi="StobiSerif Regular" w:cs="Arial"/>
                <w:b/>
                <w:bCs/>
                <w:sz w:val="18"/>
                <w:szCs w:val="18"/>
                <w:lang w:eastAsia="ja-JP"/>
              </w:rPr>
              <w:t>6</w:t>
            </w:r>
          </w:p>
        </w:tc>
        <w:tc>
          <w:tcPr>
            <w:tcW w:w="1716" w:type="dxa"/>
            <w:shd w:val="clear" w:color="auto" w:fill="C6D9F1" w:themeFill="text2" w:themeFillTint="33"/>
          </w:tcPr>
          <w:p w:rsidR="00DC60D8" w:rsidRPr="00A15D06" w:rsidRDefault="00DC60D8" w:rsidP="006278AA">
            <w:pPr>
              <w:spacing w:after="0" w:line="240" w:lineRule="auto"/>
              <w:jc w:val="center"/>
              <w:rPr>
                <w:rFonts w:ascii="StobiSerif Regular" w:eastAsia="MS Mincho" w:hAnsi="StobiSerif Regular" w:cs="Arial"/>
                <w:b/>
                <w:bCs/>
                <w:sz w:val="18"/>
                <w:szCs w:val="18"/>
                <w:lang w:eastAsia="ja-JP"/>
              </w:rPr>
            </w:pPr>
            <w:r w:rsidRPr="00A15D06">
              <w:rPr>
                <w:rFonts w:ascii="StobiSerif Regular" w:eastAsia="MS Mincho" w:hAnsi="StobiSerif Regular" w:cs="Arial"/>
                <w:b/>
                <w:bCs/>
                <w:sz w:val="18"/>
                <w:szCs w:val="18"/>
                <w:lang w:val="en-GB" w:eastAsia="ja-JP"/>
              </w:rPr>
              <w:t xml:space="preserve">% </w:t>
            </w:r>
            <w:r w:rsidRPr="00A15D06">
              <w:rPr>
                <w:rFonts w:ascii="StobiSerif Regular" w:eastAsia="MS Mincho" w:hAnsi="StobiSerif Regular" w:cs="Arial"/>
                <w:b/>
                <w:bCs/>
                <w:sz w:val="18"/>
                <w:szCs w:val="18"/>
                <w:lang w:eastAsia="ja-JP"/>
              </w:rPr>
              <w:t>на спроведување</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b/>
                <w:sz w:val="18"/>
                <w:szCs w:val="18"/>
                <w:lang w:val="en-US" w:eastAsia="ja-JP"/>
              </w:rPr>
            </w:pPr>
            <w:r w:rsidRPr="00A15D06">
              <w:rPr>
                <w:rFonts w:ascii="StobiSerif Regular" w:eastAsia="MS Mincho" w:hAnsi="StobiSerif Regular" w:cs="Arial"/>
                <w:b/>
                <w:sz w:val="18"/>
                <w:szCs w:val="18"/>
                <w:lang w:val="en-GB" w:eastAsia="ja-JP"/>
              </w:rPr>
              <w:t>Вкупниот број на примени апликации (по сектор</w:t>
            </w:r>
            <w:r w:rsidRPr="00A15D06">
              <w:rPr>
                <w:rFonts w:ascii="StobiSerif Regular" w:eastAsia="MS Mincho" w:hAnsi="StobiSerif Regular" w:cs="Arial"/>
                <w:b/>
                <w:sz w:val="18"/>
                <w:szCs w:val="18"/>
                <w:lang w:eastAsia="ja-JP"/>
              </w:rPr>
              <w:t>и</w:t>
            </w:r>
            <w:r w:rsidRPr="00A15D06">
              <w:rPr>
                <w:rFonts w:ascii="StobiSerif Regular" w:eastAsia="MS Mincho" w:hAnsi="StobiSerif Regular" w:cs="Arial"/>
                <w:b/>
                <w:sz w:val="18"/>
                <w:szCs w:val="18"/>
                <w:lang w:val="en-GB" w:eastAsia="ja-JP"/>
              </w:rPr>
              <w:t>)</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US" w:eastAsia="ja-JP"/>
              </w:rPr>
            </w:pPr>
            <w:r w:rsidRPr="000B5E5D">
              <w:rPr>
                <w:rFonts w:ascii="StobiSerif Regular" w:eastAsia="MS Mincho" w:hAnsi="StobiSerif Regular" w:cs="Arial"/>
                <w:b/>
                <w:sz w:val="18"/>
                <w:szCs w:val="18"/>
                <w:lang w:val="en-GB" w:eastAsia="ja-JP"/>
              </w:rPr>
              <w:t>229</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b/>
                <w:sz w:val="18"/>
                <w:szCs w:val="18"/>
                <w:lang w:val="en-GB" w:eastAsia="ja-JP"/>
              </w:rPr>
            </w:pPr>
            <w:r w:rsidRPr="000B5E5D">
              <w:rPr>
                <w:rFonts w:ascii="StobiSerif Regular" w:eastAsia="MS Mincho" w:hAnsi="StobiSerif Regular" w:cs="Arial"/>
                <w:b/>
                <w:sz w:val="18"/>
                <w:szCs w:val="18"/>
                <w:lang w:val="en-GB" w:eastAsia="ja-JP"/>
              </w:rPr>
              <w:t>362</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b/>
                <w:sz w:val="18"/>
                <w:szCs w:val="18"/>
                <w:lang w:val="en-GB" w:eastAsia="ja-JP"/>
              </w:rPr>
            </w:pPr>
            <w:r w:rsidRPr="000B5E5D">
              <w:rPr>
                <w:rFonts w:ascii="StobiSerif Regular" w:eastAsia="MS Mincho" w:hAnsi="StobiSerif Regular" w:cs="Arial"/>
                <w:b/>
                <w:sz w:val="18"/>
                <w:szCs w:val="18"/>
                <w:lang w:val="en-GB" w:eastAsia="ja-JP"/>
              </w:rPr>
              <w:t>158</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 xml:space="preserve">(3021) Воспоставување и надградба на </w:t>
            </w:r>
            <w:r w:rsidRPr="00A15D06">
              <w:rPr>
                <w:rFonts w:ascii="StobiSerif Regular" w:eastAsia="MS Mincho" w:hAnsi="StobiSerif Regular" w:cs="Arial"/>
                <w:sz w:val="18"/>
                <w:szCs w:val="18"/>
                <w:lang w:eastAsia="ja-JP"/>
              </w:rPr>
              <w:t xml:space="preserve">не-земјоделски </w:t>
            </w:r>
            <w:r w:rsidRPr="00A15D06">
              <w:rPr>
                <w:rFonts w:ascii="StobiSerif Regular" w:eastAsia="MS Mincho" w:hAnsi="StobiSerif Regular" w:cs="Arial"/>
                <w:sz w:val="18"/>
                <w:szCs w:val="18"/>
                <w:lang w:val="en-GB" w:eastAsia="ja-JP"/>
              </w:rPr>
              <w:t>производствени активности во руралните средини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63</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169</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b/>
                <w:sz w:val="18"/>
                <w:szCs w:val="18"/>
                <w:lang w:val="en-GB" w:eastAsia="ja-JP"/>
              </w:rPr>
              <w:t>268</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(3022) Диверзификација на земјоделски приходи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23</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34</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147</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(3023) Обезбедување на земјоделски услуги во руралните средини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10</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2</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20</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(3024) Промовирање на активности за рурален туризам во руралните средини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133</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142</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106</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b/>
                <w:sz w:val="18"/>
                <w:szCs w:val="18"/>
                <w:lang w:val="en-GB" w:eastAsia="ja-JP"/>
              </w:rPr>
            </w:pPr>
            <w:r w:rsidRPr="00A15D06">
              <w:rPr>
                <w:rFonts w:ascii="StobiSerif Regular" w:eastAsia="MS Mincho" w:hAnsi="StobiSerif Regular" w:cs="Arial"/>
                <w:b/>
                <w:sz w:val="18"/>
                <w:szCs w:val="18"/>
                <w:lang w:val="en-GB" w:eastAsia="ja-JP"/>
              </w:rPr>
              <w:t>Вкупниот број на одобрени апликации (по сектори)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b/>
                <w:sz w:val="18"/>
                <w:szCs w:val="18"/>
                <w:lang w:val="en-GB" w:eastAsia="ja-JP"/>
              </w:rPr>
            </w:pPr>
            <w:r w:rsidRPr="000B5E5D">
              <w:rPr>
                <w:rFonts w:ascii="StobiSerif Regular" w:eastAsia="MS Mincho" w:hAnsi="StobiSerif Regular" w:cs="Arial"/>
                <w:b/>
                <w:sz w:val="18"/>
                <w:szCs w:val="18"/>
                <w:lang w:val="en-GB" w:eastAsia="ja-JP"/>
              </w:rPr>
              <w:t>95</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b/>
                <w:sz w:val="18"/>
                <w:szCs w:val="18"/>
                <w:lang w:val="en-GB" w:eastAsia="ja-JP"/>
              </w:rPr>
            </w:pPr>
            <w:r w:rsidRPr="000B5E5D">
              <w:rPr>
                <w:rFonts w:ascii="StobiSerif Regular" w:eastAsia="MS Mincho" w:hAnsi="StobiSerif Regular" w:cs="Arial"/>
                <w:b/>
                <w:sz w:val="18"/>
                <w:szCs w:val="18"/>
                <w:lang w:val="en-GB" w:eastAsia="ja-JP"/>
              </w:rPr>
              <w:t>38</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b/>
                <w:sz w:val="18"/>
                <w:szCs w:val="18"/>
                <w:lang w:val="en-GB" w:eastAsia="ja-JP"/>
              </w:rPr>
            </w:pPr>
            <w:r w:rsidRPr="000B5E5D">
              <w:rPr>
                <w:rFonts w:ascii="StobiSerif Regular" w:eastAsia="MS Mincho" w:hAnsi="StobiSerif Regular" w:cs="Arial"/>
                <w:b/>
                <w:sz w:val="18"/>
                <w:szCs w:val="18"/>
                <w:lang w:val="en-GB" w:eastAsia="ja-JP"/>
              </w:rPr>
              <w:t>40</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(3021) Воспоставување и надградба на не-земјоделски производствени активности во руралните средини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US" w:eastAsia="ja-JP"/>
              </w:rPr>
            </w:pPr>
            <w:r w:rsidRPr="000B5E5D">
              <w:rPr>
                <w:rFonts w:ascii="StobiSerif Regular" w:eastAsia="MS Mincho" w:hAnsi="StobiSerif Regular" w:cs="Arial"/>
                <w:sz w:val="18"/>
                <w:szCs w:val="18"/>
                <w:lang w:val="en-GB" w:eastAsia="ja-JP"/>
              </w:rPr>
              <w:t>35</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27</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77.1</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(3022) Диверзификација на земјоделски приходи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12</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5</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41.6</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(3023) Обезбедување на земјоделски услуги во руралните средини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5</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0</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0</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(3024) Промовирање на активности за рурален туризам во руралните средини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US" w:eastAsia="ja-JP"/>
              </w:rPr>
            </w:pPr>
            <w:r w:rsidRPr="000B5E5D">
              <w:rPr>
                <w:rFonts w:ascii="StobiSerif Regular" w:eastAsia="MS Mincho" w:hAnsi="StobiSerif Regular" w:cs="Arial"/>
                <w:sz w:val="18"/>
                <w:szCs w:val="18"/>
                <w:lang w:val="en-GB" w:eastAsia="ja-JP"/>
              </w:rPr>
              <w:t>43</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6</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13.9</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b/>
                <w:sz w:val="18"/>
                <w:szCs w:val="18"/>
                <w:lang w:val="en-GB" w:eastAsia="ja-JP"/>
              </w:rPr>
            </w:pPr>
            <w:r w:rsidRPr="00A15D06">
              <w:rPr>
                <w:rFonts w:ascii="StobiSerif Regular" w:eastAsia="MS Mincho" w:hAnsi="StobiSerif Regular" w:cs="Arial"/>
                <w:b/>
                <w:sz w:val="18"/>
                <w:szCs w:val="18"/>
                <w:lang w:val="en-GB" w:eastAsia="ja-JP"/>
              </w:rPr>
              <w:t>Вкупниот број на корисници (по сектор</w:t>
            </w:r>
            <w:r w:rsidRPr="00A15D06">
              <w:rPr>
                <w:rFonts w:ascii="StobiSerif Regular" w:eastAsia="MS Mincho" w:hAnsi="StobiSerif Regular" w:cs="Arial"/>
                <w:b/>
                <w:sz w:val="18"/>
                <w:szCs w:val="18"/>
                <w:lang w:eastAsia="ja-JP"/>
              </w:rPr>
              <w:t>и</w:t>
            </w:r>
            <w:r w:rsidRPr="00A15D06">
              <w:rPr>
                <w:rFonts w:ascii="StobiSerif Regular" w:eastAsia="MS Mincho" w:hAnsi="StobiSerif Regular" w:cs="Arial"/>
                <w:b/>
                <w:sz w:val="18"/>
                <w:szCs w:val="18"/>
                <w:lang w:val="en-GB" w:eastAsia="ja-JP"/>
              </w:rPr>
              <w:t>)</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Times New Roman" w:hAnsi="StobiSerif Regular" w:cs="Arial"/>
                <w:b/>
                <w:sz w:val="18"/>
                <w:szCs w:val="18"/>
                <w:lang w:val="en-GB"/>
              </w:rPr>
            </w:pPr>
            <w:r w:rsidRPr="000B5E5D">
              <w:rPr>
                <w:rFonts w:ascii="StobiSerif Regular" w:eastAsia="Times New Roman" w:hAnsi="StobiSerif Regular" w:cs="Arial"/>
                <w:b/>
                <w:sz w:val="18"/>
                <w:szCs w:val="18"/>
                <w:lang w:val="en-GB"/>
              </w:rPr>
              <w:t>95</w:t>
            </w:r>
          </w:p>
        </w:tc>
        <w:tc>
          <w:tcPr>
            <w:tcW w:w="1559" w:type="dxa"/>
            <w:vAlign w:val="center"/>
          </w:tcPr>
          <w:p w:rsidR="00704BF8" w:rsidRPr="000B5E5D" w:rsidRDefault="00704BF8" w:rsidP="00784CD1">
            <w:pPr>
              <w:spacing w:after="0" w:line="240" w:lineRule="auto"/>
              <w:jc w:val="center"/>
              <w:rPr>
                <w:rFonts w:ascii="StobiSerif Regular" w:eastAsia="Times New Roman" w:hAnsi="StobiSerif Regular" w:cs="Arial"/>
                <w:b/>
                <w:sz w:val="18"/>
                <w:szCs w:val="18"/>
                <w:lang w:val="en-GB"/>
              </w:rPr>
            </w:pPr>
            <w:r w:rsidRPr="000B5E5D">
              <w:rPr>
                <w:rFonts w:ascii="StobiSerif Regular" w:eastAsia="Times New Roman" w:hAnsi="StobiSerif Regular" w:cs="Arial"/>
                <w:b/>
                <w:sz w:val="18"/>
                <w:szCs w:val="18"/>
                <w:lang w:val="en-GB"/>
              </w:rPr>
              <w:t>8</w:t>
            </w:r>
          </w:p>
        </w:tc>
        <w:tc>
          <w:tcPr>
            <w:tcW w:w="1716" w:type="dxa"/>
            <w:vAlign w:val="center"/>
          </w:tcPr>
          <w:p w:rsidR="00704BF8" w:rsidRPr="000B5E5D" w:rsidRDefault="00704BF8" w:rsidP="00784CD1">
            <w:pPr>
              <w:spacing w:after="0" w:line="240" w:lineRule="auto"/>
              <w:jc w:val="center"/>
              <w:rPr>
                <w:rFonts w:ascii="StobiSerif Regular" w:eastAsia="Times New Roman" w:hAnsi="StobiSerif Regular" w:cs="Arial"/>
                <w:b/>
                <w:sz w:val="18"/>
                <w:szCs w:val="18"/>
                <w:lang w:val="en-GB"/>
              </w:rPr>
            </w:pPr>
            <w:r w:rsidRPr="000B5E5D">
              <w:rPr>
                <w:rFonts w:ascii="StobiSerif Regular" w:eastAsia="Times New Roman" w:hAnsi="StobiSerif Regular" w:cs="Arial"/>
                <w:b/>
                <w:sz w:val="18"/>
                <w:szCs w:val="18"/>
                <w:lang w:val="en-GB"/>
              </w:rPr>
              <w:t>3.1</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(3021) Воспоставување и надградба на не-земјоделски производствени активности во руралните средини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Times New Roman" w:hAnsi="StobiSerif Regular" w:cs="Arial"/>
                <w:sz w:val="18"/>
                <w:szCs w:val="18"/>
                <w:lang w:val="en-GB"/>
              </w:rPr>
            </w:pPr>
            <w:r w:rsidRPr="000B5E5D">
              <w:rPr>
                <w:rFonts w:ascii="StobiSerif Regular" w:eastAsia="MS Mincho" w:hAnsi="StobiSerif Regular" w:cs="Arial"/>
                <w:sz w:val="18"/>
                <w:szCs w:val="18"/>
                <w:lang w:val="en-GB" w:eastAsia="ja-JP"/>
              </w:rPr>
              <w:t>35</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5</w:t>
            </w:r>
          </w:p>
        </w:tc>
        <w:tc>
          <w:tcPr>
            <w:tcW w:w="1716" w:type="dxa"/>
            <w:vAlign w:val="center"/>
          </w:tcPr>
          <w:p w:rsidR="00704BF8" w:rsidRPr="000B5E5D" w:rsidRDefault="00704BF8" w:rsidP="00E07B3A">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8.4</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 xml:space="preserve">(3022) Диверзификација на земјоделски приходи </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Times New Roman" w:hAnsi="StobiSerif Regular" w:cs="Arial"/>
                <w:sz w:val="18"/>
                <w:szCs w:val="18"/>
                <w:lang w:val="en-GB"/>
              </w:rPr>
            </w:pPr>
            <w:r w:rsidRPr="000B5E5D">
              <w:rPr>
                <w:rFonts w:ascii="StobiSerif Regular" w:eastAsia="MS Mincho" w:hAnsi="StobiSerif Regular" w:cs="Arial"/>
                <w:sz w:val="18"/>
                <w:szCs w:val="18"/>
                <w:lang w:val="en-GB" w:eastAsia="ja-JP"/>
              </w:rPr>
              <w:t>12</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3</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25</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(3023) Обезбедување на земјоделски услуги во руралните средини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Times New Roman" w:hAnsi="StobiSerif Regular" w:cs="Arial"/>
                <w:sz w:val="18"/>
                <w:szCs w:val="18"/>
                <w:lang w:val="en-GB"/>
              </w:rPr>
            </w:pPr>
            <w:r w:rsidRPr="000B5E5D">
              <w:rPr>
                <w:rFonts w:ascii="StobiSerif Regular" w:eastAsia="MS Mincho" w:hAnsi="StobiSerif Regular" w:cs="Arial"/>
                <w:sz w:val="18"/>
                <w:szCs w:val="18"/>
                <w:lang w:val="en-GB" w:eastAsia="ja-JP"/>
              </w:rPr>
              <w:t>5</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0</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0</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sz w:val="18"/>
                <w:szCs w:val="18"/>
                <w:lang w:val="en-GB" w:eastAsia="ja-JP"/>
              </w:rPr>
            </w:pPr>
            <w:r w:rsidRPr="00A15D06">
              <w:rPr>
                <w:rFonts w:ascii="StobiSerif Regular" w:eastAsia="MS Mincho" w:hAnsi="StobiSerif Regular" w:cs="Arial"/>
                <w:sz w:val="18"/>
                <w:szCs w:val="18"/>
                <w:lang w:val="en-GB" w:eastAsia="ja-JP"/>
              </w:rPr>
              <w:t>(3024) Промовирање на активности за рурален туризам во руралните средини</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Times New Roman" w:hAnsi="StobiSerif Regular" w:cs="Arial"/>
                <w:sz w:val="18"/>
                <w:szCs w:val="18"/>
                <w:lang w:val="en-GB"/>
              </w:rPr>
            </w:pPr>
            <w:r w:rsidRPr="000B5E5D">
              <w:rPr>
                <w:rFonts w:ascii="StobiSerif Regular" w:eastAsia="MS Mincho" w:hAnsi="StobiSerif Regular" w:cs="Arial"/>
                <w:sz w:val="18"/>
                <w:szCs w:val="18"/>
                <w:lang w:val="en-GB" w:eastAsia="ja-JP"/>
              </w:rPr>
              <w:t>43</w:t>
            </w:r>
          </w:p>
        </w:tc>
        <w:tc>
          <w:tcPr>
            <w:tcW w:w="1559"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0</w:t>
            </w:r>
          </w:p>
        </w:tc>
        <w:tc>
          <w:tcPr>
            <w:tcW w:w="1716" w:type="dxa"/>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GB" w:eastAsia="ja-JP"/>
              </w:rPr>
            </w:pPr>
            <w:r w:rsidRPr="000B5E5D">
              <w:rPr>
                <w:rFonts w:ascii="StobiSerif Regular" w:eastAsia="MS Mincho" w:hAnsi="StobiSerif Regular" w:cs="Arial"/>
                <w:sz w:val="18"/>
                <w:szCs w:val="18"/>
                <w:lang w:val="en-GB" w:eastAsia="ja-JP"/>
              </w:rPr>
              <w:t>0</w:t>
            </w:r>
          </w:p>
        </w:tc>
      </w:tr>
      <w:tr w:rsidR="00704BF8" w:rsidRPr="000B5E5D" w:rsidTr="00784CD1">
        <w:trPr>
          <w:trHeight w:val="300"/>
        </w:trPr>
        <w:tc>
          <w:tcPr>
            <w:tcW w:w="3828" w:type="dxa"/>
            <w:shd w:val="clear" w:color="auto" w:fill="auto"/>
          </w:tcPr>
          <w:p w:rsidR="00704BF8" w:rsidRPr="00A15D06" w:rsidRDefault="00704BF8" w:rsidP="006278AA">
            <w:pPr>
              <w:spacing w:after="0" w:line="240" w:lineRule="auto"/>
              <w:rPr>
                <w:rFonts w:ascii="StobiSerif Regular" w:eastAsia="MS Mincho" w:hAnsi="StobiSerif Regular" w:cs="Arial"/>
                <w:b/>
                <w:sz w:val="18"/>
                <w:szCs w:val="18"/>
                <w:lang w:val="en-GB" w:eastAsia="ja-JP"/>
              </w:rPr>
            </w:pPr>
            <w:r w:rsidRPr="00A15D06">
              <w:rPr>
                <w:rFonts w:ascii="StobiSerif Regular" w:eastAsia="MS Mincho" w:hAnsi="StobiSerif Regular" w:cs="Arial"/>
                <w:b/>
                <w:sz w:val="18"/>
                <w:szCs w:val="18"/>
                <w:lang w:val="en-GB" w:eastAsia="ja-JP"/>
              </w:rPr>
              <w:t>Вкупниот износ на инвестиции, во милиони €</w:t>
            </w:r>
          </w:p>
        </w:tc>
        <w:tc>
          <w:tcPr>
            <w:tcW w:w="1559" w:type="dxa"/>
            <w:shd w:val="clear" w:color="auto" w:fill="auto"/>
            <w:noWrap/>
            <w:vAlign w:val="center"/>
          </w:tcPr>
          <w:p w:rsidR="00704BF8" w:rsidRPr="000B5E5D" w:rsidRDefault="00704BF8" w:rsidP="00784CD1">
            <w:pPr>
              <w:spacing w:after="0" w:line="240" w:lineRule="auto"/>
              <w:jc w:val="center"/>
              <w:rPr>
                <w:rFonts w:ascii="StobiSerif Regular" w:eastAsia="MS Mincho" w:hAnsi="StobiSerif Regular" w:cs="Arial"/>
                <w:sz w:val="18"/>
                <w:szCs w:val="18"/>
                <w:lang w:val="en-US" w:eastAsia="ja-JP"/>
              </w:rPr>
            </w:pPr>
            <w:r w:rsidRPr="000B5E5D">
              <w:rPr>
                <w:rFonts w:ascii="StobiSerif Regular" w:eastAsia="Times New Roman" w:hAnsi="StobiSerif Regular" w:cs="Arial"/>
                <w:b/>
                <w:bCs/>
                <w:sz w:val="18"/>
                <w:szCs w:val="18"/>
                <w:lang w:val="en-GB"/>
              </w:rPr>
              <w:t>7.2</w:t>
            </w:r>
            <w:r w:rsidRPr="000B5E5D">
              <w:rPr>
                <w:rFonts w:ascii="StobiSerif Regular" w:eastAsia="MS Mincho" w:hAnsi="StobiSerif Regular" w:cs="Arial"/>
                <w:b/>
                <w:sz w:val="18"/>
                <w:szCs w:val="18"/>
                <w:lang w:val="en-GB" w:eastAsia="ja-JP"/>
              </w:rPr>
              <w:t xml:space="preserve"> €</w:t>
            </w:r>
          </w:p>
        </w:tc>
        <w:tc>
          <w:tcPr>
            <w:tcW w:w="1559" w:type="dxa"/>
            <w:vAlign w:val="center"/>
          </w:tcPr>
          <w:p w:rsidR="00704BF8" w:rsidRPr="000B5E5D" w:rsidRDefault="00704BF8" w:rsidP="00784CD1">
            <w:pPr>
              <w:spacing w:after="0" w:line="240" w:lineRule="auto"/>
              <w:jc w:val="center"/>
              <w:rPr>
                <w:rFonts w:ascii="StobiSerif Regular" w:eastAsia="Times New Roman" w:hAnsi="StobiSerif Regular" w:cs="Arial"/>
                <w:b/>
                <w:bCs/>
                <w:sz w:val="18"/>
                <w:szCs w:val="18"/>
                <w:lang w:val="en-GB"/>
              </w:rPr>
            </w:pPr>
            <w:r w:rsidRPr="000B5E5D">
              <w:rPr>
                <w:rFonts w:ascii="StobiSerif Regular" w:eastAsia="Times New Roman" w:hAnsi="StobiSerif Regular" w:cs="Arial"/>
                <w:b/>
                <w:bCs/>
                <w:sz w:val="18"/>
                <w:szCs w:val="18"/>
                <w:lang w:val="en-GB"/>
              </w:rPr>
              <w:t>5.3€</w:t>
            </w:r>
          </w:p>
        </w:tc>
        <w:tc>
          <w:tcPr>
            <w:tcW w:w="1716" w:type="dxa"/>
            <w:vAlign w:val="center"/>
          </w:tcPr>
          <w:p w:rsidR="00704BF8" w:rsidRPr="000B5E5D" w:rsidRDefault="00704BF8" w:rsidP="00784CD1">
            <w:pPr>
              <w:spacing w:after="0" w:line="240" w:lineRule="auto"/>
              <w:jc w:val="center"/>
              <w:rPr>
                <w:rFonts w:ascii="StobiSerif Regular" w:eastAsia="Times New Roman" w:hAnsi="StobiSerif Regular" w:cs="Arial"/>
                <w:b/>
                <w:bCs/>
                <w:sz w:val="18"/>
                <w:szCs w:val="18"/>
                <w:lang w:val="en-GB"/>
              </w:rPr>
            </w:pPr>
            <w:r w:rsidRPr="000B5E5D">
              <w:rPr>
                <w:rFonts w:ascii="StobiSerif Regular" w:eastAsia="MS Mincho" w:hAnsi="StobiSerif Regular" w:cs="Arial"/>
                <w:sz w:val="18"/>
                <w:szCs w:val="18"/>
                <w:lang w:val="en-GB" w:eastAsia="ja-JP"/>
              </w:rPr>
              <w:t>73.6</w:t>
            </w:r>
          </w:p>
        </w:tc>
      </w:tr>
    </w:tbl>
    <w:p w:rsidR="00784CD1" w:rsidRPr="000B5E5D" w:rsidRDefault="00704BF8" w:rsidP="00704BF8">
      <w:pPr>
        <w:autoSpaceDE w:val="0"/>
        <w:autoSpaceDN w:val="0"/>
        <w:adjustRightInd w:val="0"/>
        <w:spacing w:after="120"/>
        <w:jc w:val="both"/>
        <w:rPr>
          <w:rFonts w:ascii="StobiSerif Regular" w:hAnsi="StobiSerif Regular"/>
          <w:sz w:val="16"/>
          <w:szCs w:val="16"/>
          <w:lang w:val="en-US"/>
        </w:rPr>
      </w:pPr>
      <w:r w:rsidRPr="00704BF8">
        <w:rPr>
          <w:rFonts w:ascii="StobiSerif Regular" w:hAnsi="StobiSerif Regular"/>
          <w:sz w:val="16"/>
          <w:szCs w:val="16"/>
        </w:rPr>
        <w:t>Извор: Мониторинг систем  (2016)</w:t>
      </w:r>
    </w:p>
    <w:p w:rsidR="00F26BFB" w:rsidRPr="00F26BFB" w:rsidRDefault="00F26BFB" w:rsidP="00955E09">
      <w:pPr>
        <w:autoSpaceDE w:val="0"/>
        <w:autoSpaceDN w:val="0"/>
        <w:adjustRightInd w:val="0"/>
        <w:spacing w:before="120" w:after="120"/>
        <w:ind w:firstLine="284"/>
        <w:jc w:val="both"/>
        <w:rPr>
          <w:rFonts w:ascii="StobiSerif Regular" w:hAnsi="StobiSerif Regular"/>
        </w:rPr>
      </w:pPr>
      <w:r w:rsidRPr="00F26BFB">
        <w:rPr>
          <w:rFonts w:ascii="StobiSerif Regular" w:hAnsi="StobiSerif Regular"/>
        </w:rPr>
        <w:t xml:space="preserve">Во однос на специфични показатели, процентот на реализација е многу низок </w:t>
      </w:r>
      <w:r w:rsidR="00704BF8">
        <w:rPr>
          <w:rFonts w:ascii="StobiSerif Regular" w:hAnsi="StobiSerif Regular"/>
        </w:rPr>
        <w:t xml:space="preserve">за </w:t>
      </w:r>
      <w:r w:rsidRPr="00F26BFB">
        <w:rPr>
          <w:rFonts w:ascii="StobiSerif Regular" w:hAnsi="StobiSerif Regular"/>
        </w:rPr>
        <w:t xml:space="preserve">да се даде некоја слика; </w:t>
      </w:r>
      <w:r w:rsidR="00704BF8">
        <w:rPr>
          <w:rFonts w:ascii="StobiSerif Regular" w:hAnsi="StobiSerif Regular"/>
        </w:rPr>
        <w:t>с</w:t>
      </w:r>
      <w:r w:rsidRPr="00F26BFB">
        <w:rPr>
          <w:rFonts w:ascii="StobiSerif Regular" w:hAnsi="StobiSerif Regular"/>
        </w:rPr>
        <w:t>епак, поради усогласување на анализа на квалитет, тие се прикажани во табелата подолу:</w:t>
      </w:r>
    </w:p>
    <w:p w:rsidR="00784CD1" w:rsidRPr="00677FC7" w:rsidRDefault="00704BF8" w:rsidP="00784CD1">
      <w:pPr>
        <w:autoSpaceDE w:val="0"/>
        <w:autoSpaceDN w:val="0"/>
        <w:adjustRightInd w:val="0"/>
        <w:spacing w:after="0"/>
        <w:jc w:val="both"/>
        <w:rPr>
          <w:rFonts w:ascii="StobiSerif Regular" w:hAnsi="StobiSerif Regular"/>
          <w:b/>
          <w:lang w:val="en-US"/>
        </w:rPr>
      </w:pPr>
      <w:bookmarkStart w:id="49" w:name="_Toc485394915"/>
      <w:r w:rsidRPr="00677FC7">
        <w:rPr>
          <w:rFonts w:ascii="StobiSerif Regular" w:eastAsia="Times New Roman" w:hAnsi="StobiSerif Regular" w:cs="Times New Roman"/>
          <w:b/>
          <w:lang w:eastAsia="zh-CN"/>
        </w:rPr>
        <w:t>Табела</w:t>
      </w:r>
      <w:r w:rsidR="006C55E6" w:rsidRPr="00677FC7">
        <w:rPr>
          <w:rFonts w:ascii="StobiSerif Regular" w:eastAsia="Times New Roman" w:hAnsi="StobiSerif Regular" w:cs="Times New Roman"/>
          <w:b/>
          <w:lang w:val="en-GB" w:eastAsia="zh-CN"/>
        </w:rPr>
        <w:t xml:space="preserve"> </w:t>
      </w:r>
      <w:r w:rsidR="006C55E6" w:rsidRPr="00677FC7">
        <w:rPr>
          <w:rFonts w:ascii="StobiSerif Regular" w:eastAsia="Times New Roman" w:hAnsi="StobiSerif Regular" w:cs="Times New Roman"/>
          <w:b/>
          <w:lang w:val="en-GB" w:eastAsia="zh-CN"/>
        </w:rPr>
        <w:fldChar w:fldCharType="begin"/>
      </w:r>
      <w:r w:rsidR="006C55E6" w:rsidRPr="00677FC7">
        <w:rPr>
          <w:rFonts w:ascii="StobiSerif Regular" w:eastAsia="Times New Roman" w:hAnsi="StobiSerif Regular" w:cs="Times New Roman"/>
          <w:b/>
          <w:lang w:val="en-GB" w:eastAsia="zh-CN"/>
        </w:rPr>
        <w:instrText xml:space="preserve"> SEQ Table \* ARABIC </w:instrText>
      </w:r>
      <w:r w:rsidR="006C55E6" w:rsidRPr="00677FC7">
        <w:rPr>
          <w:rFonts w:ascii="StobiSerif Regular" w:eastAsia="Times New Roman" w:hAnsi="StobiSerif Regular" w:cs="Times New Roman"/>
          <w:b/>
          <w:lang w:val="en-GB" w:eastAsia="zh-CN"/>
        </w:rPr>
        <w:fldChar w:fldCharType="separate"/>
      </w:r>
      <w:r w:rsidR="006C55E6" w:rsidRPr="00677FC7">
        <w:rPr>
          <w:rFonts w:ascii="StobiSerif Regular" w:eastAsia="Times New Roman" w:hAnsi="StobiSerif Regular" w:cs="Times New Roman"/>
          <w:b/>
          <w:noProof/>
          <w:lang w:val="en-GB" w:eastAsia="zh-CN"/>
        </w:rPr>
        <w:t>23</w:t>
      </w:r>
      <w:r w:rsidR="006C55E6" w:rsidRPr="00677FC7">
        <w:rPr>
          <w:rFonts w:ascii="StobiSerif Regular" w:eastAsia="Times New Roman" w:hAnsi="StobiSerif Regular" w:cs="Times New Roman"/>
          <w:b/>
          <w:lang w:val="en-GB" w:eastAsia="zh-CN"/>
        </w:rPr>
        <w:fldChar w:fldCharType="end"/>
      </w:r>
      <w:r w:rsidR="006C55E6" w:rsidRPr="00677FC7">
        <w:rPr>
          <w:rFonts w:ascii="StobiSerif Regular" w:eastAsia="Times New Roman" w:hAnsi="StobiSerif Regular" w:cs="Times New Roman"/>
          <w:b/>
          <w:lang w:val="en-GB" w:eastAsia="zh-CN"/>
        </w:rPr>
        <w:t xml:space="preserve">: </w:t>
      </w:r>
      <w:r w:rsidRPr="00677FC7">
        <w:rPr>
          <w:rFonts w:ascii="StobiSerif Regular" w:hAnsi="StobiSerif Regular"/>
          <w:b/>
        </w:rPr>
        <w:t>Специфичните индикатори според исплатени проекти во М 302</w:t>
      </w:r>
      <w:bookmarkEnd w:id="49"/>
    </w:p>
    <w:tbl>
      <w:tblPr>
        <w:tblStyle w:val="TableGrid6"/>
        <w:tblW w:w="751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2F4F6"/>
        <w:tblLook w:val="04A0" w:firstRow="1" w:lastRow="0" w:firstColumn="1" w:lastColumn="0" w:noHBand="0" w:noVBand="1"/>
      </w:tblPr>
      <w:tblGrid>
        <w:gridCol w:w="3969"/>
        <w:gridCol w:w="1559"/>
        <w:gridCol w:w="1985"/>
      </w:tblGrid>
      <w:tr w:rsidR="00704BF8" w:rsidRPr="00784CD1" w:rsidTr="00784CD1">
        <w:trPr>
          <w:trHeight w:val="300"/>
        </w:trPr>
        <w:tc>
          <w:tcPr>
            <w:tcW w:w="3969" w:type="dxa"/>
            <w:shd w:val="clear" w:color="auto" w:fill="C2F4F6"/>
          </w:tcPr>
          <w:p w:rsidR="00704BF8" w:rsidRPr="00555299" w:rsidRDefault="00704BF8" w:rsidP="006278AA">
            <w:pPr>
              <w:autoSpaceDE w:val="0"/>
              <w:autoSpaceDN w:val="0"/>
              <w:adjustRightInd w:val="0"/>
              <w:spacing w:line="276" w:lineRule="auto"/>
              <w:jc w:val="both"/>
              <w:rPr>
                <w:rFonts w:ascii="StobiSerif Regular" w:hAnsi="StobiSerif Regular"/>
                <w:b/>
                <w:sz w:val="18"/>
                <w:szCs w:val="18"/>
              </w:rPr>
            </w:pPr>
            <w:r>
              <w:rPr>
                <w:rFonts w:ascii="StobiSerif Regular" w:hAnsi="StobiSerif Regular"/>
                <w:b/>
                <w:sz w:val="18"/>
                <w:szCs w:val="18"/>
                <w:lang w:val="en-GB"/>
              </w:rPr>
              <w:t>M</w:t>
            </w:r>
            <w:r>
              <w:rPr>
                <w:rFonts w:ascii="StobiSerif Regular" w:hAnsi="StobiSerif Regular"/>
                <w:b/>
                <w:sz w:val="18"/>
                <w:szCs w:val="18"/>
              </w:rPr>
              <w:t xml:space="preserve">ерка </w:t>
            </w:r>
            <w:r w:rsidR="007D3C36">
              <w:rPr>
                <w:rFonts w:ascii="StobiSerif Regular" w:hAnsi="StobiSerif Regular"/>
                <w:b/>
                <w:sz w:val="18"/>
                <w:szCs w:val="18"/>
              </w:rPr>
              <w:t xml:space="preserve">302 </w:t>
            </w:r>
            <w:r>
              <w:rPr>
                <w:rFonts w:ascii="StobiSerif Regular" w:hAnsi="StobiSerif Regular"/>
                <w:b/>
                <w:sz w:val="18"/>
                <w:szCs w:val="18"/>
              </w:rPr>
              <w:t>специфични индикатори</w:t>
            </w:r>
          </w:p>
        </w:tc>
        <w:tc>
          <w:tcPr>
            <w:tcW w:w="1559" w:type="dxa"/>
            <w:shd w:val="clear" w:color="auto" w:fill="C2F4F6"/>
            <w:noWrap/>
          </w:tcPr>
          <w:p w:rsidR="00704BF8" w:rsidRPr="00704BF8" w:rsidRDefault="00704BF8" w:rsidP="006278AA">
            <w:pPr>
              <w:autoSpaceDE w:val="0"/>
              <w:autoSpaceDN w:val="0"/>
              <w:adjustRightInd w:val="0"/>
              <w:spacing w:line="276" w:lineRule="auto"/>
              <w:jc w:val="both"/>
              <w:rPr>
                <w:rFonts w:ascii="StobiSerif Regular" w:hAnsi="StobiSerif Regular"/>
                <w:b/>
                <w:sz w:val="18"/>
                <w:szCs w:val="18"/>
              </w:rPr>
            </w:pPr>
            <w:r>
              <w:rPr>
                <w:rFonts w:ascii="StobiSerif Regular" w:hAnsi="StobiSerif Regular"/>
                <w:b/>
                <w:sz w:val="18"/>
                <w:szCs w:val="18"/>
              </w:rPr>
              <w:t>Цел</w:t>
            </w:r>
          </w:p>
        </w:tc>
        <w:tc>
          <w:tcPr>
            <w:tcW w:w="1985" w:type="dxa"/>
            <w:tcBorders>
              <w:bottom w:val="double" w:sz="4" w:space="0" w:color="auto"/>
            </w:tcBorders>
            <w:shd w:val="clear" w:color="auto" w:fill="C2F4F6"/>
          </w:tcPr>
          <w:p w:rsidR="00704BF8" w:rsidRPr="00A15D06" w:rsidRDefault="00704BF8" w:rsidP="006278AA">
            <w:pPr>
              <w:autoSpaceDE w:val="0"/>
              <w:autoSpaceDN w:val="0"/>
              <w:adjustRightInd w:val="0"/>
              <w:jc w:val="both"/>
              <w:rPr>
                <w:rFonts w:ascii="StobiSerif Regular" w:hAnsi="StobiSerif Regular"/>
                <w:b/>
                <w:sz w:val="18"/>
                <w:szCs w:val="18"/>
              </w:rPr>
            </w:pPr>
            <w:r w:rsidRPr="00A15D06">
              <w:rPr>
                <w:rFonts w:ascii="StobiSerif Regular" w:hAnsi="StobiSerif Regular"/>
                <w:b/>
                <w:sz w:val="18"/>
                <w:szCs w:val="18"/>
                <w:lang w:val="en-GB"/>
              </w:rPr>
              <w:t>201</w:t>
            </w:r>
            <w:r>
              <w:rPr>
                <w:rFonts w:ascii="StobiSerif Regular" w:hAnsi="StobiSerif Regular"/>
                <w:b/>
                <w:sz w:val="18"/>
                <w:szCs w:val="18"/>
              </w:rPr>
              <w:t>6</w:t>
            </w:r>
          </w:p>
        </w:tc>
      </w:tr>
      <w:tr w:rsidR="00EA59E1" w:rsidRPr="00784CD1" w:rsidTr="00784CD1">
        <w:trPr>
          <w:trHeight w:val="300"/>
        </w:trPr>
        <w:tc>
          <w:tcPr>
            <w:tcW w:w="3969" w:type="dxa"/>
            <w:shd w:val="clear" w:color="auto" w:fill="C2F4F6"/>
          </w:tcPr>
          <w:p w:rsidR="00EA59E1" w:rsidRPr="00A15D06" w:rsidRDefault="00EA59E1" w:rsidP="006278AA">
            <w:pPr>
              <w:rPr>
                <w:rFonts w:ascii="StobiSerif Regular" w:eastAsia="MS Mincho" w:hAnsi="StobiSerif Regular" w:cs="Arial"/>
                <w:b/>
                <w:sz w:val="18"/>
                <w:szCs w:val="18"/>
                <w:lang w:val="en-US" w:eastAsia="ja-JP"/>
              </w:rPr>
            </w:pPr>
            <w:r w:rsidRPr="00A15D06">
              <w:rPr>
                <w:rFonts w:ascii="StobiSerif Regular" w:eastAsia="MS Mincho" w:hAnsi="StobiSerif Regular" w:cs="Arial"/>
                <w:sz w:val="18"/>
                <w:szCs w:val="18"/>
                <w:lang w:eastAsia="ja-JP"/>
              </w:rPr>
              <w:t xml:space="preserve">Број на нови микро-мали претпријатија основани и активни во руралните средини </w:t>
            </w:r>
          </w:p>
        </w:tc>
        <w:tc>
          <w:tcPr>
            <w:tcW w:w="1559" w:type="dxa"/>
            <w:shd w:val="clear" w:color="auto" w:fill="C2F4F6"/>
            <w:noWrap/>
          </w:tcPr>
          <w:p w:rsidR="00EA59E1" w:rsidRPr="00784CD1" w:rsidRDefault="00EA59E1" w:rsidP="00784CD1">
            <w:pPr>
              <w:jc w:val="right"/>
              <w:rPr>
                <w:rFonts w:ascii="StobiSerif Regular" w:eastAsia="MS Mincho" w:hAnsi="StobiSerif Regular" w:cs="Arial"/>
                <w:sz w:val="18"/>
                <w:szCs w:val="18"/>
                <w:lang w:val="en-US" w:eastAsia="ja-JP"/>
              </w:rPr>
            </w:pPr>
            <w:r w:rsidRPr="00784CD1">
              <w:rPr>
                <w:rFonts w:ascii="StobiSerif Regular" w:eastAsia="MS Mincho" w:hAnsi="StobiSerif Regular" w:cs="Arial"/>
                <w:b/>
                <w:sz w:val="18"/>
                <w:szCs w:val="18"/>
                <w:lang w:eastAsia="ja-JP"/>
              </w:rPr>
              <w:t>95</w:t>
            </w:r>
          </w:p>
        </w:tc>
        <w:tc>
          <w:tcPr>
            <w:tcW w:w="1985" w:type="dxa"/>
            <w:shd w:val="clear" w:color="auto" w:fill="F7FBBD"/>
          </w:tcPr>
          <w:p w:rsidR="00EA59E1" w:rsidRPr="00784CD1" w:rsidRDefault="00EA59E1" w:rsidP="00784CD1">
            <w:pPr>
              <w:jc w:val="right"/>
              <w:rPr>
                <w:rFonts w:ascii="StobiSerif Regular" w:eastAsia="MS Mincho" w:hAnsi="StobiSerif Regular" w:cs="Arial"/>
                <w:b/>
                <w:sz w:val="18"/>
                <w:szCs w:val="18"/>
                <w:lang w:val="en-US" w:eastAsia="ja-JP"/>
              </w:rPr>
            </w:pPr>
            <w:r>
              <w:rPr>
                <w:rFonts w:ascii="StobiSerif Regular" w:eastAsia="MS Mincho" w:hAnsi="StobiSerif Regular" w:cs="Arial"/>
                <w:b/>
                <w:sz w:val="18"/>
                <w:szCs w:val="18"/>
                <w:lang w:val="en-US" w:eastAsia="ja-JP"/>
              </w:rPr>
              <w:t>5</w:t>
            </w:r>
          </w:p>
        </w:tc>
      </w:tr>
      <w:tr w:rsidR="00EA59E1" w:rsidRPr="00784CD1" w:rsidTr="00784CD1">
        <w:trPr>
          <w:trHeight w:val="300"/>
        </w:trPr>
        <w:tc>
          <w:tcPr>
            <w:tcW w:w="3969" w:type="dxa"/>
            <w:shd w:val="clear" w:color="auto" w:fill="C2F4F6"/>
          </w:tcPr>
          <w:p w:rsidR="00EA59E1" w:rsidRPr="00A15D06" w:rsidRDefault="00EA59E1" w:rsidP="006278AA">
            <w:pPr>
              <w:rPr>
                <w:rFonts w:ascii="StobiSerif Regular" w:eastAsia="MS Mincho" w:hAnsi="StobiSerif Regular" w:cs="Arial"/>
                <w:sz w:val="18"/>
                <w:szCs w:val="18"/>
                <w:lang w:eastAsia="ja-JP"/>
              </w:rPr>
            </w:pPr>
            <w:r w:rsidRPr="00A15D06">
              <w:rPr>
                <w:rFonts w:ascii="StobiSerif Regular" w:eastAsia="MS Mincho" w:hAnsi="StobiSerif Regular" w:cs="Arial"/>
                <w:sz w:val="18"/>
                <w:szCs w:val="18"/>
                <w:lang w:eastAsia="ja-JP"/>
              </w:rPr>
              <w:t xml:space="preserve">Број на проекти за диверзификација на економските активности на земјоделски стопанства </w:t>
            </w:r>
          </w:p>
        </w:tc>
        <w:tc>
          <w:tcPr>
            <w:tcW w:w="1559" w:type="dxa"/>
            <w:shd w:val="clear" w:color="auto" w:fill="C2F4F6"/>
            <w:noWrap/>
          </w:tcPr>
          <w:p w:rsidR="00EA59E1" w:rsidRPr="00784CD1" w:rsidRDefault="00EA59E1" w:rsidP="00784CD1">
            <w:pPr>
              <w:jc w:val="right"/>
              <w:rPr>
                <w:rFonts w:ascii="StobiSerif Regular" w:eastAsia="MS Mincho" w:hAnsi="StobiSerif Regular" w:cs="Arial"/>
                <w:b/>
                <w:sz w:val="18"/>
                <w:szCs w:val="18"/>
                <w:lang w:eastAsia="ja-JP"/>
              </w:rPr>
            </w:pPr>
            <w:r w:rsidRPr="00784CD1">
              <w:rPr>
                <w:rFonts w:ascii="StobiSerif Regular" w:eastAsia="MS Mincho" w:hAnsi="StobiSerif Regular" w:cs="Arial"/>
                <w:b/>
                <w:sz w:val="18"/>
                <w:szCs w:val="18"/>
                <w:lang w:eastAsia="ja-JP"/>
              </w:rPr>
              <w:t>52</w:t>
            </w:r>
          </w:p>
        </w:tc>
        <w:tc>
          <w:tcPr>
            <w:tcW w:w="1985" w:type="dxa"/>
            <w:shd w:val="clear" w:color="auto" w:fill="F7FBBD"/>
          </w:tcPr>
          <w:p w:rsidR="00EA59E1" w:rsidRPr="00784CD1" w:rsidRDefault="00EA59E1" w:rsidP="0015487B">
            <w:pPr>
              <w:jc w:val="right"/>
              <w:rPr>
                <w:rFonts w:ascii="StobiSerif Regular" w:eastAsia="MS Mincho" w:hAnsi="StobiSerif Regular" w:cs="Arial"/>
                <w:b/>
                <w:sz w:val="18"/>
                <w:szCs w:val="18"/>
                <w:lang w:eastAsia="ja-JP"/>
              </w:rPr>
            </w:pPr>
            <w:r>
              <w:rPr>
                <w:rFonts w:ascii="StobiSerif Regular" w:eastAsia="MS Mincho" w:hAnsi="StobiSerif Regular" w:cs="Arial"/>
                <w:b/>
                <w:sz w:val="18"/>
                <w:szCs w:val="18"/>
                <w:lang w:val="en-US" w:eastAsia="ja-JP"/>
              </w:rPr>
              <w:t>3</w:t>
            </w:r>
          </w:p>
        </w:tc>
      </w:tr>
      <w:tr w:rsidR="00EA59E1" w:rsidRPr="00784CD1" w:rsidTr="00784CD1">
        <w:trPr>
          <w:trHeight w:val="300"/>
        </w:trPr>
        <w:tc>
          <w:tcPr>
            <w:tcW w:w="3969" w:type="dxa"/>
            <w:shd w:val="clear" w:color="auto" w:fill="C2F4F6"/>
          </w:tcPr>
          <w:p w:rsidR="00EA59E1" w:rsidRPr="00A15D06" w:rsidRDefault="00EA59E1" w:rsidP="006278AA">
            <w:pPr>
              <w:rPr>
                <w:rFonts w:ascii="StobiSerif Regular" w:eastAsia="MS Mincho" w:hAnsi="StobiSerif Regular" w:cs="Arial"/>
                <w:sz w:val="18"/>
                <w:szCs w:val="18"/>
                <w:lang w:val="en-US" w:eastAsia="ja-JP"/>
              </w:rPr>
            </w:pPr>
            <w:r w:rsidRPr="00A15D06">
              <w:rPr>
                <w:rFonts w:ascii="StobiSerif Regular" w:eastAsia="MS Mincho" w:hAnsi="StobiSerif Regular" w:cs="Arial"/>
                <w:sz w:val="18"/>
                <w:szCs w:val="18"/>
                <w:lang w:eastAsia="ja-JP"/>
              </w:rPr>
              <w:t>Број на нови работни места во руралните средини</w:t>
            </w:r>
          </w:p>
        </w:tc>
        <w:tc>
          <w:tcPr>
            <w:tcW w:w="1559" w:type="dxa"/>
            <w:shd w:val="clear" w:color="auto" w:fill="C2F4F6"/>
            <w:noWrap/>
          </w:tcPr>
          <w:p w:rsidR="00EA59E1" w:rsidRPr="00784CD1" w:rsidRDefault="00EA59E1" w:rsidP="00784CD1">
            <w:pPr>
              <w:jc w:val="right"/>
              <w:rPr>
                <w:rFonts w:ascii="StobiSerif Regular" w:eastAsia="MS Mincho" w:hAnsi="StobiSerif Regular" w:cs="Arial"/>
                <w:b/>
                <w:sz w:val="18"/>
                <w:szCs w:val="18"/>
                <w:lang w:eastAsia="ja-JP"/>
              </w:rPr>
            </w:pPr>
            <w:r w:rsidRPr="00784CD1">
              <w:rPr>
                <w:rFonts w:ascii="StobiSerif Regular" w:eastAsia="MS Mincho" w:hAnsi="StobiSerif Regular" w:cs="Arial"/>
                <w:b/>
                <w:sz w:val="18"/>
                <w:szCs w:val="18"/>
                <w:lang w:val="en-US" w:eastAsia="ja-JP"/>
              </w:rPr>
              <w:t>to be monitored</w:t>
            </w:r>
          </w:p>
        </w:tc>
        <w:tc>
          <w:tcPr>
            <w:tcW w:w="1985" w:type="dxa"/>
            <w:shd w:val="clear" w:color="auto" w:fill="F7FBBD"/>
          </w:tcPr>
          <w:p w:rsidR="00EA59E1" w:rsidRPr="00784CD1" w:rsidRDefault="00EA59E1" w:rsidP="00784CD1">
            <w:pPr>
              <w:jc w:val="right"/>
              <w:rPr>
                <w:rFonts w:ascii="StobiSerif Regular" w:eastAsia="MS Mincho" w:hAnsi="StobiSerif Regular" w:cs="Arial"/>
                <w:b/>
                <w:sz w:val="18"/>
                <w:szCs w:val="18"/>
                <w:lang w:val="en-US" w:eastAsia="ja-JP"/>
              </w:rPr>
            </w:pPr>
            <w:r w:rsidRPr="00784CD1">
              <w:rPr>
                <w:rFonts w:ascii="StobiSerif Regular" w:eastAsia="MS Mincho" w:hAnsi="StobiSerif Regular" w:cs="Arial"/>
                <w:b/>
                <w:sz w:val="18"/>
                <w:szCs w:val="18"/>
                <w:lang w:val="en-US" w:eastAsia="ja-JP"/>
              </w:rPr>
              <w:t>N/A</w:t>
            </w:r>
          </w:p>
        </w:tc>
      </w:tr>
      <w:tr w:rsidR="00EA59E1" w:rsidRPr="00784CD1" w:rsidTr="00784CD1">
        <w:trPr>
          <w:trHeight w:val="300"/>
        </w:trPr>
        <w:tc>
          <w:tcPr>
            <w:tcW w:w="3969" w:type="dxa"/>
            <w:shd w:val="clear" w:color="auto" w:fill="C2F4F6"/>
          </w:tcPr>
          <w:p w:rsidR="00EA59E1" w:rsidRPr="00A15D06" w:rsidRDefault="00EA59E1" w:rsidP="006278AA">
            <w:pPr>
              <w:rPr>
                <w:rFonts w:ascii="StobiSerif Regular" w:eastAsia="MS Mincho" w:hAnsi="StobiSerif Regular" w:cs="Arial"/>
                <w:sz w:val="18"/>
                <w:szCs w:val="18"/>
                <w:lang w:eastAsia="ja-JP"/>
              </w:rPr>
            </w:pPr>
            <w:r w:rsidRPr="00A15D06">
              <w:rPr>
                <w:rFonts w:ascii="StobiSerif Regular" w:eastAsia="MS Mincho" w:hAnsi="StobiSerif Regular" w:cs="Arial"/>
                <w:sz w:val="18"/>
                <w:szCs w:val="18"/>
                <w:lang w:eastAsia="ja-JP"/>
              </w:rPr>
              <w:t>Број на легла за рурален туризам модернизирани и создаде</w:t>
            </w:r>
          </w:p>
        </w:tc>
        <w:tc>
          <w:tcPr>
            <w:tcW w:w="1559" w:type="dxa"/>
            <w:shd w:val="clear" w:color="auto" w:fill="C2F4F6"/>
            <w:noWrap/>
          </w:tcPr>
          <w:p w:rsidR="00EA59E1" w:rsidRPr="00784CD1" w:rsidRDefault="00EA59E1" w:rsidP="00784CD1">
            <w:pPr>
              <w:jc w:val="right"/>
              <w:rPr>
                <w:rFonts w:ascii="StobiSerif Regular" w:eastAsia="MS Mincho" w:hAnsi="StobiSerif Regular" w:cs="Arial"/>
                <w:b/>
                <w:sz w:val="18"/>
                <w:szCs w:val="18"/>
                <w:lang w:eastAsia="ja-JP"/>
              </w:rPr>
            </w:pPr>
            <w:r w:rsidRPr="00784CD1">
              <w:rPr>
                <w:rFonts w:ascii="StobiSerif Regular" w:eastAsia="MS Mincho" w:hAnsi="StobiSerif Regular" w:cs="Arial"/>
                <w:b/>
                <w:sz w:val="18"/>
                <w:szCs w:val="18"/>
                <w:lang w:eastAsia="ja-JP"/>
              </w:rPr>
              <w:t>43</w:t>
            </w:r>
          </w:p>
        </w:tc>
        <w:tc>
          <w:tcPr>
            <w:tcW w:w="1985" w:type="dxa"/>
            <w:shd w:val="clear" w:color="auto" w:fill="F7FBBD"/>
          </w:tcPr>
          <w:p w:rsidR="00EA59E1" w:rsidRPr="00784CD1" w:rsidRDefault="00EA59E1" w:rsidP="00784CD1">
            <w:pPr>
              <w:jc w:val="right"/>
              <w:rPr>
                <w:rFonts w:ascii="StobiSerif Regular" w:eastAsia="MS Mincho" w:hAnsi="StobiSerif Regular" w:cs="Arial"/>
                <w:b/>
                <w:sz w:val="18"/>
                <w:szCs w:val="18"/>
                <w:lang w:val="en-US" w:eastAsia="ja-JP"/>
              </w:rPr>
            </w:pPr>
            <w:r w:rsidRPr="00784CD1">
              <w:rPr>
                <w:rFonts w:ascii="StobiSerif Regular" w:eastAsia="MS Mincho" w:hAnsi="StobiSerif Regular" w:cs="Arial"/>
                <w:b/>
                <w:sz w:val="18"/>
                <w:szCs w:val="18"/>
                <w:lang w:val="en-US" w:eastAsia="ja-JP"/>
              </w:rPr>
              <w:t>N/A</w:t>
            </w:r>
          </w:p>
        </w:tc>
      </w:tr>
    </w:tbl>
    <w:p w:rsidR="00784CD1" w:rsidRPr="00784CD1" w:rsidRDefault="00C97F8B" w:rsidP="00784CD1">
      <w:pPr>
        <w:rPr>
          <w:rFonts w:ascii="StobiSerif Regular" w:hAnsi="StobiSerif Regular"/>
          <w:sz w:val="16"/>
          <w:szCs w:val="16"/>
          <w:lang w:val="en-US"/>
        </w:rPr>
      </w:pPr>
      <w:r w:rsidRPr="00C97F8B">
        <w:rPr>
          <w:rFonts w:ascii="StobiSerif Regular" w:hAnsi="StobiSerif Regular"/>
          <w:sz w:val="16"/>
          <w:szCs w:val="16"/>
        </w:rPr>
        <w:t>Извор: Мониторинг систем  (2016)</w:t>
      </w:r>
    </w:p>
    <w:p w:rsidR="00784CD1" w:rsidRPr="00263962" w:rsidRDefault="00E840F4" w:rsidP="00784CD1">
      <w:pPr>
        <w:outlineLvl w:val="1"/>
        <w:rPr>
          <w:rFonts w:ascii="StobiSerif Regular" w:hAnsi="StobiSerif Regular"/>
          <w:b/>
          <w:lang w:val="en-US"/>
        </w:rPr>
      </w:pPr>
      <w:bookmarkStart w:id="50" w:name="_Toc485394813"/>
      <w:r>
        <w:rPr>
          <w:rFonts w:ascii="StobiSerif Regular" w:hAnsi="StobiSerif Regular"/>
          <w:b/>
        </w:rPr>
        <w:t xml:space="preserve">2.4. </w:t>
      </w:r>
      <w:r w:rsidR="00F26BFB" w:rsidRPr="001D442C">
        <w:rPr>
          <w:rFonts w:ascii="StobiSerif Regular" w:hAnsi="StobiSerif Regular"/>
          <w:b/>
        </w:rPr>
        <w:t>Финансиски трошоци по мерки</w:t>
      </w:r>
      <w:bookmarkEnd w:id="50"/>
    </w:p>
    <w:p w:rsidR="00DA33DD" w:rsidRDefault="00DA33DD" w:rsidP="00955E09">
      <w:pPr>
        <w:ind w:firstLine="284"/>
        <w:rPr>
          <w:rFonts w:ascii="StobiSerif Regular" w:hAnsi="StobiSerif Regular"/>
        </w:rPr>
      </w:pPr>
      <w:r w:rsidRPr="00DA33DD">
        <w:rPr>
          <w:rFonts w:ascii="StobiSerif Regular" w:hAnsi="StobiSerif Regular"/>
        </w:rPr>
        <w:t>Финансиската распределба по оски и мерки веќе е прикажана во Табела 2 од овој извештај, во текстот што следи ќе ја прикажеме финансиската динамика на ИПАРД средствата.</w:t>
      </w:r>
      <w:r w:rsidRPr="00DA33DD">
        <w:rPr>
          <w:rFonts w:ascii="StobiSerif Regular" w:hAnsi="StobiSerif Regular"/>
          <w:lang w:val="en-US"/>
        </w:rPr>
        <w:t xml:space="preserve"> </w:t>
      </w:r>
    </w:p>
    <w:p w:rsidR="00DA33DD" w:rsidRDefault="00DA33DD" w:rsidP="007D3C36">
      <w:pPr>
        <w:rPr>
          <w:rFonts w:ascii="StobiSerif Regular" w:hAnsi="StobiSerif Regular"/>
        </w:rPr>
      </w:pPr>
      <w:r w:rsidRPr="00DA33DD">
        <w:rPr>
          <w:rFonts w:ascii="StobiSerif Regular" w:hAnsi="StobiSerif Regular"/>
        </w:rPr>
        <w:t xml:space="preserve">Од 1369 </w:t>
      </w:r>
      <w:r>
        <w:rPr>
          <w:rFonts w:ascii="StobiSerif Regular" w:hAnsi="StobiSerif Regular"/>
        </w:rPr>
        <w:t xml:space="preserve">склучени </w:t>
      </w:r>
      <w:r w:rsidRPr="00DA33DD">
        <w:rPr>
          <w:rFonts w:ascii="StobiSerif Regular" w:hAnsi="StobiSerif Regular"/>
        </w:rPr>
        <w:t xml:space="preserve"> договори со </w:t>
      </w:r>
      <w:r w:rsidR="007D3C36">
        <w:rPr>
          <w:rFonts w:ascii="StobiSerif Regular" w:hAnsi="StobiSerif Regular"/>
        </w:rPr>
        <w:t xml:space="preserve">вкупна вредност од 19.166.004 евра </w:t>
      </w:r>
      <w:r w:rsidRPr="00DA33DD">
        <w:rPr>
          <w:rFonts w:ascii="StobiSerif Regular" w:hAnsi="StobiSerif Regular"/>
        </w:rPr>
        <w:t>фондови на ЕУ, дури 50,4% се од М 101 (1266), каде што износот на сумата 9.669.697 €.</w:t>
      </w:r>
    </w:p>
    <w:p w:rsidR="00DA33DD" w:rsidRPr="00DA33DD" w:rsidRDefault="00DA33DD" w:rsidP="007D3C36">
      <w:pPr>
        <w:rPr>
          <w:rFonts w:ascii="StobiSerif Regular" w:hAnsi="StobiSerif Regular"/>
        </w:rPr>
      </w:pPr>
      <w:r w:rsidRPr="00DA33DD">
        <w:rPr>
          <w:rFonts w:ascii="StobiSerif Regular" w:hAnsi="StobiSerif Regular"/>
        </w:rPr>
        <w:t>Во не поплавените подрачја во мерката 101, 25,3% се исплатени повеќе од предвиденото износ.</w:t>
      </w:r>
    </w:p>
    <w:p w:rsidR="00784CD1" w:rsidRPr="00677FC7" w:rsidRDefault="006C55E6" w:rsidP="006C55E6">
      <w:pPr>
        <w:spacing w:after="0"/>
        <w:rPr>
          <w:rFonts w:ascii="StobiSerif Regular" w:hAnsi="StobiSerif Regular"/>
          <w:b/>
          <w:bCs/>
          <w:sz w:val="16"/>
          <w:szCs w:val="16"/>
          <w:lang w:val="en-US"/>
        </w:rPr>
      </w:pPr>
      <w:bookmarkStart w:id="51" w:name="_Toc278756405"/>
      <w:bookmarkStart w:id="52" w:name="_Toc295813177"/>
      <w:bookmarkStart w:id="53" w:name="_Toc421370551"/>
      <w:bookmarkStart w:id="54" w:name="_Toc485394916"/>
      <w:r w:rsidRPr="00677FC7">
        <w:rPr>
          <w:rFonts w:ascii="StobiSerif Regular" w:eastAsia="Times New Roman" w:hAnsi="StobiSerif Regular" w:cs="Times New Roman"/>
          <w:b/>
          <w:lang w:val="en-GB" w:eastAsia="zh-CN"/>
        </w:rPr>
        <w:t xml:space="preserve">Table </w:t>
      </w:r>
      <w:r w:rsidRPr="00677FC7">
        <w:rPr>
          <w:rFonts w:ascii="StobiSerif Regular" w:eastAsia="Times New Roman" w:hAnsi="StobiSerif Regular" w:cs="Times New Roman"/>
          <w:b/>
          <w:lang w:val="en-GB" w:eastAsia="zh-CN"/>
        </w:rPr>
        <w:fldChar w:fldCharType="begin"/>
      </w:r>
      <w:r w:rsidRPr="00677FC7">
        <w:rPr>
          <w:rFonts w:ascii="StobiSerif Regular" w:eastAsia="Times New Roman" w:hAnsi="StobiSerif Regular" w:cs="Times New Roman"/>
          <w:b/>
          <w:lang w:val="en-GB" w:eastAsia="zh-CN"/>
        </w:rPr>
        <w:instrText xml:space="preserve"> SEQ Table \* ARABIC </w:instrText>
      </w:r>
      <w:r w:rsidRPr="00677FC7">
        <w:rPr>
          <w:rFonts w:ascii="StobiSerif Regular" w:eastAsia="Times New Roman" w:hAnsi="StobiSerif Regular" w:cs="Times New Roman"/>
          <w:b/>
          <w:lang w:val="en-GB" w:eastAsia="zh-CN"/>
        </w:rPr>
        <w:fldChar w:fldCharType="separate"/>
      </w:r>
      <w:r w:rsidRPr="00677FC7">
        <w:rPr>
          <w:rFonts w:ascii="StobiSerif Regular" w:eastAsia="Times New Roman" w:hAnsi="StobiSerif Regular" w:cs="Times New Roman"/>
          <w:b/>
          <w:noProof/>
          <w:lang w:val="en-GB" w:eastAsia="zh-CN"/>
        </w:rPr>
        <w:t>24</w:t>
      </w:r>
      <w:r w:rsidRPr="00677FC7">
        <w:rPr>
          <w:rFonts w:ascii="StobiSerif Regular" w:eastAsia="Times New Roman" w:hAnsi="StobiSerif Regular" w:cs="Times New Roman"/>
          <w:b/>
          <w:lang w:val="en-GB" w:eastAsia="zh-CN"/>
        </w:rPr>
        <w:fldChar w:fldCharType="end"/>
      </w:r>
      <w:r w:rsidRPr="00677FC7">
        <w:rPr>
          <w:rFonts w:ascii="StobiSerif Regular" w:eastAsia="Times New Roman" w:hAnsi="StobiSerif Regular" w:cs="Times New Roman"/>
          <w:b/>
          <w:lang w:val="en-GB" w:eastAsia="zh-CN"/>
        </w:rPr>
        <w:t xml:space="preserve">: </w:t>
      </w:r>
      <w:bookmarkEnd w:id="51"/>
      <w:bookmarkEnd w:id="52"/>
      <w:bookmarkEnd w:id="53"/>
      <w:r w:rsidR="003132C0" w:rsidRPr="00677FC7">
        <w:rPr>
          <w:rFonts w:ascii="StobiSerif Regular" w:eastAsia="Times New Roman" w:hAnsi="StobiSerif Regular" w:cs="Times New Roman"/>
          <w:b/>
          <w:bCs/>
          <w:lang w:val="en-US"/>
        </w:rPr>
        <w:t xml:space="preserve">Финансиско спроведување по оски и мерки </w:t>
      </w:r>
      <w:r w:rsidR="00BE5D1B" w:rsidRPr="00677FC7">
        <w:rPr>
          <w:rFonts w:ascii="StobiSerif Regular" w:hAnsi="StobiSerif Regular"/>
          <w:b/>
          <w:bCs/>
          <w:sz w:val="16"/>
          <w:szCs w:val="16"/>
          <w:lang w:val="en-GB"/>
        </w:rPr>
        <w:t>(</w:t>
      </w:r>
      <w:r w:rsidR="003132C0" w:rsidRPr="00677FC7">
        <w:rPr>
          <w:rFonts w:ascii="StobiSerif Regular" w:hAnsi="StobiSerif Regular"/>
          <w:b/>
          <w:bCs/>
          <w:sz w:val="16"/>
          <w:szCs w:val="16"/>
        </w:rPr>
        <w:t>во €</w:t>
      </w:r>
      <w:r w:rsidR="00784CD1" w:rsidRPr="00677FC7">
        <w:rPr>
          <w:rFonts w:ascii="StobiSerif Regular" w:hAnsi="StobiSerif Regular"/>
          <w:b/>
          <w:bCs/>
          <w:sz w:val="16"/>
          <w:szCs w:val="16"/>
          <w:lang w:val="en-GB"/>
        </w:rPr>
        <w:t>)</w:t>
      </w:r>
      <w:bookmarkEnd w:id="54"/>
    </w:p>
    <w:tbl>
      <w:tblPr>
        <w:tblW w:w="9498"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1276"/>
        <w:gridCol w:w="1418"/>
        <w:gridCol w:w="1134"/>
        <w:gridCol w:w="1134"/>
        <w:gridCol w:w="992"/>
        <w:gridCol w:w="1134"/>
        <w:gridCol w:w="992"/>
      </w:tblGrid>
      <w:tr w:rsidR="003132C0" w:rsidRPr="00576763" w:rsidTr="00B76FCE">
        <w:trPr>
          <w:trHeight w:val="345"/>
        </w:trPr>
        <w:tc>
          <w:tcPr>
            <w:tcW w:w="1418" w:type="dxa"/>
            <w:vMerge w:val="restart"/>
            <w:vAlign w:val="center"/>
          </w:tcPr>
          <w:p w:rsidR="003132C0" w:rsidRPr="003132C0" w:rsidRDefault="003132C0" w:rsidP="006278AA">
            <w:pPr>
              <w:tabs>
                <w:tab w:val="num" w:pos="0"/>
              </w:tabs>
              <w:spacing w:after="0" w:line="240" w:lineRule="auto"/>
              <w:jc w:val="center"/>
              <w:rPr>
                <w:rFonts w:ascii="StobiSerif Regular" w:eastAsia="Times New Roman" w:hAnsi="StobiSerif Regular"/>
                <w:b/>
                <w:bCs/>
                <w:sz w:val="16"/>
                <w:szCs w:val="16"/>
                <w:lang w:val="en-GB" w:eastAsia="zh-CN"/>
              </w:rPr>
            </w:pPr>
            <w:r w:rsidRPr="003132C0">
              <w:rPr>
                <w:rFonts w:ascii="StobiSerif Regular" w:eastAsia="Times New Roman" w:hAnsi="StobiSerif Regular"/>
                <w:b/>
                <w:bCs/>
                <w:sz w:val="16"/>
                <w:szCs w:val="16"/>
                <w:lang w:val="en-GB" w:eastAsia="zh-CN"/>
              </w:rPr>
              <w:t>Оска</w:t>
            </w:r>
          </w:p>
        </w:tc>
        <w:tc>
          <w:tcPr>
            <w:tcW w:w="1276" w:type="dxa"/>
            <w:vMerge w:val="restart"/>
            <w:vAlign w:val="center"/>
          </w:tcPr>
          <w:p w:rsidR="003132C0" w:rsidRPr="003132C0" w:rsidRDefault="003132C0" w:rsidP="006278AA">
            <w:pPr>
              <w:tabs>
                <w:tab w:val="num" w:pos="0"/>
              </w:tabs>
              <w:spacing w:after="0" w:line="240" w:lineRule="auto"/>
              <w:jc w:val="center"/>
              <w:rPr>
                <w:rFonts w:ascii="StobiSerif Regular" w:eastAsia="Times New Roman" w:hAnsi="StobiSerif Regular"/>
                <w:b/>
                <w:bCs/>
                <w:sz w:val="16"/>
                <w:szCs w:val="16"/>
                <w:lang w:val="en-GB" w:eastAsia="zh-CN"/>
              </w:rPr>
            </w:pPr>
            <w:r w:rsidRPr="003132C0">
              <w:rPr>
                <w:rFonts w:ascii="StobiSerif Regular" w:eastAsia="Times New Roman" w:hAnsi="StobiSerif Regular"/>
                <w:b/>
                <w:bCs/>
                <w:sz w:val="16"/>
                <w:szCs w:val="16"/>
                <w:lang w:val="en-GB" w:eastAsia="zh-CN"/>
              </w:rPr>
              <w:t xml:space="preserve">Вкупно јавни трошоци </w:t>
            </w:r>
          </w:p>
        </w:tc>
        <w:tc>
          <w:tcPr>
            <w:tcW w:w="6804" w:type="dxa"/>
            <w:gridSpan w:val="6"/>
            <w:vAlign w:val="center"/>
          </w:tcPr>
          <w:p w:rsidR="003132C0" w:rsidRPr="003132C0" w:rsidRDefault="003132C0" w:rsidP="006278AA">
            <w:pPr>
              <w:tabs>
                <w:tab w:val="num" w:pos="0"/>
              </w:tabs>
              <w:spacing w:after="0" w:line="240" w:lineRule="auto"/>
              <w:jc w:val="center"/>
              <w:rPr>
                <w:rFonts w:ascii="StobiSerif Regular" w:eastAsia="Times New Roman" w:hAnsi="StobiSerif Regular"/>
                <w:b/>
                <w:bCs/>
                <w:sz w:val="16"/>
                <w:szCs w:val="16"/>
                <w:lang w:val="en-GB" w:eastAsia="zh-CN"/>
              </w:rPr>
            </w:pPr>
            <w:r w:rsidRPr="003132C0">
              <w:rPr>
                <w:rFonts w:ascii="StobiSerif Regular" w:eastAsia="Times New Roman" w:hAnsi="StobiSerif Regular"/>
                <w:b/>
                <w:bCs/>
                <w:sz w:val="16"/>
                <w:szCs w:val="16"/>
                <w:lang w:val="en-GB" w:eastAsia="zh-CN"/>
              </w:rPr>
              <w:t xml:space="preserve">ЕУ придонес </w:t>
            </w:r>
          </w:p>
        </w:tc>
      </w:tr>
      <w:tr w:rsidR="003132C0" w:rsidRPr="00576763" w:rsidTr="00B76FCE">
        <w:trPr>
          <w:trHeight w:val="559"/>
        </w:trPr>
        <w:tc>
          <w:tcPr>
            <w:tcW w:w="1418" w:type="dxa"/>
            <w:vMerge/>
            <w:vAlign w:val="center"/>
          </w:tcPr>
          <w:p w:rsidR="003132C0" w:rsidRPr="003132C0" w:rsidRDefault="003132C0" w:rsidP="00784CD1">
            <w:pPr>
              <w:tabs>
                <w:tab w:val="num" w:pos="0"/>
              </w:tabs>
              <w:spacing w:after="0" w:line="240" w:lineRule="auto"/>
              <w:jc w:val="center"/>
              <w:rPr>
                <w:rFonts w:ascii="StobiSerif Regular" w:eastAsia="Times New Roman" w:hAnsi="StobiSerif Regular"/>
                <w:b/>
                <w:bCs/>
                <w:sz w:val="16"/>
                <w:szCs w:val="16"/>
                <w:lang w:val="en-GB" w:eastAsia="zh-CN"/>
              </w:rPr>
            </w:pPr>
          </w:p>
        </w:tc>
        <w:tc>
          <w:tcPr>
            <w:tcW w:w="1276" w:type="dxa"/>
            <w:vMerge/>
            <w:vAlign w:val="center"/>
          </w:tcPr>
          <w:p w:rsidR="003132C0" w:rsidRPr="003132C0" w:rsidRDefault="003132C0" w:rsidP="00784CD1">
            <w:pPr>
              <w:tabs>
                <w:tab w:val="num" w:pos="0"/>
              </w:tabs>
              <w:spacing w:after="0" w:line="240" w:lineRule="auto"/>
              <w:jc w:val="center"/>
              <w:rPr>
                <w:rFonts w:ascii="StobiSerif Regular" w:eastAsia="Times New Roman" w:hAnsi="StobiSerif Regular"/>
                <w:b/>
                <w:bCs/>
                <w:sz w:val="16"/>
                <w:szCs w:val="16"/>
                <w:lang w:val="en-GB" w:eastAsia="zh-CN"/>
              </w:rPr>
            </w:pPr>
          </w:p>
        </w:tc>
        <w:tc>
          <w:tcPr>
            <w:tcW w:w="1418" w:type="dxa"/>
            <w:vAlign w:val="center"/>
          </w:tcPr>
          <w:p w:rsidR="003132C0" w:rsidRPr="003132C0" w:rsidRDefault="003132C0" w:rsidP="00784CD1">
            <w:pPr>
              <w:tabs>
                <w:tab w:val="num" w:pos="0"/>
              </w:tabs>
              <w:spacing w:after="0" w:line="240" w:lineRule="auto"/>
              <w:jc w:val="center"/>
              <w:rPr>
                <w:rFonts w:ascii="StobiSerif Regular" w:eastAsia="Times New Roman" w:hAnsi="StobiSerif Regular"/>
                <w:b/>
                <w:bCs/>
                <w:sz w:val="16"/>
                <w:szCs w:val="16"/>
                <w:lang w:val="en-GB" w:eastAsia="zh-CN"/>
              </w:rPr>
            </w:pPr>
            <w:r w:rsidRPr="003132C0">
              <w:rPr>
                <w:rFonts w:ascii="StobiSerif Regular" w:eastAsia="Times New Roman" w:hAnsi="StobiSerif Regular"/>
                <w:b/>
                <w:bCs/>
                <w:sz w:val="16"/>
                <w:szCs w:val="16"/>
                <w:lang w:val="en-GB" w:eastAsia="zh-CN"/>
              </w:rPr>
              <w:t>Индикативен финансиски план</w:t>
            </w:r>
          </w:p>
        </w:tc>
        <w:tc>
          <w:tcPr>
            <w:tcW w:w="1134" w:type="dxa"/>
            <w:vAlign w:val="center"/>
          </w:tcPr>
          <w:p w:rsidR="003132C0" w:rsidRPr="003132C0" w:rsidRDefault="003132C0" w:rsidP="006278AA">
            <w:pPr>
              <w:tabs>
                <w:tab w:val="num" w:pos="0"/>
              </w:tabs>
              <w:spacing w:after="0" w:line="240" w:lineRule="auto"/>
              <w:jc w:val="center"/>
              <w:rPr>
                <w:rFonts w:ascii="StobiSerif Regular" w:eastAsia="Times New Roman" w:hAnsi="StobiSerif Regular"/>
                <w:b/>
                <w:bCs/>
                <w:sz w:val="16"/>
                <w:szCs w:val="16"/>
                <w:lang w:val="en-GB" w:eastAsia="zh-CN"/>
              </w:rPr>
            </w:pPr>
            <w:r w:rsidRPr="003132C0">
              <w:rPr>
                <w:rFonts w:ascii="StobiSerif Regular" w:eastAsia="Times New Roman" w:hAnsi="StobiSerif Regular"/>
                <w:b/>
                <w:bCs/>
                <w:sz w:val="16"/>
                <w:szCs w:val="16"/>
                <w:lang w:val="en-GB" w:eastAsia="zh-CN"/>
              </w:rPr>
              <w:t xml:space="preserve">Склучени  </w:t>
            </w:r>
          </w:p>
        </w:tc>
        <w:tc>
          <w:tcPr>
            <w:tcW w:w="1134" w:type="dxa"/>
            <w:vAlign w:val="center"/>
          </w:tcPr>
          <w:p w:rsidR="003132C0" w:rsidRPr="003132C0" w:rsidRDefault="003132C0" w:rsidP="006278AA">
            <w:pPr>
              <w:tabs>
                <w:tab w:val="num" w:pos="0"/>
              </w:tabs>
              <w:spacing w:after="0" w:line="240" w:lineRule="auto"/>
              <w:jc w:val="center"/>
              <w:rPr>
                <w:rFonts w:ascii="StobiSerif Regular" w:eastAsia="Times New Roman" w:hAnsi="StobiSerif Regular"/>
                <w:b/>
                <w:bCs/>
                <w:sz w:val="16"/>
                <w:szCs w:val="16"/>
                <w:lang w:val="en-GB" w:eastAsia="zh-CN"/>
              </w:rPr>
            </w:pPr>
            <w:r w:rsidRPr="003132C0">
              <w:rPr>
                <w:rFonts w:ascii="StobiSerif Regular" w:eastAsia="Times New Roman" w:hAnsi="StobiSerif Regular"/>
                <w:b/>
                <w:bCs/>
                <w:sz w:val="16"/>
                <w:szCs w:val="16"/>
                <w:lang w:val="en-GB" w:eastAsia="zh-CN"/>
              </w:rPr>
              <w:t>Откажани</w:t>
            </w:r>
          </w:p>
        </w:tc>
        <w:tc>
          <w:tcPr>
            <w:tcW w:w="992" w:type="dxa"/>
            <w:vAlign w:val="center"/>
          </w:tcPr>
          <w:p w:rsidR="003132C0" w:rsidRPr="003132C0" w:rsidRDefault="003132C0" w:rsidP="006278AA">
            <w:pPr>
              <w:tabs>
                <w:tab w:val="num" w:pos="0"/>
              </w:tabs>
              <w:spacing w:after="0" w:line="240" w:lineRule="auto"/>
              <w:jc w:val="center"/>
              <w:rPr>
                <w:rFonts w:ascii="StobiSerif Regular" w:eastAsia="Times New Roman" w:hAnsi="StobiSerif Regular"/>
                <w:b/>
                <w:bCs/>
                <w:sz w:val="16"/>
                <w:szCs w:val="16"/>
                <w:lang w:val="en-GB" w:eastAsia="zh-CN"/>
              </w:rPr>
            </w:pPr>
            <w:r w:rsidRPr="003132C0">
              <w:rPr>
                <w:rFonts w:ascii="StobiSerif Regular" w:eastAsia="Times New Roman" w:hAnsi="StobiSerif Regular"/>
                <w:b/>
                <w:bCs/>
                <w:sz w:val="16"/>
                <w:szCs w:val="16"/>
                <w:lang w:val="en-GB" w:eastAsia="zh-CN"/>
              </w:rPr>
              <w:t xml:space="preserve">Платени </w:t>
            </w:r>
          </w:p>
        </w:tc>
        <w:tc>
          <w:tcPr>
            <w:tcW w:w="1134" w:type="dxa"/>
            <w:vAlign w:val="center"/>
          </w:tcPr>
          <w:p w:rsidR="003132C0" w:rsidRPr="003132C0" w:rsidRDefault="003132C0" w:rsidP="006278AA">
            <w:pPr>
              <w:tabs>
                <w:tab w:val="num" w:pos="0"/>
              </w:tabs>
              <w:spacing w:after="0" w:line="240" w:lineRule="auto"/>
              <w:jc w:val="center"/>
              <w:rPr>
                <w:rFonts w:ascii="StobiSerif Regular" w:eastAsia="Times New Roman" w:hAnsi="StobiSerif Regular"/>
                <w:b/>
                <w:bCs/>
                <w:sz w:val="16"/>
                <w:szCs w:val="16"/>
                <w:lang w:val="en-GB" w:eastAsia="zh-CN"/>
              </w:rPr>
            </w:pPr>
            <w:r w:rsidRPr="003132C0">
              <w:rPr>
                <w:rFonts w:ascii="StobiSerif Regular" w:eastAsia="Times New Roman" w:hAnsi="StobiSerif Regular"/>
                <w:b/>
                <w:bCs/>
                <w:sz w:val="16"/>
                <w:szCs w:val="16"/>
                <w:lang w:val="en-GB" w:eastAsia="zh-CN"/>
              </w:rPr>
              <w:t xml:space="preserve">% на склучени </w:t>
            </w:r>
          </w:p>
        </w:tc>
        <w:tc>
          <w:tcPr>
            <w:tcW w:w="992" w:type="dxa"/>
            <w:vAlign w:val="center"/>
          </w:tcPr>
          <w:p w:rsidR="003132C0" w:rsidRPr="003132C0" w:rsidRDefault="003132C0" w:rsidP="006278AA">
            <w:pPr>
              <w:tabs>
                <w:tab w:val="num" w:pos="0"/>
              </w:tabs>
              <w:spacing w:after="0" w:line="240" w:lineRule="auto"/>
              <w:jc w:val="center"/>
              <w:rPr>
                <w:rFonts w:ascii="StobiSerif Regular" w:eastAsia="Times New Roman" w:hAnsi="StobiSerif Regular"/>
                <w:b/>
                <w:bCs/>
                <w:sz w:val="16"/>
                <w:szCs w:val="16"/>
                <w:lang w:val="en-GB" w:eastAsia="zh-CN"/>
              </w:rPr>
            </w:pPr>
            <w:r w:rsidRPr="003132C0">
              <w:rPr>
                <w:rFonts w:ascii="StobiSerif Regular" w:eastAsia="Times New Roman" w:hAnsi="StobiSerif Regular"/>
                <w:b/>
                <w:bCs/>
                <w:sz w:val="16"/>
                <w:szCs w:val="16"/>
                <w:lang w:val="en-GB" w:eastAsia="zh-CN"/>
              </w:rPr>
              <w:t xml:space="preserve">% на платени </w:t>
            </w:r>
          </w:p>
        </w:tc>
      </w:tr>
      <w:tr w:rsidR="00576763" w:rsidRPr="00576763" w:rsidTr="00B76FCE">
        <w:tc>
          <w:tcPr>
            <w:tcW w:w="1418" w:type="dxa"/>
            <w:vAlign w:val="center"/>
          </w:tcPr>
          <w:p w:rsidR="00784CD1" w:rsidRPr="00576763" w:rsidRDefault="003132C0" w:rsidP="00784CD1">
            <w:pPr>
              <w:tabs>
                <w:tab w:val="num" w:pos="0"/>
              </w:tabs>
              <w:spacing w:after="0"/>
              <w:rPr>
                <w:rFonts w:ascii="StobiSerif Regular" w:eastAsia="Times New Roman" w:hAnsi="StobiSerif Regular"/>
                <w:b/>
                <w:bCs/>
                <w:sz w:val="16"/>
                <w:szCs w:val="16"/>
                <w:lang w:val="en-US" w:eastAsia="zh-CN"/>
              </w:rPr>
            </w:pPr>
            <w:r>
              <w:rPr>
                <w:rFonts w:ascii="StobiSerif Regular" w:hAnsi="StobiSerif Regular"/>
                <w:b/>
                <w:sz w:val="16"/>
                <w:szCs w:val="16"/>
              </w:rPr>
              <w:t>Оска 1</w:t>
            </w:r>
          </w:p>
        </w:tc>
        <w:tc>
          <w:tcPr>
            <w:tcW w:w="1276" w:type="dxa"/>
          </w:tcPr>
          <w:p w:rsidR="00784CD1" w:rsidRPr="00576763" w:rsidRDefault="00C779A0" w:rsidP="00373092">
            <w:pPr>
              <w:tabs>
                <w:tab w:val="num" w:pos="0"/>
              </w:tabs>
              <w:spacing w:after="0"/>
              <w:jc w:val="right"/>
              <w:rPr>
                <w:rFonts w:ascii="StobiSerif Regular" w:eastAsia="Times New Roman" w:hAnsi="StobiSerif Regular"/>
                <w:b/>
                <w:bCs/>
                <w:sz w:val="16"/>
                <w:szCs w:val="16"/>
                <w:lang w:val="en-US" w:eastAsia="zh-CN"/>
              </w:rPr>
            </w:pPr>
            <w:r w:rsidRPr="00C779A0">
              <w:rPr>
                <w:rFonts w:ascii="StobiSerif Regular" w:eastAsia="Times New Roman" w:hAnsi="StobiSerif Regular"/>
                <w:b/>
                <w:bCs/>
                <w:sz w:val="16"/>
                <w:szCs w:val="16"/>
                <w:lang w:val="en-US" w:eastAsia="zh-CN"/>
              </w:rPr>
              <w:t xml:space="preserve">33,565,310   </w:t>
            </w:r>
          </w:p>
        </w:tc>
        <w:tc>
          <w:tcPr>
            <w:tcW w:w="1418" w:type="dxa"/>
          </w:tcPr>
          <w:p w:rsidR="00784CD1" w:rsidRPr="00576763" w:rsidRDefault="00576763" w:rsidP="00373092">
            <w:pPr>
              <w:tabs>
                <w:tab w:val="num" w:pos="0"/>
              </w:tabs>
              <w:spacing w:after="0"/>
              <w:jc w:val="right"/>
              <w:rPr>
                <w:rFonts w:ascii="StobiSerif Regular" w:eastAsia="Times New Roman" w:hAnsi="StobiSerif Regular"/>
                <w:b/>
                <w:bCs/>
                <w:sz w:val="16"/>
                <w:szCs w:val="16"/>
                <w:lang w:eastAsia="zh-CN"/>
              </w:rPr>
            </w:pPr>
            <w:r w:rsidRPr="00576763">
              <w:rPr>
                <w:rFonts w:ascii="StobiSerif Regular" w:eastAsia="Times New Roman" w:hAnsi="StobiSerif Regular"/>
                <w:b/>
                <w:bCs/>
                <w:sz w:val="16"/>
                <w:szCs w:val="16"/>
                <w:lang w:eastAsia="zh-CN"/>
              </w:rPr>
              <w:t>14,713,041</w:t>
            </w:r>
          </w:p>
        </w:tc>
        <w:tc>
          <w:tcPr>
            <w:tcW w:w="1134" w:type="dxa"/>
          </w:tcPr>
          <w:p w:rsidR="00784CD1" w:rsidRPr="00576763" w:rsidRDefault="000962F1" w:rsidP="00862595">
            <w:pPr>
              <w:spacing w:after="0"/>
              <w:ind w:left="-108"/>
              <w:jc w:val="right"/>
              <w:rPr>
                <w:rFonts w:ascii="StobiSerif Regular" w:eastAsia="Times New Roman" w:hAnsi="StobiSerif Regular"/>
                <w:b/>
                <w:bCs/>
                <w:sz w:val="16"/>
                <w:szCs w:val="16"/>
                <w:lang w:eastAsia="zh-CN"/>
              </w:rPr>
            </w:pPr>
            <w:r w:rsidRPr="00576763">
              <w:rPr>
                <w:rFonts w:ascii="StobiSerif Regular" w:eastAsia="Times New Roman" w:hAnsi="StobiSerif Regular"/>
                <w:b/>
                <w:bCs/>
                <w:sz w:val="16"/>
                <w:szCs w:val="16"/>
                <w:lang w:eastAsia="zh-CN"/>
              </w:rPr>
              <w:t>17</w:t>
            </w:r>
            <w:r w:rsidR="00B76FCE" w:rsidRPr="00576763">
              <w:rPr>
                <w:rFonts w:ascii="StobiSerif Regular" w:eastAsia="Times New Roman" w:hAnsi="StobiSerif Regular"/>
                <w:b/>
                <w:bCs/>
                <w:sz w:val="16"/>
                <w:szCs w:val="16"/>
                <w:lang w:eastAsia="zh-CN"/>
              </w:rPr>
              <w:t>.</w:t>
            </w:r>
            <w:r w:rsidRPr="00576763">
              <w:rPr>
                <w:rFonts w:ascii="StobiSerif Regular" w:eastAsia="Times New Roman" w:hAnsi="StobiSerif Regular"/>
                <w:b/>
                <w:bCs/>
                <w:sz w:val="16"/>
                <w:szCs w:val="16"/>
                <w:lang w:eastAsia="zh-CN"/>
              </w:rPr>
              <w:t>170</w:t>
            </w:r>
            <w:r w:rsidR="00B76FCE" w:rsidRPr="00576763">
              <w:rPr>
                <w:rFonts w:ascii="StobiSerif Regular" w:eastAsia="Times New Roman" w:hAnsi="StobiSerif Regular"/>
                <w:b/>
                <w:bCs/>
                <w:sz w:val="16"/>
                <w:szCs w:val="16"/>
                <w:lang w:eastAsia="zh-CN"/>
              </w:rPr>
              <w:t>.</w:t>
            </w:r>
            <w:r w:rsidRPr="00576763">
              <w:rPr>
                <w:rFonts w:ascii="StobiSerif Regular" w:eastAsia="Times New Roman" w:hAnsi="StobiSerif Regular"/>
                <w:b/>
                <w:bCs/>
                <w:sz w:val="16"/>
                <w:szCs w:val="16"/>
                <w:lang w:eastAsia="zh-CN"/>
              </w:rPr>
              <w:t>29</w:t>
            </w:r>
            <w:r w:rsidR="00862595">
              <w:rPr>
                <w:rFonts w:ascii="StobiSerif Regular" w:eastAsia="Times New Roman" w:hAnsi="StobiSerif Regular"/>
                <w:b/>
                <w:bCs/>
                <w:sz w:val="16"/>
                <w:szCs w:val="16"/>
                <w:lang w:val="en-US" w:eastAsia="zh-CN"/>
              </w:rPr>
              <w:t>7</w:t>
            </w:r>
            <w:r w:rsidRPr="00576763">
              <w:rPr>
                <w:rFonts w:ascii="StobiSerif Regular" w:eastAsia="Times New Roman" w:hAnsi="StobiSerif Regular"/>
                <w:b/>
                <w:bCs/>
                <w:sz w:val="16"/>
                <w:szCs w:val="16"/>
                <w:lang w:eastAsia="zh-CN"/>
              </w:rPr>
              <w:t xml:space="preserve"> </w:t>
            </w:r>
          </w:p>
        </w:tc>
        <w:tc>
          <w:tcPr>
            <w:tcW w:w="1134" w:type="dxa"/>
          </w:tcPr>
          <w:p w:rsidR="00784CD1" w:rsidRPr="00576763" w:rsidRDefault="00676E1E" w:rsidP="00373092">
            <w:pPr>
              <w:tabs>
                <w:tab w:val="num" w:pos="0"/>
              </w:tabs>
              <w:spacing w:after="0" w:line="240" w:lineRule="auto"/>
              <w:jc w:val="right"/>
              <w:rPr>
                <w:rFonts w:ascii="StobiSerif Regular" w:eastAsia="Times New Roman" w:hAnsi="StobiSerif Regular"/>
                <w:b/>
                <w:bCs/>
                <w:sz w:val="16"/>
                <w:szCs w:val="16"/>
                <w:lang w:val="en-US" w:eastAsia="zh-CN"/>
              </w:rPr>
            </w:pPr>
            <w:r w:rsidRPr="00576763">
              <w:rPr>
                <w:rFonts w:ascii="StobiSerif Regular" w:eastAsia="Times New Roman" w:hAnsi="StobiSerif Regular"/>
                <w:b/>
                <w:bCs/>
                <w:sz w:val="16"/>
                <w:szCs w:val="16"/>
                <w:lang w:val="en-US" w:eastAsia="zh-CN"/>
              </w:rPr>
              <w:t>3.253.880</w:t>
            </w:r>
          </w:p>
        </w:tc>
        <w:tc>
          <w:tcPr>
            <w:tcW w:w="992" w:type="dxa"/>
          </w:tcPr>
          <w:p w:rsidR="00784CD1" w:rsidRPr="00576763" w:rsidRDefault="00676E1E" w:rsidP="00373092">
            <w:pPr>
              <w:tabs>
                <w:tab w:val="num" w:pos="0"/>
              </w:tabs>
              <w:spacing w:after="0"/>
              <w:jc w:val="right"/>
              <w:rPr>
                <w:rFonts w:ascii="StobiSerif Regular" w:eastAsia="Times New Roman" w:hAnsi="StobiSerif Regular"/>
                <w:b/>
                <w:bCs/>
                <w:sz w:val="16"/>
                <w:szCs w:val="16"/>
                <w:lang w:val="en-US" w:eastAsia="zh-CN"/>
              </w:rPr>
            </w:pPr>
            <w:r w:rsidRPr="00576763">
              <w:rPr>
                <w:rFonts w:ascii="StobiSerif Regular" w:eastAsia="Times New Roman" w:hAnsi="StobiSerif Regular"/>
                <w:b/>
                <w:bCs/>
                <w:sz w:val="16"/>
                <w:szCs w:val="16"/>
                <w:lang w:val="en-US" w:eastAsia="zh-CN"/>
              </w:rPr>
              <w:t>7.682.223</w:t>
            </w:r>
          </w:p>
        </w:tc>
        <w:tc>
          <w:tcPr>
            <w:tcW w:w="1134" w:type="dxa"/>
          </w:tcPr>
          <w:p w:rsidR="00784CD1" w:rsidRPr="0099026D" w:rsidRDefault="00904BAB" w:rsidP="00373092">
            <w:pPr>
              <w:tabs>
                <w:tab w:val="num" w:pos="0"/>
              </w:tabs>
              <w:spacing w:after="0"/>
              <w:jc w:val="right"/>
              <w:rPr>
                <w:rFonts w:ascii="StobiSerif Regular" w:eastAsia="Times New Roman" w:hAnsi="StobiSerif Regular"/>
                <w:b/>
                <w:bCs/>
                <w:sz w:val="16"/>
                <w:szCs w:val="16"/>
                <w:lang w:val="en-US" w:eastAsia="zh-CN"/>
              </w:rPr>
            </w:pPr>
            <w:r w:rsidRPr="0099026D">
              <w:rPr>
                <w:rFonts w:ascii="StobiSerif Regular" w:eastAsia="Times New Roman" w:hAnsi="StobiSerif Regular"/>
                <w:b/>
                <w:bCs/>
                <w:sz w:val="16"/>
                <w:szCs w:val="16"/>
                <w:lang w:val="en-US" w:eastAsia="zh-CN"/>
              </w:rPr>
              <w:t>116.7</w:t>
            </w:r>
          </w:p>
        </w:tc>
        <w:tc>
          <w:tcPr>
            <w:tcW w:w="992" w:type="dxa"/>
          </w:tcPr>
          <w:p w:rsidR="00784CD1" w:rsidRPr="00904BAB" w:rsidRDefault="00904BAB" w:rsidP="00373092">
            <w:pPr>
              <w:tabs>
                <w:tab w:val="num" w:pos="0"/>
              </w:tabs>
              <w:spacing w:after="0"/>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52.2</w:t>
            </w:r>
          </w:p>
        </w:tc>
      </w:tr>
      <w:tr w:rsidR="00576763" w:rsidRPr="00576763" w:rsidTr="00B76FCE">
        <w:tc>
          <w:tcPr>
            <w:tcW w:w="1418" w:type="dxa"/>
            <w:vAlign w:val="center"/>
          </w:tcPr>
          <w:p w:rsidR="00784CD1" w:rsidRPr="00576763" w:rsidRDefault="003132C0" w:rsidP="00784CD1">
            <w:pPr>
              <w:tabs>
                <w:tab w:val="num" w:pos="176"/>
              </w:tabs>
              <w:spacing w:after="0"/>
              <w:ind w:left="176"/>
              <w:rPr>
                <w:rFonts w:ascii="StobiSerif Regular" w:hAnsi="StobiSerif Regular"/>
                <w:sz w:val="16"/>
                <w:szCs w:val="16"/>
                <w:lang w:val="en-US"/>
              </w:rPr>
            </w:pPr>
            <w:r>
              <w:rPr>
                <w:rFonts w:ascii="StobiSerif Regular" w:hAnsi="StobiSerif Regular"/>
                <w:sz w:val="16"/>
                <w:szCs w:val="16"/>
              </w:rPr>
              <w:t>М</w:t>
            </w:r>
            <w:r w:rsidR="00784CD1" w:rsidRPr="00576763">
              <w:rPr>
                <w:rFonts w:ascii="StobiSerif Regular" w:hAnsi="StobiSerif Regular"/>
                <w:sz w:val="16"/>
                <w:szCs w:val="16"/>
                <w:lang w:val="en-US"/>
              </w:rPr>
              <w:t xml:space="preserve"> 101</w:t>
            </w:r>
          </w:p>
        </w:tc>
        <w:tc>
          <w:tcPr>
            <w:tcW w:w="1276" w:type="dxa"/>
          </w:tcPr>
          <w:p w:rsidR="00784CD1" w:rsidRPr="00576763" w:rsidRDefault="00C779A0" w:rsidP="00373092">
            <w:pPr>
              <w:tabs>
                <w:tab w:val="num" w:pos="0"/>
              </w:tabs>
              <w:spacing w:after="0"/>
              <w:jc w:val="right"/>
              <w:rPr>
                <w:rFonts w:ascii="StobiSerif Regular" w:eastAsia="Times New Roman" w:hAnsi="StobiSerif Regular"/>
                <w:bCs/>
                <w:sz w:val="16"/>
                <w:szCs w:val="16"/>
                <w:lang w:val="en-US" w:eastAsia="zh-CN"/>
              </w:rPr>
            </w:pPr>
            <w:r w:rsidRPr="00C779A0">
              <w:rPr>
                <w:rFonts w:ascii="StobiSerif Regular" w:eastAsia="Times New Roman" w:hAnsi="StobiSerif Regular"/>
                <w:bCs/>
                <w:sz w:val="16"/>
                <w:szCs w:val="16"/>
                <w:lang w:val="en-US" w:eastAsia="zh-CN"/>
              </w:rPr>
              <w:t xml:space="preserve">16,373,266   </w:t>
            </w:r>
          </w:p>
        </w:tc>
        <w:tc>
          <w:tcPr>
            <w:tcW w:w="1418" w:type="dxa"/>
          </w:tcPr>
          <w:p w:rsidR="00784CD1" w:rsidRPr="00576763" w:rsidRDefault="00576763" w:rsidP="00373092">
            <w:pPr>
              <w:spacing w:after="0"/>
              <w:jc w:val="right"/>
              <w:rPr>
                <w:rFonts w:ascii="StobiSerif Regular" w:hAnsi="StobiSerif Regular" w:cs="Arial"/>
                <w:sz w:val="16"/>
                <w:szCs w:val="16"/>
              </w:rPr>
            </w:pPr>
            <w:r w:rsidRPr="00576763">
              <w:rPr>
                <w:rFonts w:ascii="StobiSerif Regular" w:hAnsi="StobiSerif Regular" w:cs="Arial"/>
                <w:sz w:val="16"/>
                <w:szCs w:val="16"/>
              </w:rPr>
              <w:t xml:space="preserve">8,266,025   </w:t>
            </w:r>
          </w:p>
        </w:tc>
        <w:tc>
          <w:tcPr>
            <w:tcW w:w="1134" w:type="dxa"/>
          </w:tcPr>
          <w:p w:rsidR="00784CD1" w:rsidRPr="004C790E" w:rsidRDefault="000962F1" w:rsidP="004C790E">
            <w:pPr>
              <w:spacing w:after="0" w:line="240" w:lineRule="auto"/>
              <w:jc w:val="right"/>
              <w:rPr>
                <w:rFonts w:ascii="StobiSerif Regular" w:hAnsi="StobiSerif Regular" w:cs="Arial"/>
                <w:sz w:val="16"/>
                <w:szCs w:val="16"/>
                <w:lang w:val="en-US"/>
              </w:rPr>
            </w:pPr>
            <w:r w:rsidRPr="00576763">
              <w:rPr>
                <w:rFonts w:ascii="StobiSerif Regular" w:hAnsi="StobiSerif Regular" w:cs="Arial"/>
                <w:sz w:val="16"/>
                <w:szCs w:val="16"/>
              </w:rPr>
              <w:t>9</w:t>
            </w:r>
            <w:r w:rsidR="00B76FCE" w:rsidRPr="00576763">
              <w:rPr>
                <w:rFonts w:ascii="StobiSerif Regular" w:hAnsi="StobiSerif Regular" w:cs="Arial"/>
                <w:sz w:val="16"/>
                <w:szCs w:val="16"/>
              </w:rPr>
              <w:t>.</w:t>
            </w:r>
            <w:r w:rsidRPr="00576763">
              <w:rPr>
                <w:rFonts w:ascii="StobiSerif Regular" w:hAnsi="StobiSerif Regular" w:cs="Arial"/>
                <w:sz w:val="16"/>
                <w:szCs w:val="16"/>
              </w:rPr>
              <w:t>669</w:t>
            </w:r>
            <w:r w:rsidR="00B76FCE" w:rsidRPr="00576763">
              <w:rPr>
                <w:rFonts w:ascii="StobiSerif Regular" w:hAnsi="StobiSerif Regular" w:cs="Arial"/>
                <w:sz w:val="16"/>
                <w:szCs w:val="16"/>
              </w:rPr>
              <w:t>.</w:t>
            </w:r>
            <w:r w:rsidRPr="00576763">
              <w:rPr>
                <w:rFonts w:ascii="StobiSerif Regular" w:hAnsi="StobiSerif Regular" w:cs="Arial"/>
                <w:sz w:val="16"/>
                <w:szCs w:val="16"/>
              </w:rPr>
              <w:t>69</w:t>
            </w:r>
            <w:r w:rsidR="004C790E">
              <w:rPr>
                <w:rFonts w:ascii="StobiSerif Regular" w:hAnsi="StobiSerif Regular" w:cs="Arial"/>
                <w:sz w:val="16"/>
                <w:szCs w:val="16"/>
                <w:lang w:val="en-US"/>
              </w:rPr>
              <w:t>7</w:t>
            </w:r>
          </w:p>
        </w:tc>
        <w:tc>
          <w:tcPr>
            <w:tcW w:w="1134" w:type="dxa"/>
          </w:tcPr>
          <w:p w:rsidR="00784CD1" w:rsidRPr="00576763" w:rsidRDefault="00373092" w:rsidP="00373092">
            <w:pPr>
              <w:spacing w:after="0" w:line="240" w:lineRule="auto"/>
              <w:jc w:val="right"/>
              <w:rPr>
                <w:rFonts w:ascii="StobiSerif Regular" w:hAnsi="StobiSerif Regular" w:cs="Arial"/>
                <w:sz w:val="16"/>
                <w:szCs w:val="16"/>
              </w:rPr>
            </w:pPr>
            <w:r w:rsidRPr="00576763">
              <w:rPr>
                <w:rFonts w:ascii="StobiSerif Regular" w:hAnsi="StobiSerif Regular" w:cs="Arial"/>
                <w:sz w:val="16"/>
                <w:szCs w:val="16"/>
              </w:rPr>
              <w:t>1</w:t>
            </w:r>
            <w:r w:rsidR="00B76FCE" w:rsidRPr="00576763">
              <w:rPr>
                <w:rFonts w:ascii="StobiSerif Regular" w:hAnsi="StobiSerif Regular" w:cs="Arial"/>
                <w:sz w:val="16"/>
                <w:szCs w:val="16"/>
              </w:rPr>
              <w:t>.</w:t>
            </w:r>
            <w:r w:rsidRPr="00576763">
              <w:rPr>
                <w:rFonts w:ascii="StobiSerif Regular" w:hAnsi="StobiSerif Regular" w:cs="Arial"/>
                <w:sz w:val="16"/>
                <w:szCs w:val="16"/>
              </w:rPr>
              <w:t>625</w:t>
            </w:r>
            <w:r w:rsidR="00B76FCE" w:rsidRPr="00576763">
              <w:rPr>
                <w:rFonts w:ascii="StobiSerif Regular" w:hAnsi="StobiSerif Regular" w:cs="Arial"/>
                <w:sz w:val="16"/>
                <w:szCs w:val="16"/>
              </w:rPr>
              <w:t>.</w:t>
            </w:r>
            <w:r w:rsidRPr="00576763">
              <w:rPr>
                <w:rFonts w:ascii="StobiSerif Regular" w:hAnsi="StobiSerif Regular" w:cs="Arial"/>
                <w:sz w:val="16"/>
                <w:szCs w:val="16"/>
              </w:rPr>
              <w:t>301</w:t>
            </w:r>
          </w:p>
        </w:tc>
        <w:tc>
          <w:tcPr>
            <w:tcW w:w="992" w:type="dxa"/>
          </w:tcPr>
          <w:p w:rsidR="00784CD1" w:rsidRPr="00576763" w:rsidRDefault="00373092" w:rsidP="00373092">
            <w:pPr>
              <w:spacing w:after="0" w:line="240" w:lineRule="auto"/>
              <w:jc w:val="right"/>
              <w:rPr>
                <w:rFonts w:ascii="StobiSerif Regular" w:hAnsi="StobiSerif Regular" w:cs="Arial"/>
                <w:sz w:val="16"/>
                <w:szCs w:val="16"/>
              </w:rPr>
            </w:pPr>
            <w:r w:rsidRPr="00576763">
              <w:rPr>
                <w:rFonts w:ascii="StobiSerif Regular" w:hAnsi="StobiSerif Regular" w:cs="Arial"/>
                <w:sz w:val="16"/>
                <w:szCs w:val="16"/>
              </w:rPr>
              <w:t>4.437.518</w:t>
            </w:r>
          </w:p>
        </w:tc>
        <w:tc>
          <w:tcPr>
            <w:tcW w:w="1134" w:type="dxa"/>
          </w:tcPr>
          <w:p w:rsidR="00784CD1" w:rsidRPr="0099026D" w:rsidRDefault="004D1248" w:rsidP="00373092">
            <w:pPr>
              <w:tabs>
                <w:tab w:val="num" w:pos="0"/>
              </w:tabs>
              <w:spacing w:after="0"/>
              <w:jc w:val="right"/>
              <w:rPr>
                <w:rFonts w:ascii="StobiSerif Regular" w:eastAsia="Times New Roman" w:hAnsi="StobiSerif Regular"/>
                <w:bCs/>
                <w:sz w:val="16"/>
                <w:szCs w:val="16"/>
                <w:lang w:val="en-US" w:eastAsia="zh-CN"/>
              </w:rPr>
            </w:pPr>
            <w:r w:rsidRPr="0099026D">
              <w:rPr>
                <w:rFonts w:ascii="StobiSerif Regular" w:eastAsia="Times New Roman" w:hAnsi="StobiSerif Regular"/>
                <w:bCs/>
                <w:sz w:val="16"/>
                <w:szCs w:val="16"/>
                <w:lang w:val="en-US" w:eastAsia="zh-CN"/>
              </w:rPr>
              <w:t>116.9</w:t>
            </w:r>
          </w:p>
        </w:tc>
        <w:tc>
          <w:tcPr>
            <w:tcW w:w="992" w:type="dxa"/>
          </w:tcPr>
          <w:p w:rsidR="00784CD1" w:rsidRPr="004D1248" w:rsidRDefault="004D1248" w:rsidP="00373092">
            <w:pPr>
              <w:tabs>
                <w:tab w:val="num" w:pos="0"/>
              </w:tabs>
              <w:spacing w:after="0"/>
              <w:jc w:val="right"/>
              <w:rPr>
                <w:rFonts w:ascii="StobiSerif Regular" w:eastAsia="Times New Roman" w:hAnsi="StobiSerif Regular"/>
                <w:bCs/>
                <w:sz w:val="16"/>
                <w:szCs w:val="16"/>
                <w:lang w:val="en-US" w:eastAsia="zh-CN"/>
              </w:rPr>
            </w:pPr>
            <w:r>
              <w:rPr>
                <w:rFonts w:ascii="StobiSerif Regular" w:eastAsia="Times New Roman" w:hAnsi="StobiSerif Regular"/>
                <w:bCs/>
                <w:sz w:val="16"/>
                <w:szCs w:val="16"/>
                <w:lang w:val="en-US" w:eastAsia="zh-CN"/>
              </w:rPr>
              <w:t>53.6</w:t>
            </w:r>
          </w:p>
        </w:tc>
      </w:tr>
      <w:tr w:rsidR="00576763" w:rsidRPr="00576763" w:rsidTr="00B76FCE">
        <w:tc>
          <w:tcPr>
            <w:tcW w:w="1418" w:type="dxa"/>
            <w:vAlign w:val="center"/>
          </w:tcPr>
          <w:p w:rsidR="006D5504" w:rsidRPr="003132C0" w:rsidRDefault="003132C0" w:rsidP="007D3C36">
            <w:pPr>
              <w:spacing w:after="0"/>
              <w:ind w:right="-108"/>
              <w:rPr>
                <w:rFonts w:ascii="StobiSerif Regular" w:hAnsi="StobiSerif Regular"/>
                <w:sz w:val="16"/>
                <w:szCs w:val="16"/>
              </w:rPr>
            </w:pPr>
            <w:r>
              <w:rPr>
                <w:rFonts w:ascii="StobiSerif Regular" w:hAnsi="StobiSerif Regular"/>
                <w:sz w:val="16"/>
                <w:szCs w:val="16"/>
              </w:rPr>
              <w:t xml:space="preserve">Поплавени </w:t>
            </w:r>
            <w:r w:rsidR="006767D6">
              <w:rPr>
                <w:rFonts w:ascii="StobiSerif Regular" w:hAnsi="StobiSerif Regular"/>
                <w:sz w:val="16"/>
                <w:szCs w:val="16"/>
              </w:rPr>
              <w:t>подрачја</w:t>
            </w:r>
          </w:p>
        </w:tc>
        <w:tc>
          <w:tcPr>
            <w:tcW w:w="1276" w:type="dxa"/>
          </w:tcPr>
          <w:p w:rsidR="006D5504" w:rsidRPr="00576763" w:rsidRDefault="00C779A0" w:rsidP="00373092">
            <w:pPr>
              <w:tabs>
                <w:tab w:val="num" w:pos="0"/>
              </w:tabs>
              <w:spacing w:after="0"/>
              <w:jc w:val="right"/>
              <w:rPr>
                <w:rFonts w:ascii="StobiSerif Regular" w:eastAsia="Times New Roman" w:hAnsi="StobiSerif Regular"/>
                <w:bCs/>
                <w:sz w:val="16"/>
                <w:szCs w:val="16"/>
                <w:lang w:val="en-US" w:eastAsia="zh-CN"/>
              </w:rPr>
            </w:pPr>
            <w:r w:rsidRPr="00C779A0">
              <w:rPr>
                <w:rFonts w:ascii="StobiSerif Regular" w:eastAsia="Times New Roman" w:hAnsi="StobiSerif Regular"/>
                <w:bCs/>
                <w:sz w:val="16"/>
                <w:szCs w:val="16"/>
                <w:lang w:val="en-US" w:eastAsia="zh-CN"/>
              </w:rPr>
              <w:t xml:space="preserve">8,099,240   </w:t>
            </w:r>
          </w:p>
        </w:tc>
        <w:tc>
          <w:tcPr>
            <w:tcW w:w="1418" w:type="dxa"/>
          </w:tcPr>
          <w:p w:rsidR="006D5504" w:rsidRPr="00576763" w:rsidRDefault="00576763" w:rsidP="00373092">
            <w:pPr>
              <w:spacing w:after="0"/>
              <w:jc w:val="right"/>
              <w:rPr>
                <w:rFonts w:ascii="StobiSerif Regular" w:hAnsi="StobiSerif Regular" w:cs="Arial"/>
                <w:sz w:val="16"/>
                <w:szCs w:val="16"/>
              </w:rPr>
            </w:pPr>
            <w:r w:rsidRPr="00576763">
              <w:rPr>
                <w:rFonts w:ascii="StobiSerif Regular" w:hAnsi="StobiSerif Regular" w:cs="Arial"/>
                <w:sz w:val="16"/>
                <w:szCs w:val="16"/>
              </w:rPr>
              <w:t>5,163,266</w:t>
            </w:r>
          </w:p>
        </w:tc>
        <w:tc>
          <w:tcPr>
            <w:tcW w:w="1134" w:type="dxa"/>
          </w:tcPr>
          <w:p w:rsidR="006D5504" w:rsidRPr="00576763" w:rsidRDefault="00A714CF" w:rsidP="00373092">
            <w:pPr>
              <w:spacing w:after="0" w:line="240" w:lineRule="auto"/>
              <w:jc w:val="right"/>
              <w:rPr>
                <w:rFonts w:ascii="StobiSerif Regular" w:hAnsi="StobiSerif Regular" w:cs="Arial"/>
                <w:sz w:val="16"/>
                <w:szCs w:val="16"/>
              </w:rPr>
            </w:pPr>
            <w:r w:rsidRPr="00576763">
              <w:rPr>
                <w:rFonts w:ascii="StobiSerif Regular" w:hAnsi="StobiSerif Regular" w:cs="Arial"/>
                <w:sz w:val="16"/>
                <w:szCs w:val="16"/>
              </w:rPr>
              <w:t>2</w:t>
            </w:r>
            <w:r w:rsidR="00B76FCE" w:rsidRPr="00576763">
              <w:rPr>
                <w:rFonts w:ascii="StobiSerif Regular" w:hAnsi="StobiSerif Regular" w:cs="Arial"/>
                <w:sz w:val="16"/>
                <w:szCs w:val="16"/>
              </w:rPr>
              <w:t>.</w:t>
            </w:r>
            <w:r w:rsidRPr="00576763">
              <w:rPr>
                <w:rFonts w:ascii="StobiSerif Regular" w:hAnsi="StobiSerif Regular" w:cs="Arial"/>
                <w:sz w:val="16"/>
                <w:szCs w:val="16"/>
              </w:rPr>
              <w:t>110</w:t>
            </w:r>
            <w:r w:rsidR="00B76FCE" w:rsidRPr="00576763">
              <w:rPr>
                <w:rFonts w:ascii="StobiSerif Regular" w:hAnsi="StobiSerif Regular" w:cs="Arial"/>
                <w:sz w:val="16"/>
                <w:szCs w:val="16"/>
              </w:rPr>
              <w:t>.</w:t>
            </w:r>
            <w:r w:rsidRPr="00576763">
              <w:rPr>
                <w:rFonts w:ascii="StobiSerif Regular" w:hAnsi="StobiSerif Regular" w:cs="Arial"/>
                <w:sz w:val="16"/>
                <w:szCs w:val="16"/>
              </w:rPr>
              <w:t>730</w:t>
            </w:r>
          </w:p>
        </w:tc>
        <w:tc>
          <w:tcPr>
            <w:tcW w:w="1134" w:type="dxa"/>
          </w:tcPr>
          <w:p w:rsidR="006D5504" w:rsidRPr="00576763" w:rsidRDefault="00A714CF" w:rsidP="00373092">
            <w:pPr>
              <w:spacing w:after="0" w:line="240" w:lineRule="auto"/>
              <w:jc w:val="right"/>
              <w:rPr>
                <w:rFonts w:ascii="StobiSerif Regular" w:hAnsi="StobiSerif Regular" w:cs="Arial"/>
                <w:sz w:val="16"/>
                <w:szCs w:val="16"/>
                <w:lang w:val="en-US"/>
              </w:rPr>
            </w:pPr>
            <w:r w:rsidRPr="00576763">
              <w:rPr>
                <w:rFonts w:ascii="StobiSerif Regular" w:hAnsi="StobiSerif Regular" w:cs="Arial"/>
                <w:sz w:val="16"/>
                <w:szCs w:val="16"/>
                <w:lang w:val="en-US"/>
              </w:rPr>
              <w:t>0</w:t>
            </w:r>
          </w:p>
        </w:tc>
        <w:tc>
          <w:tcPr>
            <w:tcW w:w="992" w:type="dxa"/>
          </w:tcPr>
          <w:p w:rsidR="006D5504" w:rsidRPr="00576763" w:rsidRDefault="00A714CF" w:rsidP="00373092">
            <w:pPr>
              <w:spacing w:after="0" w:line="240" w:lineRule="auto"/>
              <w:jc w:val="right"/>
              <w:rPr>
                <w:rFonts w:ascii="StobiSerif Regular" w:hAnsi="StobiSerif Regular" w:cs="Arial"/>
                <w:sz w:val="16"/>
                <w:szCs w:val="16"/>
              </w:rPr>
            </w:pPr>
            <w:r w:rsidRPr="00576763">
              <w:rPr>
                <w:rFonts w:ascii="StobiSerif Regular" w:hAnsi="StobiSerif Regular" w:cs="Arial"/>
                <w:sz w:val="16"/>
                <w:szCs w:val="16"/>
              </w:rPr>
              <w:t>547</w:t>
            </w:r>
            <w:r w:rsidR="00373092" w:rsidRPr="00576763">
              <w:rPr>
                <w:rFonts w:ascii="StobiSerif Regular" w:hAnsi="StobiSerif Regular" w:cs="Arial"/>
                <w:sz w:val="16"/>
                <w:szCs w:val="16"/>
                <w:lang w:val="en-US"/>
              </w:rPr>
              <w:t>.</w:t>
            </w:r>
            <w:r w:rsidRPr="00576763">
              <w:rPr>
                <w:rFonts w:ascii="StobiSerif Regular" w:hAnsi="StobiSerif Regular" w:cs="Arial"/>
                <w:sz w:val="16"/>
                <w:szCs w:val="16"/>
              </w:rPr>
              <w:t>604</w:t>
            </w:r>
          </w:p>
        </w:tc>
        <w:tc>
          <w:tcPr>
            <w:tcW w:w="1134" w:type="dxa"/>
          </w:tcPr>
          <w:p w:rsidR="006D5504" w:rsidRPr="0099026D" w:rsidRDefault="004D1248" w:rsidP="00373092">
            <w:pPr>
              <w:tabs>
                <w:tab w:val="num" w:pos="0"/>
              </w:tabs>
              <w:spacing w:after="0"/>
              <w:jc w:val="right"/>
              <w:rPr>
                <w:rFonts w:ascii="StobiSerif Regular" w:eastAsia="Times New Roman" w:hAnsi="StobiSerif Regular"/>
                <w:bCs/>
                <w:sz w:val="16"/>
                <w:szCs w:val="16"/>
                <w:lang w:val="en-US" w:eastAsia="zh-CN"/>
              </w:rPr>
            </w:pPr>
            <w:r w:rsidRPr="0099026D">
              <w:rPr>
                <w:rFonts w:ascii="StobiSerif Regular" w:eastAsia="Times New Roman" w:hAnsi="StobiSerif Regular"/>
                <w:bCs/>
                <w:sz w:val="16"/>
                <w:szCs w:val="16"/>
                <w:lang w:val="en-US" w:eastAsia="zh-CN"/>
              </w:rPr>
              <w:t>40.8</w:t>
            </w:r>
          </w:p>
        </w:tc>
        <w:tc>
          <w:tcPr>
            <w:tcW w:w="992" w:type="dxa"/>
          </w:tcPr>
          <w:p w:rsidR="006D5504" w:rsidRPr="004D1248" w:rsidRDefault="004D1248" w:rsidP="00373092">
            <w:pPr>
              <w:tabs>
                <w:tab w:val="num" w:pos="0"/>
              </w:tabs>
              <w:spacing w:after="0"/>
              <w:jc w:val="right"/>
              <w:rPr>
                <w:rFonts w:ascii="StobiSerif Regular" w:eastAsia="Times New Roman" w:hAnsi="StobiSerif Regular"/>
                <w:bCs/>
                <w:sz w:val="16"/>
                <w:szCs w:val="16"/>
                <w:lang w:val="en-US" w:eastAsia="zh-CN"/>
              </w:rPr>
            </w:pPr>
            <w:r>
              <w:rPr>
                <w:rFonts w:ascii="StobiSerif Regular" w:eastAsia="Times New Roman" w:hAnsi="StobiSerif Regular"/>
                <w:bCs/>
                <w:sz w:val="16"/>
                <w:szCs w:val="16"/>
                <w:lang w:val="en-US" w:eastAsia="zh-CN"/>
              </w:rPr>
              <w:t>10.6</w:t>
            </w:r>
          </w:p>
        </w:tc>
      </w:tr>
      <w:tr w:rsidR="00576763" w:rsidRPr="00576763" w:rsidTr="00B76FCE">
        <w:tc>
          <w:tcPr>
            <w:tcW w:w="1418" w:type="dxa"/>
            <w:vAlign w:val="center"/>
          </w:tcPr>
          <w:p w:rsidR="006D5504" w:rsidRPr="006767D6" w:rsidRDefault="006D5504" w:rsidP="006767D6">
            <w:pPr>
              <w:tabs>
                <w:tab w:val="num" w:pos="-108"/>
              </w:tabs>
              <w:spacing w:after="0"/>
              <w:ind w:left="-108" w:right="-108"/>
              <w:rPr>
                <w:rFonts w:ascii="StobiSerif Regular" w:hAnsi="StobiSerif Regular"/>
                <w:sz w:val="16"/>
                <w:szCs w:val="16"/>
              </w:rPr>
            </w:pPr>
            <w:r w:rsidRPr="00576763">
              <w:rPr>
                <w:rFonts w:ascii="StobiSerif Regular" w:hAnsi="StobiSerif Regular"/>
                <w:sz w:val="16"/>
                <w:szCs w:val="16"/>
                <w:lang w:val="en-US"/>
              </w:rPr>
              <w:t xml:space="preserve"> </w:t>
            </w:r>
            <w:r w:rsidR="006767D6">
              <w:rPr>
                <w:rFonts w:ascii="StobiSerif Regular" w:hAnsi="StobiSerif Regular"/>
                <w:sz w:val="16"/>
                <w:szCs w:val="16"/>
              </w:rPr>
              <w:t>Не поплавени подрачја</w:t>
            </w:r>
          </w:p>
        </w:tc>
        <w:tc>
          <w:tcPr>
            <w:tcW w:w="1276" w:type="dxa"/>
          </w:tcPr>
          <w:p w:rsidR="006D5504" w:rsidRPr="00576763" w:rsidRDefault="00C779A0" w:rsidP="00373092">
            <w:pPr>
              <w:tabs>
                <w:tab w:val="num" w:pos="0"/>
              </w:tabs>
              <w:spacing w:after="0"/>
              <w:jc w:val="right"/>
              <w:rPr>
                <w:rFonts w:ascii="StobiSerif Regular" w:eastAsia="Times New Roman" w:hAnsi="StobiSerif Regular"/>
                <w:bCs/>
                <w:sz w:val="16"/>
                <w:szCs w:val="16"/>
                <w:lang w:val="en-US" w:eastAsia="zh-CN"/>
              </w:rPr>
            </w:pPr>
            <w:r w:rsidRPr="00C779A0">
              <w:rPr>
                <w:rFonts w:ascii="StobiSerif Regular" w:eastAsia="Times New Roman" w:hAnsi="StobiSerif Regular"/>
                <w:bCs/>
                <w:sz w:val="16"/>
                <w:szCs w:val="16"/>
                <w:lang w:val="en-US" w:eastAsia="zh-CN"/>
              </w:rPr>
              <w:t xml:space="preserve">8,274,026   </w:t>
            </w:r>
          </w:p>
        </w:tc>
        <w:tc>
          <w:tcPr>
            <w:tcW w:w="1418" w:type="dxa"/>
          </w:tcPr>
          <w:p w:rsidR="006D5504" w:rsidRPr="00576763" w:rsidRDefault="00576763" w:rsidP="00373092">
            <w:pPr>
              <w:spacing w:after="0"/>
              <w:jc w:val="right"/>
              <w:rPr>
                <w:rFonts w:ascii="StobiSerif Regular" w:hAnsi="StobiSerif Regular" w:cs="Arial"/>
                <w:sz w:val="16"/>
                <w:szCs w:val="16"/>
              </w:rPr>
            </w:pPr>
            <w:r w:rsidRPr="00576763">
              <w:rPr>
                <w:rFonts w:ascii="StobiSerif Regular" w:hAnsi="StobiSerif Regular" w:cs="Arial"/>
                <w:sz w:val="16"/>
                <w:szCs w:val="16"/>
              </w:rPr>
              <w:t>3,102,759</w:t>
            </w:r>
          </w:p>
        </w:tc>
        <w:tc>
          <w:tcPr>
            <w:tcW w:w="1134" w:type="dxa"/>
          </w:tcPr>
          <w:p w:rsidR="006D5504" w:rsidRPr="00576763" w:rsidRDefault="00DA0D5D" w:rsidP="004C790E">
            <w:pPr>
              <w:spacing w:after="0" w:line="240" w:lineRule="auto"/>
              <w:jc w:val="right"/>
              <w:rPr>
                <w:rFonts w:ascii="StobiSerif Regular" w:hAnsi="StobiSerif Regular" w:cs="Arial"/>
                <w:sz w:val="16"/>
                <w:szCs w:val="16"/>
                <w:lang w:val="en-US"/>
              </w:rPr>
            </w:pPr>
            <w:r w:rsidRPr="00576763">
              <w:rPr>
                <w:rFonts w:ascii="StobiSerif Regular" w:hAnsi="StobiSerif Regular" w:cs="Arial"/>
                <w:sz w:val="16"/>
                <w:szCs w:val="16"/>
                <w:lang w:val="en-US"/>
              </w:rPr>
              <w:t>7.558.96</w:t>
            </w:r>
            <w:r w:rsidR="004C790E">
              <w:rPr>
                <w:rFonts w:ascii="StobiSerif Regular" w:hAnsi="StobiSerif Regular" w:cs="Arial"/>
                <w:sz w:val="16"/>
                <w:szCs w:val="16"/>
                <w:lang w:val="en-US"/>
              </w:rPr>
              <w:t>7</w:t>
            </w:r>
          </w:p>
        </w:tc>
        <w:tc>
          <w:tcPr>
            <w:tcW w:w="1134" w:type="dxa"/>
          </w:tcPr>
          <w:p w:rsidR="006D5504" w:rsidRPr="00576763" w:rsidRDefault="00373092" w:rsidP="00373092">
            <w:pPr>
              <w:spacing w:after="0" w:line="240" w:lineRule="auto"/>
              <w:jc w:val="right"/>
              <w:rPr>
                <w:rFonts w:ascii="StobiSerif Regular" w:hAnsi="StobiSerif Regular" w:cs="Arial"/>
                <w:sz w:val="16"/>
                <w:szCs w:val="16"/>
              </w:rPr>
            </w:pPr>
            <w:r w:rsidRPr="00576763">
              <w:rPr>
                <w:rFonts w:ascii="StobiSerif Regular" w:hAnsi="StobiSerif Regular" w:cs="Arial"/>
                <w:sz w:val="16"/>
                <w:szCs w:val="16"/>
              </w:rPr>
              <w:t>1</w:t>
            </w:r>
            <w:r w:rsidR="00B76FCE" w:rsidRPr="00576763">
              <w:rPr>
                <w:rFonts w:ascii="StobiSerif Regular" w:hAnsi="StobiSerif Regular" w:cs="Arial"/>
                <w:sz w:val="16"/>
                <w:szCs w:val="16"/>
              </w:rPr>
              <w:t>.</w:t>
            </w:r>
            <w:r w:rsidRPr="00576763">
              <w:rPr>
                <w:rFonts w:ascii="StobiSerif Regular" w:hAnsi="StobiSerif Regular" w:cs="Arial"/>
                <w:sz w:val="16"/>
                <w:szCs w:val="16"/>
              </w:rPr>
              <w:t>625</w:t>
            </w:r>
            <w:r w:rsidR="00B76FCE" w:rsidRPr="00576763">
              <w:rPr>
                <w:rFonts w:ascii="StobiSerif Regular" w:hAnsi="StobiSerif Regular" w:cs="Arial"/>
                <w:sz w:val="16"/>
                <w:szCs w:val="16"/>
              </w:rPr>
              <w:t>.</w:t>
            </w:r>
            <w:r w:rsidRPr="00576763">
              <w:rPr>
                <w:rFonts w:ascii="StobiSerif Regular" w:hAnsi="StobiSerif Regular" w:cs="Arial"/>
                <w:sz w:val="16"/>
                <w:szCs w:val="16"/>
              </w:rPr>
              <w:t>301</w:t>
            </w:r>
          </w:p>
        </w:tc>
        <w:tc>
          <w:tcPr>
            <w:tcW w:w="992" w:type="dxa"/>
          </w:tcPr>
          <w:p w:rsidR="006D5504" w:rsidRPr="00576763" w:rsidRDefault="00373092" w:rsidP="00373092">
            <w:pPr>
              <w:spacing w:after="0" w:line="240" w:lineRule="auto"/>
              <w:jc w:val="right"/>
              <w:rPr>
                <w:rFonts w:ascii="StobiSerif Regular" w:hAnsi="StobiSerif Regular" w:cs="Arial"/>
                <w:sz w:val="16"/>
                <w:szCs w:val="16"/>
                <w:lang w:val="en-US"/>
              </w:rPr>
            </w:pPr>
            <w:r w:rsidRPr="00576763">
              <w:rPr>
                <w:rFonts w:ascii="StobiSerif Regular" w:hAnsi="StobiSerif Regular" w:cs="Arial"/>
                <w:sz w:val="16"/>
                <w:szCs w:val="16"/>
                <w:lang w:val="en-US"/>
              </w:rPr>
              <w:t>3.889.914</w:t>
            </w:r>
          </w:p>
        </w:tc>
        <w:tc>
          <w:tcPr>
            <w:tcW w:w="1134" w:type="dxa"/>
          </w:tcPr>
          <w:p w:rsidR="006D5504" w:rsidRPr="0099026D" w:rsidRDefault="004D1248" w:rsidP="00373092">
            <w:pPr>
              <w:tabs>
                <w:tab w:val="num" w:pos="0"/>
              </w:tabs>
              <w:spacing w:after="0"/>
              <w:jc w:val="right"/>
              <w:rPr>
                <w:rFonts w:ascii="StobiSerif Regular" w:eastAsia="Times New Roman" w:hAnsi="StobiSerif Regular"/>
                <w:bCs/>
                <w:sz w:val="16"/>
                <w:szCs w:val="16"/>
                <w:lang w:val="en-US" w:eastAsia="zh-CN"/>
              </w:rPr>
            </w:pPr>
            <w:r w:rsidRPr="0099026D">
              <w:rPr>
                <w:rFonts w:ascii="StobiSerif Regular" w:eastAsia="Times New Roman" w:hAnsi="StobiSerif Regular"/>
                <w:bCs/>
                <w:sz w:val="16"/>
                <w:szCs w:val="16"/>
                <w:lang w:val="en-US" w:eastAsia="zh-CN"/>
              </w:rPr>
              <w:t>243.6</w:t>
            </w:r>
          </w:p>
        </w:tc>
        <w:tc>
          <w:tcPr>
            <w:tcW w:w="992" w:type="dxa"/>
          </w:tcPr>
          <w:p w:rsidR="006D5504" w:rsidRPr="00A72E93" w:rsidRDefault="00A72E93" w:rsidP="00373092">
            <w:pPr>
              <w:tabs>
                <w:tab w:val="num" w:pos="0"/>
              </w:tabs>
              <w:spacing w:after="0"/>
              <w:jc w:val="right"/>
              <w:rPr>
                <w:rFonts w:ascii="StobiSerif Regular" w:eastAsia="Times New Roman" w:hAnsi="StobiSerif Regular"/>
                <w:bCs/>
                <w:sz w:val="16"/>
                <w:szCs w:val="16"/>
                <w:lang w:val="en-US" w:eastAsia="zh-CN"/>
              </w:rPr>
            </w:pPr>
            <w:r>
              <w:rPr>
                <w:rFonts w:ascii="StobiSerif Regular" w:eastAsia="Times New Roman" w:hAnsi="StobiSerif Regular"/>
                <w:bCs/>
                <w:sz w:val="16"/>
                <w:szCs w:val="16"/>
                <w:lang w:val="en-US" w:eastAsia="zh-CN"/>
              </w:rPr>
              <w:t>125.3</w:t>
            </w:r>
          </w:p>
        </w:tc>
      </w:tr>
      <w:tr w:rsidR="00576763" w:rsidRPr="00576763" w:rsidTr="00B76FCE">
        <w:tc>
          <w:tcPr>
            <w:tcW w:w="1418" w:type="dxa"/>
            <w:vAlign w:val="center"/>
          </w:tcPr>
          <w:p w:rsidR="00784CD1" w:rsidRPr="00576763" w:rsidRDefault="006767D6" w:rsidP="00784CD1">
            <w:pPr>
              <w:tabs>
                <w:tab w:val="num" w:pos="176"/>
              </w:tabs>
              <w:spacing w:after="0"/>
              <w:ind w:left="176"/>
              <w:rPr>
                <w:rFonts w:ascii="StobiSerif Regular" w:hAnsi="StobiSerif Regular"/>
                <w:sz w:val="16"/>
                <w:szCs w:val="16"/>
                <w:lang w:val="en-US"/>
              </w:rPr>
            </w:pPr>
            <w:r>
              <w:rPr>
                <w:rFonts w:ascii="StobiSerif Regular" w:hAnsi="StobiSerif Regular"/>
                <w:sz w:val="16"/>
                <w:szCs w:val="16"/>
              </w:rPr>
              <w:t>М</w:t>
            </w:r>
            <w:r w:rsidR="00784CD1" w:rsidRPr="00576763">
              <w:rPr>
                <w:rFonts w:ascii="StobiSerif Regular" w:hAnsi="StobiSerif Regular"/>
                <w:sz w:val="16"/>
                <w:szCs w:val="16"/>
                <w:lang w:val="en-US"/>
              </w:rPr>
              <w:t xml:space="preserve"> 103</w:t>
            </w:r>
          </w:p>
        </w:tc>
        <w:tc>
          <w:tcPr>
            <w:tcW w:w="1276" w:type="dxa"/>
          </w:tcPr>
          <w:p w:rsidR="00784CD1" w:rsidRPr="00576763" w:rsidRDefault="00C779A0" w:rsidP="00373092">
            <w:pPr>
              <w:tabs>
                <w:tab w:val="num" w:pos="0"/>
              </w:tabs>
              <w:spacing w:after="0"/>
              <w:jc w:val="right"/>
              <w:rPr>
                <w:rFonts w:ascii="StobiSerif Regular" w:eastAsia="Times New Roman" w:hAnsi="StobiSerif Regular"/>
                <w:bCs/>
                <w:sz w:val="16"/>
                <w:szCs w:val="16"/>
                <w:lang w:val="en-US" w:eastAsia="zh-CN"/>
              </w:rPr>
            </w:pPr>
            <w:r w:rsidRPr="00C779A0">
              <w:rPr>
                <w:rFonts w:ascii="StobiSerif Regular" w:eastAsia="Times New Roman" w:hAnsi="StobiSerif Regular"/>
                <w:bCs/>
                <w:sz w:val="16"/>
                <w:szCs w:val="16"/>
                <w:lang w:val="en-US" w:eastAsia="zh-CN"/>
              </w:rPr>
              <w:t xml:space="preserve">17,192,044   </w:t>
            </w:r>
          </w:p>
        </w:tc>
        <w:tc>
          <w:tcPr>
            <w:tcW w:w="1418" w:type="dxa"/>
          </w:tcPr>
          <w:p w:rsidR="00784CD1" w:rsidRPr="00576763" w:rsidRDefault="00576763" w:rsidP="00373092">
            <w:pPr>
              <w:spacing w:after="0"/>
              <w:jc w:val="right"/>
              <w:rPr>
                <w:rFonts w:ascii="StobiSerif Regular" w:hAnsi="StobiSerif Regular" w:cs="Arial"/>
                <w:sz w:val="16"/>
                <w:szCs w:val="16"/>
              </w:rPr>
            </w:pPr>
            <w:r w:rsidRPr="00576763">
              <w:rPr>
                <w:rFonts w:ascii="StobiSerif Regular" w:hAnsi="StobiSerif Regular" w:cs="Arial"/>
                <w:sz w:val="16"/>
                <w:szCs w:val="16"/>
              </w:rPr>
              <w:t xml:space="preserve">6,447,017   </w:t>
            </w:r>
          </w:p>
        </w:tc>
        <w:tc>
          <w:tcPr>
            <w:tcW w:w="1134" w:type="dxa"/>
          </w:tcPr>
          <w:p w:rsidR="00784CD1" w:rsidRPr="00862595" w:rsidRDefault="000962F1" w:rsidP="00862595">
            <w:pPr>
              <w:spacing w:after="0" w:line="240" w:lineRule="auto"/>
              <w:jc w:val="right"/>
              <w:rPr>
                <w:rFonts w:ascii="StobiSerif Regular" w:hAnsi="StobiSerif Regular" w:cs="Arial"/>
                <w:sz w:val="16"/>
                <w:szCs w:val="16"/>
                <w:lang w:val="en-US"/>
              </w:rPr>
            </w:pPr>
            <w:r w:rsidRPr="00576763">
              <w:rPr>
                <w:rFonts w:ascii="StobiSerif Regular" w:hAnsi="StobiSerif Regular" w:cs="Arial"/>
                <w:sz w:val="16"/>
                <w:szCs w:val="16"/>
              </w:rPr>
              <w:t>7</w:t>
            </w:r>
            <w:r w:rsidR="005C2F25" w:rsidRPr="00576763">
              <w:rPr>
                <w:rFonts w:ascii="StobiSerif Regular" w:hAnsi="StobiSerif Regular" w:cs="Arial"/>
                <w:sz w:val="16"/>
                <w:szCs w:val="16"/>
                <w:lang w:val="en-US"/>
              </w:rPr>
              <w:t>.</w:t>
            </w:r>
            <w:r w:rsidRPr="00576763">
              <w:rPr>
                <w:rFonts w:ascii="StobiSerif Regular" w:hAnsi="StobiSerif Regular" w:cs="Arial"/>
                <w:sz w:val="16"/>
                <w:szCs w:val="16"/>
              </w:rPr>
              <w:t>500</w:t>
            </w:r>
            <w:r w:rsidR="005C2F25" w:rsidRPr="00576763">
              <w:rPr>
                <w:rFonts w:ascii="StobiSerif Regular" w:hAnsi="StobiSerif Regular" w:cs="Arial"/>
                <w:sz w:val="16"/>
                <w:szCs w:val="16"/>
                <w:lang w:val="en-US"/>
              </w:rPr>
              <w:t>.</w:t>
            </w:r>
            <w:r w:rsidRPr="00576763">
              <w:rPr>
                <w:rFonts w:ascii="StobiSerif Regular" w:hAnsi="StobiSerif Regular" w:cs="Arial"/>
                <w:sz w:val="16"/>
                <w:szCs w:val="16"/>
              </w:rPr>
              <w:t>60</w:t>
            </w:r>
            <w:r w:rsidR="00862595">
              <w:rPr>
                <w:rFonts w:ascii="StobiSerif Regular" w:hAnsi="StobiSerif Regular" w:cs="Arial"/>
                <w:sz w:val="16"/>
                <w:szCs w:val="16"/>
                <w:lang w:val="en-US"/>
              </w:rPr>
              <w:t>0</w:t>
            </w:r>
          </w:p>
        </w:tc>
        <w:tc>
          <w:tcPr>
            <w:tcW w:w="1134" w:type="dxa"/>
          </w:tcPr>
          <w:p w:rsidR="00784CD1" w:rsidRPr="00576763" w:rsidRDefault="00373092" w:rsidP="00373092">
            <w:pPr>
              <w:spacing w:after="0" w:line="240" w:lineRule="auto"/>
              <w:jc w:val="right"/>
              <w:rPr>
                <w:rFonts w:ascii="StobiSerif Regular" w:hAnsi="StobiSerif Regular" w:cs="Arial"/>
                <w:sz w:val="16"/>
                <w:szCs w:val="16"/>
                <w:lang w:val="en-US"/>
              </w:rPr>
            </w:pPr>
            <w:r w:rsidRPr="00576763">
              <w:rPr>
                <w:rFonts w:ascii="StobiSerif Regular" w:hAnsi="StobiSerif Regular" w:cs="Arial"/>
                <w:sz w:val="16"/>
                <w:szCs w:val="16"/>
              </w:rPr>
              <w:t>1</w:t>
            </w:r>
            <w:r w:rsidRPr="00576763">
              <w:rPr>
                <w:rFonts w:ascii="StobiSerif Regular" w:hAnsi="StobiSerif Regular" w:cs="Arial"/>
                <w:sz w:val="16"/>
                <w:szCs w:val="16"/>
                <w:lang w:val="en-US"/>
              </w:rPr>
              <w:t>.</w:t>
            </w:r>
            <w:r w:rsidRPr="00576763">
              <w:rPr>
                <w:rFonts w:ascii="StobiSerif Regular" w:hAnsi="StobiSerif Regular" w:cs="Arial"/>
                <w:sz w:val="16"/>
                <w:szCs w:val="16"/>
              </w:rPr>
              <w:t>628</w:t>
            </w:r>
            <w:r w:rsidRPr="00576763">
              <w:rPr>
                <w:rFonts w:ascii="StobiSerif Regular" w:hAnsi="StobiSerif Regular" w:cs="Arial"/>
                <w:sz w:val="16"/>
                <w:szCs w:val="16"/>
                <w:lang w:val="en-US"/>
              </w:rPr>
              <w:t>.</w:t>
            </w:r>
            <w:r w:rsidRPr="00576763">
              <w:rPr>
                <w:rFonts w:ascii="StobiSerif Regular" w:hAnsi="StobiSerif Regular" w:cs="Arial"/>
                <w:sz w:val="16"/>
                <w:szCs w:val="16"/>
              </w:rPr>
              <w:t>579</w:t>
            </w:r>
          </w:p>
        </w:tc>
        <w:tc>
          <w:tcPr>
            <w:tcW w:w="992" w:type="dxa"/>
          </w:tcPr>
          <w:p w:rsidR="00784CD1" w:rsidRPr="00576763" w:rsidRDefault="00373092" w:rsidP="00373092">
            <w:pPr>
              <w:spacing w:after="0" w:line="240" w:lineRule="auto"/>
              <w:jc w:val="right"/>
              <w:rPr>
                <w:rFonts w:ascii="StobiSerif Regular" w:hAnsi="StobiSerif Regular" w:cs="Arial"/>
                <w:sz w:val="16"/>
                <w:szCs w:val="16"/>
                <w:lang w:val="en-US"/>
              </w:rPr>
            </w:pPr>
            <w:r w:rsidRPr="00576763">
              <w:rPr>
                <w:rFonts w:ascii="StobiSerif Regular" w:hAnsi="StobiSerif Regular" w:cs="Arial"/>
                <w:sz w:val="16"/>
                <w:szCs w:val="16"/>
              </w:rPr>
              <w:t>3</w:t>
            </w:r>
            <w:r w:rsidR="00B76FCE" w:rsidRPr="00576763">
              <w:rPr>
                <w:rFonts w:ascii="StobiSerif Regular" w:hAnsi="StobiSerif Regular" w:cs="Arial"/>
                <w:sz w:val="16"/>
                <w:szCs w:val="16"/>
              </w:rPr>
              <w:t>.</w:t>
            </w:r>
            <w:r w:rsidRPr="00576763">
              <w:rPr>
                <w:rFonts w:ascii="StobiSerif Regular" w:hAnsi="StobiSerif Regular" w:cs="Arial"/>
                <w:sz w:val="16"/>
                <w:szCs w:val="16"/>
              </w:rPr>
              <w:t>244</w:t>
            </w:r>
            <w:r w:rsidR="00B76FCE" w:rsidRPr="00576763">
              <w:rPr>
                <w:rFonts w:ascii="StobiSerif Regular" w:hAnsi="StobiSerif Regular" w:cs="Arial"/>
                <w:sz w:val="16"/>
                <w:szCs w:val="16"/>
              </w:rPr>
              <w:t>.</w:t>
            </w:r>
            <w:r w:rsidRPr="00576763">
              <w:rPr>
                <w:rFonts w:ascii="StobiSerif Regular" w:hAnsi="StobiSerif Regular" w:cs="Arial"/>
                <w:sz w:val="16"/>
                <w:szCs w:val="16"/>
              </w:rPr>
              <w:t xml:space="preserve">705 </w:t>
            </w:r>
          </w:p>
        </w:tc>
        <w:tc>
          <w:tcPr>
            <w:tcW w:w="1134" w:type="dxa"/>
          </w:tcPr>
          <w:p w:rsidR="00784CD1" w:rsidRPr="0099026D" w:rsidRDefault="00A72E93" w:rsidP="00373092">
            <w:pPr>
              <w:tabs>
                <w:tab w:val="num" w:pos="0"/>
              </w:tabs>
              <w:spacing w:after="0"/>
              <w:jc w:val="right"/>
              <w:rPr>
                <w:rFonts w:ascii="StobiSerif Regular" w:eastAsia="Times New Roman" w:hAnsi="StobiSerif Regular"/>
                <w:bCs/>
                <w:sz w:val="16"/>
                <w:szCs w:val="16"/>
                <w:lang w:val="en-US" w:eastAsia="zh-CN"/>
              </w:rPr>
            </w:pPr>
            <w:r w:rsidRPr="0099026D">
              <w:rPr>
                <w:rFonts w:ascii="StobiSerif Regular" w:eastAsia="Times New Roman" w:hAnsi="StobiSerif Regular"/>
                <w:bCs/>
                <w:sz w:val="16"/>
                <w:szCs w:val="16"/>
                <w:lang w:val="en-US" w:eastAsia="zh-CN"/>
              </w:rPr>
              <w:t>116.3</w:t>
            </w:r>
          </w:p>
        </w:tc>
        <w:tc>
          <w:tcPr>
            <w:tcW w:w="992" w:type="dxa"/>
          </w:tcPr>
          <w:p w:rsidR="00784CD1" w:rsidRPr="00A72E93" w:rsidRDefault="00A72E93" w:rsidP="00373092">
            <w:pPr>
              <w:tabs>
                <w:tab w:val="num" w:pos="0"/>
              </w:tabs>
              <w:spacing w:after="0"/>
              <w:jc w:val="right"/>
              <w:rPr>
                <w:rFonts w:ascii="StobiSerif Regular" w:eastAsia="Times New Roman" w:hAnsi="StobiSerif Regular"/>
                <w:bCs/>
                <w:sz w:val="16"/>
                <w:szCs w:val="16"/>
                <w:lang w:val="en-US" w:eastAsia="zh-CN"/>
              </w:rPr>
            </w:pPr>
            <w:r>
              <w:rPr>
                <w:rFonts w:ascii="StobiSerif Regular" w:eastAsia="Times New Roman" w:hAnsi="StobiSerif Regular"/>
                <w:bCs/>
                <w:sz w:val="16"/>
                <w:szCs w:val="16"/>
                <w:lang w:val="en-US" w:eastAsia="zh-CN"/>
              </w:rPr>
              <w:t>50.3</w:t>
            </w:r>
          </w:p>
        </w:tc>
      </w:tr>
      <w:tr w:rsidR="00576763" w:rsidRPr="00576763" w:rsidTr="00B76FCE">
        <w:tc>
          <w:tcPr>
            <w:tcW w:w="1418" w:type="dxa"/>
            <w:vAlign w:val="center"/>
          </w:tcPr>
          <w:p w:rsidR="00784CD1" w:rsidRPr="00576763" w:rsidRDefault="006767D6" w:rsidP="00784CD1">
            <w:pPr>
              <w:tabs>
                <w:tab w:val="num" w:pos="0"/>
              </w:tabs>
              <w:spacing w:after="0"/>
              <w:rPr>
                <w:rFonts w:ascii="StobiSerif Regular" w:eastAsia="Times New Roman" w:hAnsi="StobiSerif Regular"/>
                <w:b/>
                <w:bCs/>
                <w:sz w:val="16"/>
                <w:szCs w:val="16"/>
                <w:lang w:val="en-US" w:eastAsia="zh-CN"/>
              </w:rPr>
            </w:pPr>
            <w:r>
              <w:rPr>
                <w:rFonts w:ascii="StobiSerif Regular" w:hAnsi="StobiSerif Regular"/>
                <w:b/>
                <w:sz w:val="16"/>
                <w:szCs w:val="16"/>
              </w:rPr>
              <w:t xml:space="preserve">Оска </w:t>
            </w:r>
            <w:r w:rsidR="00784CD1" w:rsidRPr="00576763">
              <w:rPr>
                <w:rFonts w:ascii="StobiSerif Regular" w:hAnsi="StobiSerif Regular"/>
                <w:b/>
                <w:sz w:val="16"/>
                <w:szCs w:val="16"/>
              </w:rPr>
              <w:t xml:space="preserve"> </w:t>
            </w:r>
            <w:r w:rsidR="00784CD1" w:rsidRPr="00576763">
              <w:rPr>
                <w:rFonts w:ascii="StobiSerif Regular" w:eastAsia="Times New Roman" w:hAnsi="StobiSerif Regular"/>
                <w:b/>
                <w:bCs/>
                <w:sz w:val="16"/>
                <w:szCs w:val="16"/>
                <w:lang w:val="en-US" w:eastAsia="zh-CN"/>
              </w:rPr>
              <w:t>3</w:t>
            </w:r>
          </w:p>
        </w:tc>
        <w:tc>
          <w:tcPr>
            <w:tcW w:w="1276" w:type="dxa"/>
          </w:tcPr>
          <w:p w:rsidR="00784CD1" w:rsidRPr="00576763" w:rsidRDefault="00C779A0" w:rsidP="00373092">
            <w:pPr>
              <w:tabs>
                <w:tab w:val="num" w:pos="0"/>
              </w:tabs>
              <w:spacing w:after="0"/>
              <w:jc w:val="right"/>
              <w:rPr>
                <w:rFonts w:ascii="StobiSerif Regular" w:eastAsia="Times New Roman" w:hAnsi="StobiSerif Regular"/>
                <w:b/>
                <w:bCs/>
                <w:sz w:val="16"/>
                <w:szCs w:val="16"/>
                <w:lang w:val="en-US" w:eastAsia="zh-CN"/>
              </w:rPr>
            </w:pPr>
            <w:r w:rsidRPr="00C779A0">
              <w:rPr>
                <w:rFonts w:ascii="StobiSerif Regular" w:eastAsia="Times New Roman" w:hAnsi="StobiSerif Regular"/>
                <w:b/>
                <w:bCs/>
                <w:sz w:val="16"/>
                <w:szCs w:val="16"/>
                <w:lang w:val="en-US" w:eastAsia="zh-CN"/>
              </w:rPr>
              <w:t xml:space="preserve">3,968,750   </w:t>
            </w:r>
          </w:p>
        </w:tc>
        <w:tc>
          <w:tcPr>
            <w:tcW w:w="1418" w:type="dxa"/>
          </w:tcPr>
          <w:p w:rsidR="00784CD1" w:rsidRPr="00576763" w:rsidRDefault="00576763" w:rsidP="00373092">
            <w:pPr>
              <w:spacing w:after="0"/>
              <w:jc w:val="right"/>
              <w:rPr>
                <w:rFonts w:ascii="StobiSerif Regular" w:eastAsia="Times New Roman" w:hAnsi="StobiSerif Regular"/>
                <w:b/>
                <w:bCs/>
                <w:sz w:val="16"/>
                <w:szCs w:val="16"/>
                <w:lang w:eastAsia="zh-CN"/>
              </w:rPr>
            </w:pPr>
            <w:r w:rsidRPr="00576763">
              <w:rPr>
                <w:rFonts w:ascii="StobiSerif Regular" w:eastAsia="Times New Roman" w:hAnsi="StobiSerif Regular"/>
                <w:b/>
                <w:bCs/>
                <w:sz w:val="16"/>
                <w:szCs w:val="16"/>
                <w:lang w:eastAsia="zh-CN"/>
              </w:rPr>
              <w:t xml:space="preserve">1,488,281   </w:t>
            </w:r>
          </w:p>
        </w:tc>
        <w:tc>
          <w:tcPr>
            <w:tcW w:w="1134" w:type="dxa"/>
          </w:tcPr>
          <w:p w:rsidR="00784CD1" w:rsidRPr="00576763" w:rsidRDefault="000962F1" w:rsidP="002C64DC">
            <w:pPr>
              <w:tabs>
                <w:tab w:val="num" w:pos="0"/>
              </w:tabs>
              <w:spacing w:after="0"/>
              <w:jc w:val="right"/>
              <w:rPr>
                <w:rFonts w:ascii="StobiSerif Regular" w:eastAsia="Times New Roman" w:hAnsi="StobiSerif Regular"/>
                <w:b/>
                <w:bCs/>
                <w:sz w:val="16"/>
                <w:szCs w:val="16"/>
                <w:lang w:eastAsia="zh-CN"/>
              </w:rPr>
            </w:pPr>
            <w:r w:rsidRPr="00576763">
              <w:rPr>
                <w:rFonts w:ascii="StobiSerif Regular" w:eastAsia="Times New Roman" w:hAnsi="StobiSerif Regular"/>
                <w:b/>
                <w:bCs/>
                <w:sz w:val="16"/>
                <w:szCs w:val="16"/>
                <w:lang w:eastAsia="zh-CN"/>
              </w:rPr>
              <w:t>1</w:t>
            </w:r>
            <w:r w:rsidR="005C2F25" w:rsidRPr="00576763">
              <w:rPr>
                <w:rFonts w:ascii="StobiSerif Regular" w:eastAsia="Times New Roman" w:hAnsi="StobiSerif Regular"/>
                <w:b/>
                <w:bCs/>
                <w:sz w:val="16"/>
                <w:szCs w:val="16"/>
                <w:lang w:val="en-US" w:eastAsia="zh-CN"/>
              </w:rPr>
              <w:t>.</w:t>
            </w:r>
            <w:r w:rsidRPr="00576763">
              <w:rPr>
                <w:rFonts w:ascii="StobiSerif Regular" w:eastAsia="Times New Roman" w:hAnsi="StobiSerif Regular"/>
                <w:b/>
                <w:bCs/>
                <w:sz w:val="16"/>
                <w:szCs w:val="16"/>
                <w:lang w:eastAsia="zh-CN"/>
              </w:rPr>
              <w:t>995</w:t>
            </w:r>
            <w:r w:rsidR="005C2F25" w:rsidRPr="00576763">
              <w:rPr>
                <w:rFonts w:ascii="StobiSerif Regular" w:eastAsia="Times New Roman" w:hAnsi="StobiSerif Regular"/>
                <w:b/>
                <w:bCs/>
                <w:sz w:val="16"/>
                <w:szCs w:val="16"/>
                <w:lang w:val="en-US" w:eastAsia="zh-CN"/>
              </w:rPr>
              <w:t>.</w:t>
            </w:r>
            <w:r w:rsidRPr="00576763">
              <w:rPr>
                <w:rFonts w:ascii="StobiSerif Regular" w:eastAsia="Times New Roman" w:hAnsi="StobiSerif Regular"/>
                <w:b/>
                <w:bCs/>
                <w:sz w:val="16"/>
                <w:szCs w:val="16"/>
                <w:lang w:eastAsia="zh-CN"/>
              </w:rPr>
              <w:t>70</w:t>
            </w:r>
            <w:r w:rsidR="002C64DC">
              <w:rPr>
                <w:rFonts w:ascii="StobiSerif Regular" w:eastAsia="Times New Roman" w:hAnsi="StobiSerif Regular"/>
                <w:b/>
                <w:bCs/>
                <w:sz w:val="16"/>
                <w:szCs w:val="16"/>
                <w:lang w:val="en-US" w:eastAsia="zh-CN"/>
              </w:rPr>
              <w:t>7</w:t>
            </w:r>
            <w:r w:rsidRPr="00576763">
              <w:rPr>
                <w:rFonts w:ascii="StobiSerif Regular" w:eastAsia="Times New Roman" w:hAnsi="StobiSerif Regular"/>
                <w:b/>
                <w:bCs/>
                <w:sz w:val="16"/>
                <w:szCs w:val="16"/>
                <w:lang w:eastAsia="zh-CN"/>
              </w:rPr>
              <w:t xml:space="preserve"> </w:t>
            </w:r>
          </w:p>
        </w:tc>
        <w:tc>
          <w:tcPr>
            <w:tcW w:w="1134" w:type="dxa"/>
          </w:tcPr>
          <w:p w:rsidR="00784CD1" w:rsidRPr="00576763" w:rsidRDefault="00373092" w:rsidP="00373092">
            <w:pPr>
              <w:tabs>
                <w:tab w:val="num" w:pos="0"/>
              </w:tabs>
              <w:spacing w:after="0" w:line="240" w:lineRule="auto"/>
              <w:jc w:val="right"/>
              <w:rPr>
                <w:rFonts w:ascii="StobiSerif Regular" w:eastAsia="Times New Roman" w:hAnsi="StobiSerif Regular"/>
                <w:b/>
                <w:bCs/>
                <w:sz w:val="16"/>
                <w:szCs w:val="16"/>
                <w:lang w:val="en-US" w:eastAsia="zh-CN"/>
              </w:rPr>
            </w:pPr>
            <w:r w:rsidRPr="00576763">
              <w:rPr>
                <w:rFonts w:ascii="StobiSerif Regular" w:eastAsia="Times New Roman" w:hAnsi="StobiSerif Regular"/>
                <w:b/>
                <w:bCs/>
                <w:sz w:val="16"/>
                <w:szCs w:val="16"/>
                <w:lang w:eastAsia="zh-CN"/>
              </w:rPr>
              <w:t>588</w:t>
            </w:r>
            <w:r w:rsidR="00B76FCE" w:rsidRPr="00576763">
              <w:rPr>
                <w:rFonts w:ascii="StobiSerif Regular" w:eastAsia="Times New Roman" w:hAnsi="StobiSerif Regular"/>
                <w:b/>
                <w:bCs/>
                <w:sz w:val="16"/>
                <w:szCs w:val="16"/>
                <w:lang w:eastAsia="zh-CN"/>
              </w:rPr>
              <w:t>.</w:t>
            </w:r>
            <w:r w:rsidRPr="00576763">
              <w:rPr>
                <w:rFonts w:ascii="StobiSerif Regular" w:eastAsia="Times New Roman" w:hAnsi="StobiSerif Regular"/>
                <w:b/>
                <w:bCs/>
                <w:sz w:val="16"/>
                <w:szCs w:val="16"/>
                <w:lang w:eastAsia="zh-CN"/>
              </w:rPr>
              <w:t xml:space="preserve">958 </w:t>
            </w:r>
          </w:p>
        </w:tc>
        <w:tc>
          <w:tcPr>
            <w:tcW w:w="992" w:type="dxa"/>
          </w:tcPr>
          <w:p w:rsidR="00784CD1" w:rsidRPr="00576763" w:rsidRDefault="00373092" w:rsidP="00373092">
            <w:pPr>
              <w:tabs>
                <w:tab w:val="num" w:pos="0"/>
              </w:tabs>
              <w:spacing w:after="0"/>
              <w:jc w:val="right"/>
              <w:rPr>
                <w:rFonts w:ascii="StobiSerif Regular" w:eastAsia="Times New Roman" w:hAnsi="StobiSerif Regular"/>
                <w:b/>
                <w:bCs/>
                <w:sz w:val="16"/>
                <w:szCs w:val="16"/>
                <w:lang w:val="en-US" w:eastAsia="zh-CN"/>
              </w:rPr>
            </w:pPr>
            <w:r w:rsidRPr="00576763">
              <w:rPr>
                <w:rFonts w:ascii="StobiSerif Regular" w:eastAsia="Times New Roman" w:hAnsi="StobiSerif Regular"/>
                <w:b/>
                <w:bCs/>
                <w:sz w:val="16"/>
                <w:szCs w:val="16"/>
                <w:lang w:eastAsia="zh-CN"/>
              </w:rPr>
              <w:t>275</w:t>
            </w:r>
            <w:r w:rsidR="00B76FCE" w:rsidRPr="00576763">
              <w:rPr>
                <w:rFonts w:ascii="StobiSerif Regular" w:eastAsia="Times New Roman" w:hAnsi="StobiSerif Regular"/>
                <w:b/>
                <w:bCs/>
                <w:sz w:val="16"/>
                <w:szCs w:val="16"/>
                <w:lang w:eastAsia="zh-CN"/>
              </w:rPr>
              <w:t>.</w:t>
            </w:r>
            <w:r w:rsidRPr="00576763">
              <w:rPr>
                <w:rFonts w:ascii="StobiSerif Regular" w:eastAsia="Times New Roman" w:hAnsi="StobiSerif Regular"/>
                <w:b/>
                <w:bCs/>
                <w:sz w:val="16"/>
                <w:szCs w:val="16"/>
                <w:lang w:eastAsia="zh-CN"/>
              </w:rPr>
              <w:t>241</w:t>
            </w:r>
          </w:p>
        </w:tc>
        <w:tc>
          <w:tcPr>
            <w:tcW w:w="1134" w:type="dxa"/>
          </w:tcPr>
          <w:p w:rsidR="00784CD1" w:rsidRPr="0099026D" w:rsidRDefault="00A72E93" w:rsidP="00373092">
            <w:pPr>
              <w:tabs>
                <w:tab w:val="num" w:pos="0"/>
              </w:tabs>
              <w:spacing w:after="0"/>
              <w:jc w:val="right"/>
              <w:rPr>
                <w:rFonts w:ascii="StobiSerif Regular" w:eastAsia="Times New Roman" w:hAnsi="StobiSerif Regular"/>
                <w:b/>
                <w:bCs/>
                <w:sz w:val="16"/>
                <w:szCs w:val="16"/>
                <w:lang w:val="en-US" w:eastAsia="zh-CN"/>
              </w:rPr>
            </w:pPr>
            <w:r w:rsidRPr="0099026D">
              <w:rPr>
                <w:rFonts w:ascii="StobiSerif Regular" w:eastAsia="Times New Roman" w:hAnsi="StobiSerif Regular"/>
                <w:b/>
                <w:bCs/>
                <w:sz w:val="16"/>
                <w:szCs w:val="16"/>
                <w:lang w:val="en-US" w:eastAsia="zh-CN"/>
              </w:rPr>
              <w:t>134</w:t>
            </w:r>
          </w:p>
        </w:tc>
        <w:tc>
          <w:tcPr>
            <w:tcW w:w="992" w:type="dxa"/>
          </w:tcPr>
          <w:p w:rsidR="00784CD1" w:rsidRPr="00A72E93" w:rsidRDefault="00A72E93" w:rsidP="00373092">
            <w:pPr>
              <w:tabs>
                <w:tab w:val="num" w:pos="0"/>
              </w:tabs>
              <w:spacing w:after="0"/>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18.4</w:t>
            </w:r>
          </w:p>
        </w:tc>
      </w:tr>
      <w:tr w:rsidR="00576763" w:rsidRPr="00576763" w:rsidTr="00B76FCE">
        <w:tc>
          <w:tcPr>
            <w:tcW w:w="1418" w:type="dxa"/>
            <w:vAlign w:val="center"/>
          </w:tcPr>
          <w:p w:rsidR="00784CD1" w:rsidRPr="00576763" w:rsidRDefault="006767D6" w:rsidP="00784CD1">
            <w:pPr>
              <w:tabs>
                <w:tab w:val="num" w:pos="176"/>
              </w:tabs>
              <w:spacing w:after="0"/>
              <w:ind w:left="176"/>
              <w:rPr>
                <w:rFonts w:ascii="StobiSerif Regular" w:hAnsi="StobiSerif Regular"/>
                <w:sz w:val="16"/>
                <w:szCs w:val="16"/>
                <w:lang w:val="en-US"/>
              </w:rPr>
            </w:pPr>
            <w:r>
              <w:rPr>
                <w:rFonts w:ascii="StobiSerif Regular" w:hAnsi="StobiSerif Regular"/>
                <w:sz w:val="16"/>
                <w:szCs w:val="16"/>
              </w:rPr>
              <w:t>М</w:t>
            </w:r>
            <w:r w:rsidR="00784CD1" w:rsidRPr="00576763">
              <w:rPr>
                <w:rFonts w:ascii="StobiSerif Regular" w:hAnsi="StobiSerif Regular"/>
                <w:sz w:val="16"/>
                <w:szCs w:val="16"/>
                <w:lang w:val="en-US"/>
              </w:rPr>
              <w:t xml:space="preserve"> 302</w:t>
            </w:r>
          </w:p>
        </w:tc>
        <w:tc>
          <w:tcPr>
            <w:tcW w:w="1276" w:type="dxa"/>
          </w:tcPr>
          <w:p w:rsidR="00784CD1" w:rsidRPr="00576763" w:rsidRDefault="00C779A0" w:rsidP="00373092">
            <w:pPr>
              <w:tabs>
                <w:tab w:val="num" w:pos="0"/>
              </w:tabs>
              <w:spacing w:after="0"/>
              <w:jc w:val="right"/>
              <w:rPr>
                <w:rFonts w:ascii="StobiSerif Regular" w:eastAsia="Times New Roman" w:hAnsi="StobiSerif Regular"/>
                <w:bCs/>
                <w:sz w:val="16"/>
                <w:szCs w:val="16"/>
                <w:lang w:eastAsia="zh-CN"/>
              </w:rPr>
            </w:pPr>
            <w:r w:rsidRPr="00C779A0">
              <w:rPr>
                <w:rFonts w:ascii="StobiSerif Regular" w:eastAsia="Times New Roman" w:hAnsi="StobiSerif Regular"/>
                <w:bCs/>
                <w:sz w:val="16"/>
                <w:szCs w:val="16"/>
                <w:lang w:eastAsia="zh-CN"/>
              </w:rPr>
              <w:t xml:space="preserve">3,968,750   </w:t>
            </w:r>
          </w:p>
        </w:tc>
        <w:tc>
          <w:tcPr>
            <w:tcW w:w="1418" w:type="dxa"/>
          </w:tcPr>
          <w:p w:rsidR="00784CD1" w:rsidRPr="00576763" w:rsidRDefault="00576763" w:rsidP="00373092">
            <w:pPr>
              <w:spacing w:after="0" w:line="240" w:lineRule="auto"/>
              <w:jc w:val="right"/>
              <w:rPr>
                <w:rFonts w:ascii="StobiSerif Regular" w:hAnsi="StobiSerif Regular" w:cs="Arial"/>
                <w:sz w:val="16"/>
                <w:szCs w:val="16"/>
              </w:rPr>
            </w:pPr>
            <w:r w:rsidRPr="00576763">
              <w:rPr>
                <w:rFonts w:ascii="StobiSerif Regular" w:hAnsi="StobiSerif Regular" w:cs="Arial"/>
                <w:sz w:val="16"/>
                <w:szCs w:val="16"/>
              </w:rPr>
              <w:t xml:space="preserve">1,488,281   </w:t>
            </w:r>
          </w:p>
        </w:tc>
        <w:tc>
          <w:tcPr>
            <w:tcW w:w="1134" w:type="dxa"/>
          </w:tcPr>
          <w:p w:rsidR="00784CD1" w:rsidRPr="00576763" w:rsidRDefault="00373092" w:rsidP="00373092">
            <w:pPr>
              <w:tabs>
                <w:tab w:val="num" w:pos="0"/>
              </w:tabs>
              <w:spacing w:after="0"/>
              <w:jc w:val="right"/>
              <w:rPr>
                <w:rFonts w:ascii="StobiSerif Regular" w:eastAsia="Times New Roman" w:hAnsi="StobiSerif Regular"/>
                <w:bCs/>
                <w:sz w:val="16"/>
                <w:szCs w:val="16"/>
                <w:lang w:val="en-US" w:eastAsia="zh-CN"/>
              </w:rPr>
            </w:pPr>
            <w:r w:rsidRPr="00576763">
              <w:rPr>
                <w:rFonts w:ascii="StobiSerif Regular" w:eastAsia="Times New Roman" w:hAnsi="StobiSerif Regular"/>
                <w:bCs/>
                <w:sz w:val="16"/>
                <w:szCs w:val="16"/>
                <w:lang w:eastAsia="zh-CN"/>
              </w:rPr>
              <w:t>1</w:t>
            </w:r>
            <w:r w:rsidR="00B76FCE" w:rsidRPr="00576763">
              <w:rPr>
                <w:rFonts w:ascii="StobiSerif Regular" w:eastAsia="Times New Roman" w:hAnsi="StobiSerif Regular"/>
                <w:bCs/>
                <w:sz w:val="16"/>
                <w:szCs w:val="16"/>
                <w:lang w:eastAsia="zh-CN"/>
              </w:rPr>
              <w:t>.</w:t>
            </w:r>
            <w:r w:rsidRPr="00576763">
              <w:rPr>
                <w:rFonts w:ascii="StobiSerif Regular" w:eastAsia="Times New Roman" w:hAnsi="StobiSerif Regular"/>
                <w:bCs/>
                <w:sz w:val="16"/>
                <w:szCs w:val="16"/>
                <w:lang w:eastAsia="zh-CN"/>
              </w:rPr>
              <w:t>995</w:t>
            </w:r>
            <w:r w:rsidR="00B76FCE" w:rsidRPr="00576763">
              <w:rPr>
                <w:rFonts w:ascii="StobiSerif Regular" w:eastAsia="Times New Roman" w:hAnsi="StobiSerif Regular"/>
                <w:bCs/>
                <w:sz w:val="16"/>
                <w:szCs w:val="16"/>
                <w:lang w:eastAsia="zh-CN"/>
              </w:rPr>
              <w:t>.</w:t>
            </w:r>
            <w:r w:rsidRPr="00576763">
              <w:rPr>
                <w:rFonts w:ascii="StobiSerif Regular" w:eastAsia="Times New Roman" w:hAnsi="StobiSerif Regular"/>
                <w:bCs/>
                <w:sz w:val="16"/>
                <w:szCs w:val="16"/>
                <w:lang w:eastAsia="zh-CN"/>
              </w:rPr>
              <w:t>707</w:t>
            </w:r>
          </w:p>
        </w:tc>
        <w:tc>
          <w:tcPr>
            <w:tcW w:w="1134" w:type="dxa"/>
          </w:tcPr>
          <w:p w:rsidR="00784CD1" w:rsidRPr="00576763" w:rsidRDefault="00373092" w:rsidP="00373092">
            <w:pPr>
              <w:tabs>
                <w:tab w:val="num" w:pos="0"/>
              </w:tabs>
              <w:spacing w:after="0" w:line="240" w:lineRule="auto"/>
              <w:jc w:val="right"/>
              <w:rPr>
                <w:rFonts w:ascii="StobiSerif Regular" w:eastAsia="Times New Roman" w:hAnsi="StobiSerif Regular"/>
                <w:bCs/>
                <w:sz w:val="16"/>
                <w:szCs w:val="16"/>
                <w:lang w:val="en-US" w:eastAsia="zh-CN"/>
              </w:rPr>
            </w:pPr>
            <w:r w:rsidRPr="00576763">
              <w:rPr>
                <w:rFonts w:ascii="StobiSerif Regular" w:eastAsia="Times New Roman" w:hAnsi="StobiSerif Regular"/>
                <w:bCs/>
                <w:sz w:val="16"/>
                <w:szCs w:val="16"/>
                <w:lang w:eastAsia="zh-CN"/>
              </w:rPr>
              <w:t>588</w:t>
            </w:r>
            <w:r w:rsidR="00B76FCE" w:rsidRPr="00576763">
              <w:rPr>
                <w:rFonts w:ascii="StobiSerif Regular" w:eastAsia="Times New Roman" w:hAnsi="StobiSerif Regular"/>
                <w:bCs/>
                <w:sz w:val="16"/>
                <w:szCs w:val="16"/>
                <w:lang w:eastAsia="zh-CN"/>
              </w:rPr>
              <w:t>.</w:t>
            </w:r>
            <w:r w:rsidRPr="00576763">
              <w:rPr>
                <w:rFonts w:ascii="StobiSerif Regular" w:eastAsia="Times New Roman" w:hAnsi="StobiSerif Regular"/>
                <w:bCs/>
                <w:sz w:val="16"/>
                <w:szCs w:val="16"/>
                <w:lang w:eastAsia="zh-CN"/>
              </w:rPr>
              <w:t>958</w:t>
            </w:r>
          </w:p>
        </w:tc>
        <w:tc>
          <w:tcPr>
            <w:tcW w:w="992" w:type="dxa"/>
          </w:tcPr>
          <w:p w:rsidR="00784CD1" w:rsidRPr="00576763" w:rsidRDefault="00373092" w:rsidP="00373092">
            <w:pPr>
              <w:tabs>
                <w:tab w:val="num" w:pos="0"/>
              </w:tabs>
              <w:spacing w:after="0"/>
              <w:jc w:val="right"/>
              <w:rPr>
                <w:rFonts w:ascii="StobiSerif Regular" w:eastAsia="Times New Roman" w:hAnsi="StobiSerif Regular"/>
                <w:bCs/>
                <w:sz w:val="16"/>
                <w:szCs w:val="16"/>
                <w:lang w:val="en-US" w:eastAsia="zh-CN"/>
              </w:rPr>
            </w:pPr>
            <w:r w:rsidRPr="00576763">
              <w:rPr>
                <w:rFonts w:ascii="StobiSerif Regular" w:eastAsia="Times New Roman" w:hAnsi="StobiSerif Regular"/>
                <w:bCs/>
                <w:sz w:val="16"/>
                <w:szCs w:val="16"/>
                <w:lang w:eastAsia="zh-CN"/>
              </w:rPr>
              <w:t>275</w:t>
            </w:r>
            <w:r w:rsidR="00B76FCE" w:rsidRPr="00576763">
              <w:rPr>
                <w:rFonts w:ascii="StobiSerif Regular" w:eastAsia="Times New Roman" w:hAnsi="StobiSerif Regular"/>
                <w:bCs/>
                <w:sz w:val="16"/>
                <w:szCs w:val="16"/>
                <w:lang w:eastAsia="zh-CN"/>
              </w:rPr>
              <w:t>.</w:t>
            </w:r>
            <w:r w:rsidRPr="00576763">
              <w:rPr>
                <w:rFonts w:ascii="StobiSerif Regular" w:eastAsia="Times New Roman" w:hAnsi="StobiSerif Regular"/>
                <w:bCs/>
                <w:sz w:val="16"/>
                <w:szCs w:val="16"/>
                <w:lang w:eastAsia="zh-CN"/>
              </w:rPr>
              <w:t>241</w:t>
            </w:r>
          </w:p>
        </w:tc>
        <w:tc>
          <w:tcPr>
            <w:tcW w:w="1134" w:type="dxa"/>
          </w:tcPr>
          <w:p w:rsidR="00784CD1" w:rsidRPr="0099026D" w:rsidRDefault="00A72E93" w:rsidP="00373092">
            <w:pPr>
              <w:tabs>
                <w:tab w:val="num" w:pos="0"/>
              </w:tabs>
              <w:spacing w:after="0"/>
              <w:jc w:val="right"/>
              <w:rPr>
                <w:rFonts w:ascii="StobiSerif Regular" w:eastAsia="Times New Roman" w:hAnsi="StobiSerif Regular"/>
                <w:bCs/>
                <w:sz w:val="16"/>
                <w:szCs w:val="16"/>
                <w:lang w:val="en-US" w:eastAsia="zh-CN"/>
              </w:rPr>
            </w:pPr>
            <w:r w:rsidRPr="0099026D">
              <w:rPr>
                <w:rFonts w:ascii="StobiSerif Regular" w:eastAsia="Times New Roman" w:hAnsi="StobiSerif Regular"/>
                <w:bCs/>
                <w:sz w:val="16"/>
                <w:szCs w:val="16"/>
                <w:lang w:val="en-US" w:eastAsia="zh-CN"/>
              </w:rPr>
              <w:t>134</w:t>
            </w:r>
          </w:p>
        </w:tc>
        <w:tc>
          <w:tcPr>
            <w:tcW w:w="992" w:type="dxa"/>
          </w:tcPr>
          <w:p w:rsidR="00784CD1" w:rsidRPr="00576763" w:rsidRDefault="00A72E93" w:rsidP="00373092">
            <w:pPr>
              <w:tabs>
                <w:tab w:val="num" w:pos="0"/>
              </w:tabs>
              <w:spacing w:after="0"/>
              <w:jc w:val="right"/>
              <w:rPr>
                <w:rFonts w:ascii="StobiSerif Regular" w:eastAsia="Times New Roman" w:hAnsi="StobiSerif Regular"/>
                <w:bCs/>
                <w:sz w:val="16"/>
                <w:szCs w:val="16"/>
                <w:lang w:val="en-US" w:eastAsia="zh-CN"/>
              </w:rPr>
            </w:pPr>
            <w:r>
              <w:rPr>
                <w:rFonts w:ascii="StobiSerif Regular" w:eastAsia="Times New Roman" w:hAnsi="StobiSerif Regular"/>
                <w:bCs/>
                <w:sz w:val="16"/>
                <w:szCs w:val="16"/>
                <w:lang w:val="en-US" w:eastAsia="zh-CN"/>
              </w:rPr>
              <w:t>18.4</w:t>
            </w:r>
          </w:p>
        </w:tc>
      </w:tr>
      <w:tr w:rsidR="00576763" w:rsidRPr="00576763" w:rsidTr="00B76FCE">
        <w:tc>
          <w:tcPr>
            <w:tcW w:w="1418" w:type="dxa"/>
            <w:vAlign w:val="center"/>
          </w:tcPr>
          <w:p w:rsidR="00784CD1" w:rsidRPr="006767D6" w:rsidRDefault="006767D6" w:rsidP="00784CD1">
            <w:pPr>
              <w:tabs>
                <w:tab w:val="num" w:pos="0"/>
              </w:tabs>
              <w:spacing w:after="0"/>
              <w:rPr>
                <w:rFonts w:ascii="StobiSerif Regular" w:eastAsia="Times New Roman" w:hAnsi="StobiSerif Regular"/>
                <w:b/>
                <w:bCs/>
                <w:sz w:val="16"/>
                <w:szCs w:val="16"/>
                <w:lang w:eastAsia="zh-CN"/>
              </w:rPr>
            </w:pPr>
            <w:r>
              <w:rPr>
                <w:rFonts w:ascii="StobiSerif Regular" w:eastAsia="Times New Roman" w:hAnsi="StobiSerif Regular"/>
                <w:b/>
                <w:bCs/>
                <w:sz w:val="16"/>
                <w:szCs w:val="16"/>
                <w:lang w:eastAsia="zh-CN"/>
              </w:rPr>
              <w:t>Техничка Помош</w:t>
            </w:r>
          </w:p>
        </w:tc>
        <w:tc>
          <w:tcPr>
            <w:tcW w:w="1276" w:type="dxa"/>
          </w:tcPr>
          <w:p w:rsidR="00784CD1" w:rsidRPr="00576763" w:rsidRDefault="00784CD1" w:rsidP="00373092">
            <w:pPr>
              <w:tabs>
                <w:tab w:val="num" w:pos="0"/>
              </w:tabs>
              <w:spacing w:after="0"/>
              <w:jc w:val="right"/>
              <w:rPr>
                <w:rFonts w:ascii="StobiSerif Regular" w:eastAsia="Times New Roman" w:hAnsi="StobiSerif Regular"/>
                <w:b/>
                <w:bCs/>
                <w:sz w:val="16"/>
                <w:szCs w:val="16"/>
                <w:lang w:eastAsia="zh-CN"/>
              </w:rPr>
            </w:pPr>
            <w:r w:rsidRPr="00576763">
              <w:rPr>
                <w:rFonts w:ascii="StobiSerif Regular" w:eastAsia="Times New Roman" w:hAnsi="StobiSerif Regular"/>
                <w:b/>
                <w:bCs/>
                <w:sz w:val="16"/>
                <w:szCs w:val="16"/>
                <w:lang w:eastAsia="zh-CN"/>
              </w:rPr>
              <w:t>272.500</w:t>
            </w:r>
          </w:p>
        </w:tc>
        <w:tc>
          <w:tcPr>
            <w:tcW w:w="1418" w:type="dxa"/>
          </w:tcPr>
          <w:p w:rsidR="00784CD1" w:rsidRPr="00576763" w:rsidRDefault="00576763" w:rsidP="00373092">
            <w:pPr>
              <w:tabs>
                <w:tab w:val="num" w:pos="0"/>
              </w:tabs>
              <w:spacing w:after="0"/>
              <w:jc w:val="right"/>
              <w:rPr>
                <w:rFonts w:ascii="StobiSerif Regular" w:eastAsia="Times New Roman" w:hAnsi="StobiSerif Regular"/>
                <w:b/>
                <w:bCs/>
                <w:sz w:val="16"/>
                <w:szCs w:val="16"/>
                <w:lang w:eastAsia="zh-CN"/>
              </w:rPr>
            </w:pPr>
            <w:r w:rsidRPr="00576763">
              <w:rPr>
                <w:rFonts w:ascii="StobiSerif Regular" w:eastAsia="Times New Roman" w:hAnsi="StobiSerif Regular"/>
                <w:b/>
                <w:bCs/>
                <w:sz w:val="16"/>
                <w:szCs w:val="16"/>
                <w:lang w:eastAsia="zh-CN"/>
              </w:rPr>
              <w:t xml:space="preserve">218,000   </w:t>
            </w:r>
          </w:p>
        </w:tc>
        <w:tc>
          <w:tcPr>
            <w:tcW w:w="1134" w:type="dxa"/>
          </w:tcPr>
          <w:p w:rsidR="00784CD1" w:rsidRPr="00576763" w:rsidRDefault="001A69BA" w:rsidP="00373092">
            <w:pPr>
              <w:tabs>
                <w:tab w:val="num" w:pos="0"/>
              </w:tabs>
              <w:spacing w:after="0"/>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1.554</w:t>
            </w:r>
          </w:p>
        </w:tc>
        <w:tc>
          <w:tcPr>
            <w:tcW w:w="1134" w:type="dxa"/>
          </w:tcPr>
          <w:p w:rsidR="00784CD1" w:rsidRPr="001A69BA" w:rsidRDefault="001A69BA" w:rsidP="00373092">
            <w:pPr>
              <w:tabs>
                <w:tab w:val="num" w:pos="0"/>
              </w:tabs>
              <w:spacing w:after="0" w:line="240" w:lineRule="auto"/>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1.554</w:t>
            </w:r>
          </w:p>
        </w:tc>
        <w:tc>
          <w:tcPr>
            <w:tcW w:w="992" w:type="dxa"/>
          </w:tcPr>
          <w:p w:rsidR="00784CD1" w:rsidRPr="001A69BA" w:rsidRDefault="001A69BA" w:rsidP="00373092">
            <w:pPr>
              <w:tabs>
                <w:tab w:val="num" w:pos="0"/>
              </w:tabs>
              <w:spacing w:after="0"/>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0</w:t>
            </w:r>
          </w:p>
        </w:tc>
        <w:tc>
          <w:tcPr>
            <w:tcW w:w="1134" w:type="dxa"/>
          </w:tcPr>
          <w:p w:rsidR="00784CD1" w:rsidRPr="0099026D" w:rsidRDefault="001A69BA" w:rsidP="00373092">
            <w:pPr>
              <w:tabs>
                <w:tab w:val="num" w:pos="0"/>
              </w:tabs>
              <w:spacing w:after="0"/>
              <w:jc w:val="right"/>
              <w:rPr>
                <w:rFonts w:ascii="StobiSerif Regular" w:eastAsia="Times New Roman" w:hAnsi="StobiSerif Regular"/>
                <w:b/>
                <w:bCs/>
                <w:sz w:val="16"/>
                <w:szCs w:val="16"/>
                <w:lang w:val="en-US" w:eastAsia="zh-CN"/>
              </w:rPr>
            </w:pPr>
            <w:r w:rsidRPr="0099026D">
              <w:rPr>
                <w:rFonts w:ascii="StobiSerif Regular" w:eastAsia="Times New Roman" w:hAnsi="StobiSerif Regular"/>
                <w:b/>
                <w:bCs/>
                <w:sz w:val="16"/>
                <w:szCs w:val="16"/>
                <w:lang w:val="en-US" w:eastAsia="zh-CN"/>
              </w:rPr>
              <w:t>0.7</w:t>
            </w:r>
          </w:p>
        </w:tc>
        <w:tc>
          <w:tcPr>
            <w:tcW w:w="992" w:type="dxa"/>
          </w:tcPr>
          <w:p w:rsidR="00784CD1" w:rsidRPr="001A69BA" w:rsidRDefault="001A69BA" w:rsidP="00373092">
            <w:pPr>
              <w:tabs>
                <w:tab w:val="num" w:pos="0"/>
              </w:tabs>
              <w:spacing w:after="0"/>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0</w:t>
            </w:r>
          </w:p>
        </w:tc>
      </w:tr>
      <w:tr w:rsidR="00576763" w:rsidRPr="00576763" w:rsidTr="00B76FCE">
        <w:trPr>
          <w:trHeight w:val="221"/>
        </w:trPr>
        <w:tc>
          <w:tcPr>
            <w:tcW w:w="1418" w:type="dxa"/>
            <w:vAlign w:val="center"/>
          </w:tcPr>
          <w:p w:rsidR="00784CD1" w:rsidRPr="006767D6" w:rsidRDefault="006767D6" w:rsidP="00784CD1">
            <w:pPr>
              <w:tabs>
                <w:tab w:val="num" w:pos="0"/>
              </w:tabs>
              <w:spacing w:after="0" w:line="240" w:lineRule="auto"/>
              <w:rPr>
                <w:rFonts w:ascii="StobiSerif Regular" w:eastAsia="Times New Roman" w:hAnsi="StobiSerif Regular"/>
                <w:b/>
                <w:bCs/>
                <w:sz w:val="16"/>
                <w:szCs w:val="16"/>
                <w:lang w:eastAsia="zh-CN"/>
              </w:rPr>
            </w:pPr>
            <w:r>
              <w:rPr>
                <w:rFonts w:ascii="StobiSerif Regular" w:eastAsia="Times New Roman" w:hAnsi="StobiSerif Regular"/>
                <w:b/>
                <w:bCs/>
                <w:sz w:val="16"/>
                <w:szCs w:val="16"/>
                <w:lang w:eastAsia="zh-CN"/>
              </w:rPr>
              <w:t xml:space="preserve">Вкупно </w:t>
            </w:r>
          </w:p>
        </w:tc>
        <w:tc>
          <w:tcPr>
            <w:tcW w:w="1276" w:type="dxa"/>
          </w:tcPr>
          <w:p w:rsidR="00784CD1" w:rsidRPr="00576763" w:rsidRDefault="006D5504" w:rsidP="00373092">
            <w:pPr>
              <w:tabs>
                <w:tab w:val="num" w:pos="0"/>
              </w:tabs>
              <w:spacing w:after="0" w:line="240" w:lineRule="auto"/>
              <w:jc w:val="right"/>
              <w:rPr>
                <w:rFonts w:ascii="StobiSerif Regular" w:eastAsia="Times New Roman" w:hAnsi="StobiSerif Regular"/>
                <w:b/>
                <w:bCs/>
                <w:sz w:val="16"/>
                <w:szCs w:val="16"/>
                <w:lang w:val="en-US" w:eastAsia="zh-CN"/>
              </w:rPr>
            </w:pPr>
            <w:r w:rsidRPr="00576763">
              <w:rPr>
                <w:rFonts w:ascii="StobiSerif Regular" w:eastAsia="Times New Roman" w:hAnsi="StobiSerif Regular"/>
                <w:b/>
                <w:bCs/>
                <w:sz w:val="16"/>
                <w:szCs w:val="16"/>
                <w:lang w:val="en-US" w:eastAsia="zh-CN"/>
              </w:rPr>
              <w:t>37.806.560</w:t>
            </w:r>
          </w:p>
        </w:tc>
        <w:tc>
          <w:tcPr>
            <w:tcW w:w="1418" w:type="dxa"/>
          </w:tcPr>
          <w:p w:rsidR="00784CD1" w:rsidRPr="00576763" w:rsidRDefault="00872186" w:rsidP="00373092">
            <w:pPr>
              <w:tabs>
                <w:tab w:val="num" w:pos="0"/>
              </w:tabs>
              <w:spacing w:after="0" w:line="240" w:lineRule="auto"/>
              <w:jc w:val="right"/>
              <w:rPr>
                <w:rFonts w:ascii="StobiSerif Regular" w:eastAsia="Times New Roman" w:hAnsi="StobiSerif Regular"/>
                <w:b/>
                <w:bCs/>
                <w:sz w:val="16"/>
                <w:szCs w:val="16"/>
                <w:lang w:eastAsia="zh-CN"/>
              </w:rPr>
            </w:pPr>
            <w:r>
              <w:rPr>
                <w:rFonts w:ascii="StobiSerif Regular" w:eastAsia="Times New Roman" w:hAnsi="StobiSerif Regular"/>
                <w:b/>
                <w:bCs/>
                <w:sz w:val="16"/>
                <w:szCs w:val="16"/>
                <w:lang w:eastAsia="zh-CN"/>
              </w:rPr>
              <w:t>16.419.</w:t>
            </w:r>
            <w:r w:rsidR="00C779A0" w:rsidRPr="00C779A0">
              <w:rPr>
                <w:rFonts w:ascii="StobiSerif Regular" w:eastAsia="Times New Roman" w:hAnsi="StobiSerif Regular"/>
                <w:b/>
                <w:bCs/>
                <w:sz w:val="16"/>
                <w:szCs w:val="16"/>
                <w:lang w:eastAsia="zh-CN"/>
              </w:rPr>
              <w:t xml:space="preserve">322   </w:t>
            </w:r>
          </w:p>
        </w:tc>
        <w:tc>
          <w:tcPr>
            <w:tcW w:w="1134" w:type="dxa"/>
          </w:tcPr>
          <w:p w:rsidR="00784CD1" w:rsidRPr="004C790E" w:rsidRDefault="004C790E" w:rsidP="002C64DC">
            <w:pPr>
              <w:tabs>
                <w:tab w:val="num" w:pos="0"/>
              </w:tabs>
              <w:spacing w:after="0"/>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19.167.</w:t>
            </w:r>
            <w:r w:rsidR="00913586">
              <w:rPr>
                <w:rFonts w:ascii="StobiSerif Regular" w:eastAsia="Times New Roman" w:hAnsi="StobiSerif Regular"/>
                <w:b/>
                <w:bCs/>
                <w:sz w:val="16"/>
                <w:szCs w:val="16"/>
                <w:lang w:val="en-US" w:eastAsia="zh-CN"/>
              </w:rPr>
              <w:t>55</w:t>
            </w:r>
            <w:r w:rsidR="002C64DC">
              <w:rPr>
                <w:rFonts w:ascii="StobiSerif Regular" w:eastAsia="Times New Roman" w:hAnsi="StobiSerif Regular"/>
                <w:b/>
                <w:bCs/>
                <w:sz w:val="16"/>
                <w:szCs w:val="16"/>
                <w:lang w:val="en-US" w:eastAsia="zh-CN"/>
              </w:rPr>
              <w:t>8</w:t>
            </w:r>
          </w:p>
        </w:tc>
        <w:tc>
          <w:tcPr>
            <w:tcW w:w="1134" w:type="dxa"/>
          </w:tcPr>
          <w:p w:rsidR="00784CD1" w:rsidRPr="004C790E" w:rsidRDefault="004C790E" w:rsidP="00373092">
            <w:pPr>
              <w:tabs>
                <w:tab w:val="num" w:pos="0"/>
              </w:tabs>
              <w:spacing w:after="0" w:line="240" w:lineRule="auto"/>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3</w:t>
            </w:r>
            <w:r w:rsidR="005672B3">
              <w:rPr>
                <w:rFonts w:ascii="StobiSerif Regular" w:eastAsia="Times New Roman" w:hAnsi="StobiSerif Regular"/>
                <w:b/>
                <w:bCs/>
                <w:sz w:val="16"/>
                <w:szCs w:val="16"/>
                <w:lang w:val="en-US" w:eastAsia="zh-CN"/>
              </w:rPr>
              <w:t>.</w:t>
            </w:r>
            <w:r>
              <w:rPr>
                <w:rFonts w:ascii="StobiSerif Regular" w:eastAsia="Times New Roman" w:hAnsi="StobiSerif Regular"/>
                <w:b/>
                <w:bCs/>
                <w:sz w:val="16"/>
                <w:szCs w:val="16"/>
                <w:lang w:val="en-US" w:eastAsia="zh-CN"/>
              </w:rPr>
              <w:t>844</w:t>
            </w:r>
            <w:r w:rsidR="005672B3">
              <w:rPr>
                <w:rFonts w:ascii="StobiSerif Regular" w:eastAsia="Times New Roman" w:hAnsi="StobiSerif Regular"/>
                <w:b/>
                <w:bCs/>
                <w:sz w:val="16"/>
                <w:szCs w:val="16"/>
                <w:lang w:val="en-US" w:eastAsia="zh-CN"/>
              </w:rPr>
              <w:t>.</w:t>
            </w:r>
            <w:r>
              <w:rPr>
                <w:rFonts w:ascii="StobiSerif Regular" w:eastAsia="Times New Roman" w:hAnsi="StobiSerif Regular"/>
                <w:b/>
                <w:bCs/>
                <w:sz w:val="16"/>
                <w:szCs w:val="16"/>
                <w:lang w:val="en-US" w:eastAsia="zh-CN"/>
              </w:rPr>
              <w:t>392</w:t>
            </w:r>
          </w:p>
        </w:tc>
        <w:tc>
          <w:tcPr>
            <w:tcW w:w="992" w:type="dxa"/>
          </w:tcPr>
          <w:p w:rsidR="00784CD1" w:rsidRPr="00BE5D1B" w:rsidRDefault="00BE5D1B" w:rsidP="00373092">
            <w:pPr>
              <w:tabs>
                <w:tab w:val="num" w:pos="0"/>
              </w:tabs>
              <w:spacing w:after="0"/>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7.957.464</w:t>
            </w:r>
          </w:p>
        </w:tc>
        <w:tc>
          <w:tcPr>
            <w:tcW w:w="1134" w:type="dxa"/>
          </w:tcPr>
          <w:p w:rsidR="00784CD1" w:rsidRPr="0099026D" w:rsidRDefault="00BE5D1B" w:rsidP="00373092">
            <w:pPr>
              <w:tabs>
                <w:tab w:val="num" w:pos="0"/>
              </w:tabs>
              <w:spacing w:after="0" w:line="240" w:lineRule="auto"/>
              <w:jc w:val="right"/>
              <w:rPr>
                <w:rFonts w:ascii="StobiSerif Regular" w:eastAsia="Times New Roman" w:hAnsi="StobiSerif Regular"/>
                <w:b/>
                <w:bCs/>
                <w:sz w:val="16"/>
                <w:szCs w:val="16"/>
                <w:lang w:val="en-US" w:eastAsia="zh-CN"/>
              </w:rPr>
            </w:pPr>
            <w:r w:rsidRPr="0099026D">
              <w:rPr>
                <w:rFonts w:ascii="StobiSerif Regular" w:eastAsia="Times New Roman" w:hAnsi="StobiSerif Regular"/>
                <w:b/>
                <w:bCs/>
                <w:sz w:val="16"/>
                <w:szCs w:val="16"/>
                <w:lang w:val="en-US" w:eastAsia="zh-CN"/>
              </w:rPr>
              <w:t>116.7</w:t>
            </w:r>
          </w:p>
        </w:tc>
        <w:tc>
          <w:tcPr>
            <w:tcW w:w="992" w:type="dxa"/>
          </w:tcPr>
          <w:p w:rsidR="00784CD1" w:rsidRPr="00576763" w:rsidRDefault="00BE5D1B" w:rsidP="00373092">
            <w:pPr>
              <w:tabs>
                <w:tab w:val="num" w:pos="0"/>
              </w:tabs>
              <w:spacing w:after="0" w:line="240" w:lineRule="auto"/>
              <w:jc w:val="right"/>
              <w:rPr>
                <w:rFonts w:ascii="StobiSerif Regular" w:eastAsia="Times New Roman" w:hAnsi="StobiSerif Regular"/>
                <w:b/>
                <w:bCs/>
                <w:sz w:val="16"/>
                <w:szCs w:val="16"/>
                <w:lang w:val="en-US" w:eastAsia="zh-CN"/>
              </w:rPr>
            </w:pPr>
            <w:r>
              <w:rPr>
                <w:rFonts w:ascii="StobiSerif Regular" w:eastAsia="Times New Roman" w:hAnsi="StobiSerif Regular"/>
                <w:b/>
                <w:bCs/>
                <w:sz w:val="16"/>
                <w:szCs w:val="16"/>
                <w:lang w:val="en-US" w:eastAsia="zh-CN"/>
              </w:rPr>
              <w:t>48.4</w:t>
            </w:r>
          </w:p>
        </w:tc>
      </w:tr>
    </w:tbl>
    <w:p w:rsidR="00784CD1" w:rsidRPr="00784CD1" w:rsidRDefault="006767D6" w:rsidP="00784CD1">
      <w:pPr>
        <w:spacing w:after="0" w:line="240" w:lineRule="auto"/>
        <w:jc w:val="both"/>
        <w:rPr>
          <w:rFonts w:ascii="StobiSerif Regular" w:eastAsia="Times New Roman" w:hAnsi="StobiSerif Regular" w:cs="Times New Roman"/>
          <w:sz w:val="16"/>
          <w:szCs w:val="16"/>
        </w:rPr>
      </w:pPr>
      <w:r>
        <w:rPr>
          <w:rFonts w:ascii="StobiSerif Regular" w:hAnsi="StobiSerif Regular"/>
          <w:sz w:val="16"/>
          <w:szCs w:val="16"/>
        </w:rPr>
        <w:t>Извор: Мониторинг систем  (2016)</w:t>
      </w:r>
    </w:p>
    <w:p w:rsidR="00C45B7A" w:rsidRDefault="00C45B7A" w:rsidP="00AC26A8">
      <w:pPr>
        <w:spacing w:before="120" w:after="120"/>
        <w:ind w:firstLine="284"/>
        <w:jc w:val="both"/>
        <w:rPr>
          <w:rFonts w:ascii="StobiSerif Regular" w:hAnsi="StobiSerif Regular"/>
        </w:rPr>
      </w:pPr>
      <w:r w:rsidRPr="00C45B7A">
        <w:rPr>
          <w:rFonts w:ascii="StobiSerif Regular" w:hAnsi="StobiSerif Regular"/>
        </w:rPr>
        <w:t>Во рамките на мерката за техничка помош еден договор е склучен со износ од 1.554 €. Овие средства се наменети за организација на Комитетот за следење на ИПАРД, но договорот беше откажана поради грешка во договорот. Повеќе детали ќе бидат дадени во точка за мерката техничка помош</w:t>
      </w:r>
      <w:r>
        <w:rPr>
          <w:rFonts w:ascii="StobiSerif Regular" w:hAnsi="StobiSerif Regular"/>
        </w:rPr>
        <w:t>.</w:t>
      </w:r>
    </w:p>
    <w:p w:rsidR="00784CD1" w:rsidRPr="00263962" w:rsidRDefault="00E840F4" w:rsidP="00784CD1">
      <w:pPr>
        <w:spacing w:before="120" w:after="120"/>
        <w:jc w:val="both"/>
        <w:rPr>
          <w:rFonts w:ascii="StobiSerif Regular" w:hAnsi="StobiSerif Regular"/>
          <w:b/>
          <w:u w:val="wave"/>
          <w:lang w:val="en-US"/>
        </w:rPr>
      </w:pPr>
      <w:r>
        <w:rPr>
          <w:rFonts w:ascii="StobiSerif Regular" w:hAnsi="StobiSerif Regular"/>
          <w:b/>
          <w:u w:val="wave"/>
          <w:lang w:val="en-US"/>
        </w:rPr>
        <w:t>M</w:t>
      </w:r>
      <w:r>
        <w:rPr>
          <w:rFonts w:ascii="StobiSerif Regular" w:hAnsi="StobiSerif Regular"/>
          <w:b/>
          <w:u w:val="wave"/>
        </w:rPr>
        <w:t xml:space="preserve">ерка  </w:t>
      </w:r>
      <w:r w:rsidR="00784CD1" w:rsidRPr="00263962">
        <w:rPr>
          <w:rFonts w:ascii="StobiSerif Regular" w:hAnsi="StobiSerif Regular"/>
          <w:b/>
          <w:u w:val="wave"/>
          <w:lang w:val="en-US"/>
        </w:rPr>
        <w:t>101</w:t>
      </w:r>
    </w:p>
    <w:p w:rsidR="00C45B7A" w:rsidRPr="006767D6" w:rsidRDefault="00C45B7A" w:rsidP="00B633FD">
      <w:pPr>
        <w:spacing w:before="120" w:after="120"/>
        <w:ind w:firstLine="284"/>
        <w:jc w:val="both"/>
        <w:rPr>
          <w:rFonts w:ascii="StobiSerif Regular" w:hAnsi="StobiSerif Regular"/>
        </w:rPr>
      </w:pPr>
      <w:r w:rsidRPr="006767D6">
        <w:rPr>
          <w:rFonts w:ascii="StobiSerif Regular" w:hAnsi="StobiSerif Regular"/>
        </w:rPr>
        <w:t>Просечниот исплатен износ по проект во M101 е зголемен во споредба со минатата година (6,067 €) и сега изнесува 8,413 €.</w:t>
      </w:r>
    </w:p>
    <w:p w:rsidR="004959C2" w:rsidRDefault="009A6CBA" w:rsidP="00B633FD">
      <w:pPr>
        <w:spacing w:before="120" w:after="120"/>
        <w:ind w:firstLine="284"/>
        <w:jc w:val="both"/>
        <w:rPr>
          <w:rFonts w:ascii="StobiSerif Regular" w:hAnsi="StobiSerif Regular"/>
          <w:lang w:val="en-US"/>
        </w:rPr>
      </w:pPr>
      <w:r w:rsidRPr="009A6CBA">
        <w:rPr>
          <w:rFonts w:ascii="StobiSerif Regular" w:hAnsi="StobiSerif Regular"/>
        </w:rPr>
        <w:t>Во секторот овошје и зеленчук се забележува надминување на планираниот износ за склучување договори и плаќање</w:t>
      </w:r>
      <w:r>
        <w:rPr>
          <w:rFonts w:ascii="StobiSerif Regular" w:hAnsi="StobiSerif Regular"/>
        </w:rPr>
        <w:t xml:space="preserve">. </w:t>
      </w:r>
      <w:r w:rsidRPr="009A6CBA">
        <w:rPr>
          <w:rFonts w:ascii="StobiSerif Regular" w:hAnsi="StobiSerif Regular"/>
          <w:lang w:val="en-US"/>
        </w:rPr>
        <w:t xml:space="preserve">34% повеќе од планираниот износ, беше платен во </w:t>
      </w:r>
      <w:r>
        <w:rPr>
          <w:rFonts w:ascii="StobiSerif Regular" w:hAnsi="StobiSerif Regular"/>
        </w:rPr>
        <w:t xml:space="preserve">секторот овоштарство </w:t>
      </w:r>
      <w:r w:rsidRPr="009A6CBA">
        <w:rPr>
          <w:rFonts w:ascii="StobiSerif Regular" w:hAnsi="StobiSerif Regular"/>
          <w:lang w:val="en-US"/>
        </w:rPr>
        <w:t>т.е. вкупно 1.662.419 € и 23</w:t>
      </w:r>
      <w:r>
        <w:rPr>
          <w:rFonts w:ascii="StobiSerif Regular" w:hAnsi="StobiSerif Regular"/>
        </w:rPr>
        <w:t>,</w:t>
      </w:r>
      <w:r w:rsidRPr="009A6CBA">
        <w:rPr>
          <w:rFonts w:ascii="StobiSerif Regular" w:hAnsi="StobiSerif Regular"/>
          <w:lang w:val="en-US"/>
        </w:rPr>
        <w:t xml:space="preserve">3% повеќе во </w:t>
      </w:r>
      <w:r>
        <w:rPr>
          <w:rFonts w:ascii="StobiSerif Regular" w:hAnsi="StobiSerif Regular"/>
        </w:rPr>
        <w:t>секторн градинарство</w:t>
      </w:r>
      <w:r w:rsidRPr="009A6CBA">
        <w:rPr>
          <w:rFonts w:ascii="StobiSerif Regular" w:hAnsi="StobiSerif Regular"/>
          <w:lang w:val="en-US"/>
        </w:rPr>
        <w:t xml:space="preserve"> или вкупно 1.630.752 €.</w:t>
      </w:r>
      <w:r w:rsidR="002E34A8">
        <w:rPr>
          <w:rFonts w:ascii="StobiSerif Regular" w:hAnsi="StobiSerif Regular"/>
          <w:lang w:val="en-US"/>
        </w:rPr>
        <w:t xml:space="preserve"> </w:t>
      </w:r>
    </w:p>
    <w:p w:rsidR="00784CD1" w:rsidRPr="008D1F40" w:rsidRDefault="009A6CBA" w:rsidP="00784CD1">
      <w:pPr>
        <w:spacing w:after="0"/>
        <w:rPr>
          <w:rFonts w:ascii="StobiSerif Regular" w:hAnsi="StobiSerif Regular"/>
          <w:b/>
          <w:lang w:val="en-US"/>
        </w:rPr>
      </w:pPr>
      <w:bookmarkStart w:id="55" w:name="_Toc485394917"/>
      <w:r w:rsidRPr="008D1F40">
        <w:rPr>
          <w:rFonts w:ascii="StobiSerif Regular" w:eastAsia="Times New Roman" w:hAnsi="StobiSerif Regular" w:cs="Times New Roman"/>
          <w:b/>
          <w:lang w:eastAsia="zh-CN"/>
        </w:rPr>
        <w:t>Таб</w:t>
      </w:r>
      <w:r w:rsidR="004C34D7" w:rsidRPr="008D1F40">
        <w:rPr>
          <w:rFonts w:ascii="StobiSerif Regular" w:eastAsia="Times New Roman" w:hAnsi="StobiSerif Regular" w:cs="Times New Roman"/>
          <w:b/>
          <w:lang w:eastAsia="zh-CN"/>
        </w:rPr>
        <w:t>е</w:t>
      </w:r>
      <w:r w:rsidRPr="008D1F40">
        <w:rPr>
          <w:rFonts w:ascii="StobiSerif Regular" w:eastAsia="Times New Roman" w:hAnsi="StobiSerif Regular" w:cs="Times New Roman"/>
          <w:b/>
          <w:lang w:eastAsia="zh-CN"/>
        </w:rPr>
        <w:t>л</w:t>
      </w:r>
      <w:r w:rsidR="004C34D7" w:rsidRPr="008D1F40">
        <w:rPr>
          <w:rFonts w:ascii="StobiSerif Regular" w:eastAsia="Times New Roman" w:hAnsi="StobiSerif Regular" w:cs="Times New Roman"/>
          <w:b/>
          <w:lang w:eastAsia="zh-CN"/>
        </w:rPr>
        <w:t>а</w:t>
      </w:r>
      <w:r w:rsidR="006C55E6" w:rsidRPr="008D1F40">
        <w:rPr>
          <w:rFonts w:ascii="StobiSerif Regular" w:eastAsia="Times New Roman" w:hAnsi="StobiSerif Regular" w:cs="Times New Roman"/>
          <w:b/>
          <w:lang w:val="en-GB" w:eastAsia="zh-CN"/>
        </w:rPr>
        <w:t xml:space="preserve"> </w:t>
      </w:r>
      <w:r w:rsidR="006C55E6" w:rsidRPr="008D1F40">
        <w:rPr>
          <w:rFonts w:ascii="StobiSerif Regular" w:eastAsia="Times New Roman" w:hAnsi="StobiSerif Regular" w:cs="Times New Roman"/>
          <w:b/>
          <w:lang w:val="en-GB" w:eastAsia="zh-CN"/>
        </w:rPr>
        <w:fldChar w:fldCharType="begin"/>
      </w:r>
      <w:r w:rsidR="006C55E6" w:rsidRPr="008D1F40">
        <w:rPr>
          <w:rFonts w:ascii="StobiSerif Regular" w:eastAsia="Times New Roman" w:hAnsi="StobiSerif Regular" w:cs="Times New Roman"/>
          <w:b/>
          <w:lang w:val="en-GB" w:eastAsia="zh-CN"/>
        </w:rPr>
        <w:instrText xml:space="preserve"> SEQ Table \* ARABIC </w:instrText>
      </w:r>
      <w:r w:rsidR="006C55E6" w:rsidRPr="008D1F40">
        <w:rPr>
          <w:rFonts w:ascii="StobiSerif Regular" w:eastAsia="Times New Roman" w:hAnsi="StobiSerif Regular" w:cs="Times New Roman"/>
          <w:b/>
          <w:lang w:val="en-GB" w:eastAsia="zh-CN"/>
        </w:rPr>
        <w:fldChar w:fldCharType="separate"/>
      </w:r>
      <w:r w:rsidR="006C55E6" w:rsidRPr="008D1F40">
        <w:rPr>
          <w:rFonts w:ascii="StobiSerif Regular" w:eastAsia="Times New Roman" w:hAnsi="StobiSerif Regular" w:cs="Times New Roman"/>
          <w:b/>
          <w:noProof/>
          <w:lang w:val="en-GB" w:eastAsia="zh-CN"/>
        </w:rPr>
        <w:t>25</w:t>
      </w:r>
      <w:r w:rsidR="006C55E6" w:rsidRPr="008D1F40">
        <w:rPr>
          <w:rFonts w:ascii="StobiSerif Regular" w:eastAsia="Times New Roman" w:hAnsi="StobiSerif Regular" w:cs="Times New Roman"/>
          <w:b/>
          <w:lang w:val="en-GB" w:eastAsia="zh-CN"/>
        </w:rPr>
        <w:fldChar w:fldCharType="end"/>
      </w:r>
      <w:r w:rsidR="006C55E6" w:rsidRPr="008D1F40">
        <w:rPr>
          <w:rFonts w:ascii="StobiSerif Regular" w:eastAsia="Times New Roman" w:hAnsi="StobiSerif Regular" w:cs="Times New Roman"/>
          <w:b/>
          <w:lang w:val="en-GB" w:eastAsia="zh-CN"/>
        </w:rPr>
        <w:t xml:space="preserve">: </w:t>
      </w:r>
      <w:r w:rsidR="004C34D7" w:rsidRPr="008D1F40">
        <w:rPr>
          <w:rFonts w:ascii="StobiSerif Regular" w:hAnsi="StobiSerif Regular"/>
          <w:b/>
          <w:lang w:val="en-US"/>
        </w:rPr>
        <w:t>Спроведување на финансиски цели во М101</w:t>
      </w:r>
      <w:bookmarkEnd w:id="55"/>
    </w:p>
    <w:tbl>
      <w:tblPr>
        <w:tblW w:w="9447" w:type="dxa"/>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90"/>
        <w:gridCol w:w="1483"/>
        <w:gridCol w:w="1241"/>
        <w:gridCol w:w="1391"/>
        <w:gridCol w:w="1459"/>
        <w:gridCol w:w="981"/>
        <w:gridCol w:w="992"/>
        <w:gridCol w:w="1210"/>
      </w:tblGrid>
      <w:tr w:rsidR="004C34D7" w:rsidRPr="005448E5" w:rsidTr="006278AA">
        <w:trPr>
          <w:trHeight w:val="798"/>
        </w:trPr>
        <w:tc>
          <w:tcPr>
            <w:tcW w:w="2173" w:type="dxa"/>
            <w:gridSpan w:val="2"/>
            <w:shd w:val="clear" w:color="000000" w:fill="FFFFFF"/>
            <w:hideMark/>
          </w:tcPr>
          <w:p w:rsidR="004C34D7" w:rsidRPr="004C34D7" w:rsidRDefault="004C34D7" w:rsidP="004C34D7">
            <w:pPr>
              <w:spacing w:after="0"/>
              <w:rPr>
                <w:rFonts w:ascii="StobiSerif Regular" w:hAnsi="StobiSerif Regular"/>
                <w:sz w:val="16"/>
                <w:szCs w:val="16"/>
                <w:lang w:val="en-US"/>
              </w:rPr>
            </w:pPr>
            <w:r w:rsidRPr="004C34D7">
              <w:rPr>
                <w:rFonts w:ascii="StobiSerif Regular" w:hAnsi="StobiSerif Regular"/>
                <w:sz w:val="16"/>
                <w:szCs w:val="16"/>
                <w:lang w:val="en-US"/>
              </w:rPr>
              <w:t>Група на инвестиции</w:t>
            </w:r>
          </w:p>
        </w:tc>
        <w:tc>
          <w:tcPr>
            <w:tcW w:w="1241" w:type="dxa"/>
            <w:shd w:val="clear" w:color="000000" w:fill="FFFFFF"/>
            <w:hideMark/>
          </w:tcPr>
          <w:p w:rsidR="004C34D7" w:rsidRPr="004C34D7" w:rsidRDefault="004C34D7" w:rsidP="004C34D7">
            <w:pPr>
              <w:spacing w:after="0"/>
              <w:rPr>
                <w:rFonts w:ascii="StobiSerif Regular" w:hAnsi="StobiSerif Regular"/>
                <w:sz w:val="16"/>
                <w:szCs w:val="16"/>
                <w:lang w:val="en-US"/>
              </w:rPr>
            </w:pPr>
            <w:r w:rsidRPr="004C34D7">
              <w:rPr>
                <w:rFonts w:ascii="StobiSerif Regular" w:hAnsi="StobiSerif Regular"/>
                <w:sz w:val="16"/>
                <w:szCs w:val="16"/>
                <w:lang w:val="en-US"/>
              </w:rPr>
              <w:t>Предвиден % по сектор</w:t>
            </w:r>
          </w:p>
        </w:tc>
        <w:tc>
          <w:tcPr>
            <w:tcW w:w="1391" w:type="dxa"/>
            <w:shd w:val="clear" w:color="000000" w:fill="FFFFFF"/>
            <w:hideMark/>
          </w:tcPr>
          <w:p w:rsidR="004C34D7" w:rsidRPr="004C34D7" w:rsidRDefault="004C34D7" w:rsidP="004C34D7">
            <w:pPr>
              <w:spacing w:after="0"/>
              <w:rPr>
                <w:rFonts w:ascii="StobiSerif Regular" w:hAnsi="StobiSerif Regular"/>
                <w:sz w:val="16"/>
                <w:szCs w:val="16"/>
                <w:lang w:val="en-US"/>
              </w:rPr>
            </w:pPr>
            <w:r w:rsidRPr="004C34D7">
              <w:rPr>
                <w:rFonts w:ascii="StobiSerif Regular" w:hAnsi="StobiSerif Regular"/>
                <w:sz w:val="16"/>
                <w:szCs w:val="16"/>
                <w:lang w:val="en-US"/>
              </w:rPr>
              <w:t>Планирани ЕУ средства</w:t>
            </w:r>
          </w:p>
        </w:tc>
        <w:tc>
          <w:tcPr>
            <w:tcW w:w="1459" w:type="dxa"/>
            <w:shd w:val="clear" w:color="000000" w:fill="FFFFFF"/>
            <w:hideMark/>
          </w:tcPr>
          <w:p w:rsidR="004C34D7" w:rsidRPr="00AC7494" w:rsidRDefault="00AC7494" w:rsidP="004C34D7">
            <w:pPr>
              <w:spacing w:after="0"/>
              <w:rPr>
                <w:rFonts w:ascii="StobiSerif Regular" w:hAnsi="StobiSerif Regular"/>
                <w:sz w:val="16"/>
                <w:szCs w:val="16"/>
              </w:rPr>
            </w:pPr>
            <w:r>
              <w:rPr>
                <w:rFonts w:ascii="StobiSerif Regular" w:hAnsi="StobiSerif Regular"/>
                <w:sz w:val="16"/>
                <w:szCs w:val="16"/>
              </w:rPr>
              <w:t>Склучени ЕУ средства</w:t>
            </w:r>
          </w:p>
        </w:tc>
        <w:tc>
          <w:tcPr>
            <w:tcW w:w="981" w:type="dxa"/>
            <w:shd w:val="clear" w:color="000000" w:fill="FFFFFF"/>
          </w:tcPr>
          <w:p w:rsidR="004C34D7" w:rsidRPr="00AC7494" w:rsidRDefault="00AC7494" w:rsidP="004C34D7">
            <w:pPr>
              <w:spacing w:after="0"/>
              <w:rPr>
                <w:rFonts w:ascii="StobiSerif Regular" w:hAnsi="StobiSerif Regular"/>
                <w:sz w:val="16"/>
                <w:szCs w:val="16"/>
              </w:rPr>
            </w:pPr>
            <w:r>
              <w:rPr>
                <w:rFonts w:ascii="StobiSerif Regular" w:hAnsi="StobiSerif Regular"/>
                <w:sz w:val="16"/>
                <w:szCs w:val="16"/>
              </w:rPr>
              <w:t>Вкупно јавни трошоци</w:t>
            </w:r>
          </w:p>
        </w:tc>
        <w:tc>
          <w:tcPr>
            <w:tcW w:w="992" w:type="dxa"/>
            <w:shd w:val="clear" w:color="000000" w:fill="FFFFFF"/>
            <w:hideMark/>
          </w:tcPr>
          <w:p w:rsidR="004C34D7" w:rsidRPr="00AC7494" w:rsidRDefault="00AC7494" w:rsidP="004C34D7">
            <w:pPr>
              <w:spacing w:after="0"/>
              <w:rPr>
                <w:rFonts w:ascii="StobiSerif Regular" w:hAnsi="StobiSerif Regular"/>
                <w:sz w:val="16"/>
                <w:szCs w:val="16"/>
              </w:rPr>
            </w:pPr>
            <w:r>
              <w:rPr>
                <w:rFonts w:ascii="StobiSerif Regular" w:hAnsi="StobiSerif Regular"/>
                <w:sz w:val="16"/>
                <w:szCs w:val="16"/>
              </w:rPr>
              <w:t>Исплатени ЕУ средства</w:t>
            </w:r>
          </w:p>
        </w:tc>
        <w:tc>
          <w:tcPr>
            <w:tcW w:w="1210" w:type="dxa"/>
            <w:shd w:val="clear" w:color="000000" w:fill="FFFFFF"/>
          </w:tcPr>
          <w:p w:rsidR="004C34D7" w:rsidRPr="00AC7494" w:rsidRDefault="00AC7494" w:rsidP="004C34D7">
            <w:pPr>
              <w:spacing w:after="0"/>
              <w:rPr>
                <w:rFonts w:ascii="StobiSerif Regular" w:hAnsi="StobiSerif Regular"/>
                <w:sz w:val="16"/>
                <w:szCs w:val="16"/>
              </w:rPr>
            </w:pPr>
            <w:r>
              <w:rPr>
                <w:rFonts w:ascii="StobiSerif Regular" w:hAnsi="StobiSerif Regular"/>
                <w:sz w:val="16"/>
                <w:szCs w:val="16"/>
              </w:rPr>
              <w:t>% на имплементација</w:t>
            </w:r>
          </w:p>
        </w:tc>
      </w:tr>
      <w:tr w:rsidR="004C34D7" w:rsidRPr="005448E5" w:rsidTr="001F1EAF">
        <w:trPr>
          <w:trHeight w:val="321"/>
        </w:trPr>
        <w:tc>
          <w:tcPr>
            <w:tcW w:w="690" w:type="dxa"/>
            <w:shd w:val="clear" w:color="000000" w:fill="FFFFFF"/>
            <w:noWrap/>
            <w:vAlign w:val="center"/>
            <w:hideMark/>
          </w:tcPr>
          <w:p w:rsidR="004C34D7" w:rsidRPr="005448E5" w:rsidRDefault="004C34D7" w:rsidP="00784CD1">
            <w:pPr>
              <w:spacing w:after="0"/>
              <w:jc w:val="center"/>
              <w:rPr>
                <w:rFonts w:ascii="StobiSerif Regular" w:hAnsi="StobiSerif Regular"/>
                <w:b/>
                <w:sz w:val="16"/>
                <w:szCs w:val="16"/>
                <w:lang w:val="en-US"/>
              </w:rPr>
            </w:pPr>
            <w:r w:rsidRPr="005448E5">
              <w:rPr>
                <w:rFonts w:ascii="StobiSerif Regular" w:hAnsi="StobiSerif Regular"/>
                <w:b/>
                <w:sz w:val="16"/>
                <w:szCs w:val="16"/>
                <w:lang w:val="en-US"/>
              </w:rPr>
              <w:t>1011</w:t>
            </w:r>
          </w:p>
        </w:tc>
        <w:tc>
          <w:tcPr>
            <w:tcW w:w="1483" w:type="dxa"/>
            <w:shd w:val="clear" w:color="000000" w:fill="FFFFFF"/>
            <w:vAlign w:val="center"/>
            <w:hideMark/>
          </w:tcPr>
          <w:p w:rsidR="004C34D7" w:rsidRPr="004C34D7" w:rsidRDefault="004C34D7" w:rsidP="006278AA">
            <w:pPr>
              <w:spacing w:after="0"/>
              <w:jc w:val="center"/>
              <w:rPr>
                <w:rFonts w:ascii="StobiSerif Regular" w:hAnsi="StobiSerif Regular" w:cs="Arial"/>
                <w:bCs/>
                <w:sz w:val="18"/>
                <w:szCs w:val="18"/>
                <w:lang w:eastAsia="mk-MK"/>
              </w:rPr>
            </w:pPr>
            <w:r w:rsidRPr="004C34D7">
              <w:rPr>
                <w:rFonts w:ascii="StobiSerif Regular" w:hAnsi="StobiSerif Regular" w:cs="Arial"/>
                <w:bCs/>
                <w:sz w:val="18"/>
                <w:szCs w:val="18"/>
                <w:lang w:eastAsia="mk-MK"/>
              </w:rPr>
              <w:t xml:space="preserve">Лозарство </w:t>
            </w:r>
          </w:p>
        </w:tc>
        <w:tc>
          <w:tcPr>
            <w:tcW w:w="1241" w:type="dxa"/>
            <w:shd w:val="clear" w:color="000000" w:fill="FFFFFF"/>
            <w:vAlign w:val="center"/>
            <w:hideMark/>
          </w:tcPr>
          <w:p w:rsidR="004C34D7" w:rsidRPr="005448E5" w:rsidRDefault="004C34D7" w:rsidP="009140F1">
            <w:pPr>
              <w:spacing w:after="0"/>
              <w:jc w:val="center"/>
              <w:rPr>
                <w:rFonts w:ascii="StobiSerif Regular" w:hAnsi="StobiSerif Regular"/>
                <w:sz w:val="16"/>
                <w:szCs w:val="16"/>
                <w:lang w:val="en-US"/>
              </w:rPr>
            </w:pPr>
            <w:r w:rsidRPr="005448E5">
              <w:rPr>
                <w:rFonts w:ascii="StobiSerif Regular" w:hAnsi="StobiSerif Regular"/>
                <w:sz w:val="16"/>
                <w:szCs w:val="16"/>
                <w:lang w:val="en-US"/>
              </w:rPr>
              <w:t>20%</w:t>
            </w:r>
          </w:p>
        </w:tc>
        <w:tc>
          <w:tcPr>
            <w:tcW w:w="1391" w:type="dxa"/>
            <w:shd w:val="clear" w:color="000000" w:fill="FFFFFF"/>
            <w:vAlign w:val="center"/>
            <w:hideMark/>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1.653.205</w:t>
            </w:r>
          </w:p>
        </w:tc>
        <w:tc>
          <w:tcPr>
            <w:tcW w:w="1459"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1.427.495</w:t>
            </w:r>
          </w:p>
        </w:tc>
        <w:tc>
          <w:tcPr>
            <w:tcW w:w="981" w:type="dxa"/>
            <w:shd w:val="clear" w:color="000000" w:fill="FFFFFF"/>
          </w:tcPr>
          <w:p w:rsidR="004C34D7" w:rsidRPr="005448E5" w:rsidRDefault="004C34D7" w:rsidP="00913586">
            <w:pPr>
              <w:spacing w:after="0"/>
              <w:jc w:val="right"/>
              <w:rPr>
                <w:rFonts w:ascii="StobiSerif Regular" w:hAnsi="StobiSerif Regular"/>
                <w:sz w:val="16"/>
                <w:szCs w:val="16"/>
                <w:lang w:val="en-US"/>
              </w:rPr>
            </w:pPr>
            <w:r>
              <w:rPr>
                <w:rFonts w:ascii="StobiSerif Regular" w:hAnsi="StobiSerif Regular"/>
                <w:sz w:val="16"/>
                <w:szCs w:val="16"/>
                <w:lang w:val="en-US"/>
              </w:rPr>
              <w:t>946.558</w:t>
            </w:r>
          </w:p>
        </w:tc>
        <w:tc>
          <w:tcPr>
            <w:tcW w:w="992"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709.917</w:t>
            </w:r>
          </w:p>
        </w:tc>
        <w:tc>
          <w:tcPr>
            <w:tcW w:w="1210"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42.9</w:t>
            </w:r>
          </w:p>
        </w:tc>
      </w:tr>
      <w:tr w:rsidR="004C34D7" w:rsidRPr="005448E5" w:rsidTr="001F1EAF">
        <w:trPr>
          <w:trHeight w:val="357"/>
        </w:trPr>
        <w:tc>
          <w:tcPr>
            <w:tcW w:w="690" w:type="dxa"/>
            <w:shd w:val="clear" w:color="000000" w:fill="FFFFFF"/>
            <w:noWrap/>
            <w:vAlign w:val="center"/>
            <w:hideMark/>
          </w:tcPr>
          <w:p w:rsidR="004C34D7" w:rsidRPr="005448E5" w:rsidRDefault="004C34D7" w:rsidP="00784CD1">
            <w:pPr>
              <w:spacing w:after="0"/>
              <w:jc w:val="center"/>
              <w:rPr>
                <w:rFonts w:ascii="StobiSerif Regular" w:hAnsi="StobiSerif Regular"/>
                <w:b/>
                <w:sz w:val="16"/>
                <w:szCs w:val="16"/>
                <w:lang w:val="en-US"/>
              </w:rPr>
            </w:pPr>
            <w:r w:rsidRPr="005448E5">
              <w:rPr>
                <w:rFonts w:ascii="StobiSerif Regular" w:hAnsi="StobiSerif Regular"/>
                <w:b/>
                <w:sz w:val="16"/>
                <w:szCs w:val="16"/>
                <w:lang w:val="en-US"/>
              </w:rPr>
              <w:t>1012</w:t>
            </w:r>
          </w:p>
        </w:tc>
        <w:tc>
          <w:tcPr>
            <w:tcW w:w="1483" w:type="dxa"/>
            <w:shd w:val="clear" w:color="000000" w:fill="FFFFFF"/>
            <w:vAlign w:val="center"/>
            <w:hideMark/>
          </w:tcPr>
          <w:p w:rsidR="004C34D7" w:rsidRPr="004C34D7" w:rsidRDefault="004C34D7" w:rsidP="006278AA">
            <w:pPr>
              <w:spacing w:after="0"/>
              <w:jc w:val="center"/>
              <w:rPr>
                <w:rFonts w:ascii="StobiSerif Regular" w:hAnsi="StobiSerif Regular" w:cs="Arial"/>
                <w:bCs/>
                <w:sz w:val="18"/>
                <w:szCs w:val="18"/>
                <w:lang w:eastAsia="mk-MK"/>
              </w:rPr>
            </w:pPr>
            <w:r w:rsidRPr="004C34D7">
              <w:rPr>
                <w:rFonts w:ascii="StobiSerif Regular" w:hAnsi="StobiSerif Regular" w:cs="Arial"/>
                <w:bCs/>
                <w:sz w:val="18"/>
                <w:szCs w:val="18"/>
                <w:lang w:eastAsia="mk-MK"/>
              </w:rPr>
              <w:t xml:space="preserve">Овоштарство </w:t>
            </w:r>
          </w:p>
        </w:tc>
        <w:tc>
          <w:tcPr>
            <w:tcW w:w="1241" w:type="dxa"/>
            <w:shd w:val="clear" w:color="000000" w:fill="FFFFFF"/>
            <w:vAlign w:val="center"/>
            <w:hideMark/>
          </w:tcPr>
          <w:p w:rsidR="004C34D7" w:rsidRPr="005448E5" w:rsidRDefault="004C34D7" w:rsidP="009140F1">
            <w:pPr>
              <w:spacing w:after="0"/>
              <w:jc w:val="center"/>
              <w:rPr>
                <w:rFonts w:ascii="StobiSerif Regular" w:hAnsi="StobiSerif Regular"/>
                <w:sz w:val="16"/>
                <w:szCs w:val="16"/>
                <w:lang w:val="en-US"/>
              </w:rPr>
            </w:pPr>
            <w:r w:rsidRPr="005448E5">
              <w:rPr>
                <w:rFonts w:ascii="StobiSerif Regular" w:hAnsi="StobiSerif Regular"/>
                <w:sz w:val="16"/>
                <w:szCs w:val="16"/>
                <w:lang w:val="en-US"/>
              </w:rPr>
              <w:t>15%</w:t>
            </w:r>
          </w:p>
        </w:tc>
        <w:tc>
          <w:tcPr>
            <w:tcW w:w="1391" w:type="dxa"/>
            <w:shd w:val="clear" w:color="000000" w:fill="FFFFFF"/>
            <w:vAlign w:val="center"/>
            <w:hideMark/>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1.239.904</w:t>
            </w:r>
          </w:p>
        </w:tc>
        <w:tc>
          <w:tcPr>
            <w:tcW w:w="1459"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2.653.655</w:t>
            </w:r>
          </w:p>
        </w:tc>
        <w:tc>
          <w:tcPr>
            <w:tcW w:w="981" w:type="dxa"/>
            <w:shd w:val="clear" w:color="000000" w:fill="FFFFFF"/>
          </w:tcPr>
          <w:p w:rsidR="004C34D7" w:rsidRPr="005448E5" w:rsidRDefault="004C34D7" w:rsidP="00913586">
            <w:pPr>
              <w:spacing w:after="0"/>
              <w:jc w:val="right"/>
              <w:rPr>
                <w:rFonts w:ascii="StobiSerif Regular" w:hAnsi="StobiSerif Regular"/>
                <w:sz w:val="16"/>
                <w:szCs w:val="16"/>
                <w:lang w:val="en-US"/>
              </w:rPr>
            </w:pPr>
            <w:r>
              <w:rPr>
                <w:rFonts w:ascii="StobiSerif Regular" w:hAnsi="StobiSerif Regular"/>
                <w:sz w:val="16"/>
                <w:szCs w:val="16"/>
                <w:lang w:val="en-US"/>
              </w:rPr>
              <w:t>2.216.337</w:t>
            </w:r>
          </w:p>
        </w:tc>
        <w:tc>
          <w:tcPr>
            <w:tcW w:w="992"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1.662.419</w:t>
            </w:r>
          </w:p>
        </w:tc>
        <w:tc>
          <w:tcPr>
            <w:tcW w:w="1210"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134</w:t>
            </w:r>
          </w:p>
        </w:tc>
      </w:tr>
      <w:tr w:rsidR="004C34D7" w:rsidRPr="005448E5" w:rsidTr="001F1EAF">
        <w:trPr>
          <w:trHeight w:val="357"/>
        </w:trPr>
        <w:tc>
          <w:tcPr>
            <w:tcW w:w="690" w:type="dxa"/>
            <w:shd w:val="clear" w:color="000000" w:fill="FFFFFF"/>
            <w:noWrap/>
            <w:vAlign w:val="center"/>
            <w:hideMark/>
          </w:tcPr>
          <w:p w:rsidR="004C34D7" w:rsidRPr="005448E5" w:rsidRDefault="004C34D7" w:rsidP="00784CD1">
            <w:pPr>
              <w:spacing w:after="0"/>
              <w:jc w:val="center"/>
              <w:rPr>
                <w:rFonts w:ascii="StobiSerif Regular" w:hAnsi="StobiSerif Regular"/>
                <w:b/>
                <w:sz w:val="16"/>
                <w:szCs w:val="16"/>
                <w:lang w:val="en-US"/>
              </w:rPr>
            </w:pPr>
            <w:r w:rsidRPr="005448E5">
              <w:rPr>
                <w:rFonts w:ascii="StobiSerif Regular" w:hAnsi="StobiSerif Regular"/>
                <w:b/>
                <w:sz w:val="16"/>
                <w:szCs w:val="16"/>
                <w:lang w:val="en-US"/>
              </w:rPr>
              <w:t>1013</w:t>
            </w:r>
          </w:p>
        </w:tc>
        <w:tc>
          <w:tcPr>
            <w:tcW w:w="1483" w:type="dxa"/>
            <w:shd w:val="clear" w:color="000000" w:fill="FFFFFF"/>
            <w:vAlign w:val="center"/>
            <w:hideMark/>
          </w:tcPr>
          <w:p w:rsidR="004C34D7" w:rsidRPr="004C34D7" w:rsidRDefault="00D34877" w:rsidP="006278AA">
            <w:pPr>
              <w:spacing w:after="0"/>
              <w:jc w:val="center"/>
              <w:rPr>
                <w:rFonts w:ascii="StobiSerif Regular" w:hAnsi="StobiSerif Regular" w:cs="Arial"/>
                <w:bCs/>
                <w:sz w:val="18"/>
                <w:szCs w:val="18"/>
                <w:lang w:eastAsia="mk-MK"/>
              </w:rPr>
            </w:pPr>
            <w:r>
              <w:rPr>
                <w:rFonts w:ascii="StobiSerif Regular" w:hAnsi="StobiSerif Regular" w:cs="Arial"/>
                <w:bCs/>
                <w:sz w:val="18"/>
                <w:szCs w:val="18"/>
                <w:lang w:eastAsia="mk-MK"/>
              </w:rPr>
              <w:t>Г</w:t>
            </w:r>
            <w:r w:rsidR="004C34D7" w:rsidRPr="004C34D7">
              <w:rPr>
                <w:rFonts w:ascii="StobiSerif Regular" w:hAnsi="StobiSerif Regular" w:cs="Arial"/>
                <w:bCs/>
                <w:sz w:val="18"/>
                <w:szCs w:val="18"/>
                <w:lang w:eastAsia="mk-MK"/>
              </w:rPr>
              <w:t>радинарство</w:t>
            </w:r>
          </w:p>
        </w:tc>
        <w:tc>
          <w:tcPr>
            <w:tcW w:w="1241" w:type="dxa"/>
            <w:shd w:val="clear" w:color="000000" w:fill="FFFFFF"/>
            <w:vAlign w:val="center"/>
            <w:hideMark/>
          </w:tcPr>
          <w:p w:rsidR="004C34D7" w:rsidRPr="005448E5" w:rsidRDefault="004C34D7" w:rsidP="009140F1">
            <w:pPr>
              <w:spacing w:after="0"/>
              <w:jc w:val="center"/>
              <w:rPr>
                <w:rFonts w:ascii="StobiSerif Regular" w:hAnsi="StobiSerif Regular"/>
                <w:sz w:val="16"/>
                <w:szCs w:val="16"/>
                <w:lang w:val="en-US"/>
              </w:rPr>
            </w:pPr>
            <w:r w:rsidRPr="005448E5">
              <w:rPr>
                <w:rFonts w:ascii="StobiSerif Regular" w:hAnsi="StobiSerif Regular"/>
                <w:sz w:val="16"/>
                <w:szCs w:val="16"/>
                <w:lang w:val="en-US"/>
              </w:rPr>
              <w:t>16%</w:t>
            </w:r>
          </w:p>
        </w:tc>
        <w:tc>
          <w:tcPr>
            <w:tcW w:w="1391" w:type="dxa"/>
            <w:shd w:val="clear" w:color="000000" w:fill="FFFFFF"/>
            <w:vAlign w:val="center"/>
            <w:hideMark/>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1.322.564</w:t>
            </w:r>
          </w:p>
        </w:tc>
        <w:tc>
          <w:tcPr>
            <w:tcW w:w="1459"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4.114.472</w:t>
            </w:r>
          </w:p>
        </w:tc>
        <w:tc>
          <w:tcPr>
            <w:tcW w:w="981" w:type="dxa"/>
            <w:shd w:val="clear" w:color="000000" w:fill="FFFFFF"/>
          </w:tcPr>
          <w:p w:rsidR="004C34D7" w:rsidRPr="005448E5" w:rsidRDefault="004C34D7" w:rsidP="00913586">
            <w:pPr>
              <w:spacing w:after="0"/>
              <w:jc w:val="right"/>
              <w:rPr>
                <w:rFonts w:ascii="StobiSerif Regular" w:hAnsi="StobiSerif Regular"/>
                <w:sz w:val="16"/>
                <w:szCs w:val="16"/>
                <w:lang w:val="en-US"/>
              </w:rPr>
            </w:pPr>
            <w:r>
              <w:rPr>
                <w:rFonts w:ascii="StobiSerif Regular" w:hAnsi="StobiSerif Regular"/>
                <w:sz w:val="16"/>
                <w:szCs w:val="16"/>
                <w:lang w:val="en-US"/>
              </w:rPr>
              <w:t>2.088.024</w:t>
            </w:r>
          </w:p>
        </w:tc>
        <w:tc>
          <w:tcPr>
            <w:tcW w:w="992"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1.630.752</w:t>
            </w:r>
          </w:p>
        </w:tc>
        <w:tc>
          <w:tcPr>
            <w:tcW w:w="1210"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123.3</w:t>
            </w:r>
          </w:p>
        </w:tc>
      </w:tr>
      <w:tr w:rsidR="004C34D7" w:rsidRPr="005448E5" w:rsidTr="001F1EAF">
        <w:trPr>
          <w:trHeight w:val="357"/>
        </w:trPr>
        <w:tc>
          <w:tcPr>
            <w:tcW w:w="690" w:type="dxa"/>
            <w:shd w:val="clear" w:color="000000" w:fill="FFFFFF"/>
            <w:noWrap/>
            <w:vAlign w:val="center"/>
            <w:hideMark/>
          </w:tcPr>
          <w:p w:rsidR="004C34D7" w:rsidRPr="005448E5" w:rsidRDefault="004C34D7" w:rsidP="00784CD1">
            <w:pPr>
              <w:spacing w:after="0"/>
              <w:jc w:val="center"/>
              <w:rPr>
                <w:rFonts w:ascii="StobiSerif Regular" w:hAnsi="StobiSerif Regular"/>
                <w:b/>
                <w:sz w:val="16"/>
                <w:szCs w:val="16"/>
                <w:lang w:val="en-US"/>
              </w:rPr>
            </w:pPr>
            <w:r w:rsidRPr="005448E5">
              <w:rPr>
                <w:rFonts w:ascii="StobiSerif Regular" w:hAnsi="StobiSerif Regular"/>
                <w:b/>
                <w:sz w:val="16"/>
                <w:szCs w:val="16"/>
                <w:lang w:val="en-US"/>
              </w:rPr>
              <w:t>1014</w:t>
            </w:r>
          </w:p>
        </w:tc>
        <w:tc>
          <w:tcPr>
            <w:tcW w:w="1483" w:type="dxa"/>
            <w:shd w:val="clear" w:color="000000" w:fill="FFFFFF"/>
            <w:vAlign w:val="center"/>
            <w:hideMark/>
          </w:tcPr>
          <w:p w:rsidR="004C34D7" w:rsidRPr="004C34D7" w:rsidRDefault="004C34D7" w:rsidP="006278AA">
            <w:pPr>
              <w:spacing w:after="0"/>
              <w:jc w:val="center"/>
              <w:rPr>
                <w:rFonts w:ascii="StobiSerif Regular" w:hAnsi="StobiSerif Regular" w:cs="Arial"/>
                <w:bCs/>
                <w:sz w:val="18"/>
                <w:szCs w:val="18"/>
                <w:lang w:eastAsia="mk-MK"/>
              </w:rPr>
            </w:pPr>
            <w:r w:rsidRPr="004C34D7">
              <w:rPr>
                <w:rFonts w:ascii="StobiSerif Regular" w:hAnsi="StobiSerif Regular" w:cs="Arial"/>
                <w:bCs/>
                <w:sz w:val="18"/>
                <w:szCs w:val="18"/>
                <w:lang w:eastAsia="mk-MK"/>
              </w:rPr>
              <w:t xml:space="preserve">Млеко </w:t>
            </w:r>
          </w:p>
        </w:tc>
        <w:tc>
          <w:tcPr>
            <w:tcW w:w="1241" w:type="dxa"/>
            <w:shd w:val="clear" w:color="000000" w:fill="FFFFFF"/>
            <w:noWrap/>
            <w:vAlign w:val="center"/>
            <w:hideMark/>
          </w:tcPr>
          <w:p w:rsidR="004C34D7" w:rsidRPr="005448E5" w:rsidRDefault="004C34D7" w:rsidP="009140F1">
            <w:pPr>
              <w:spacing w:after="0"/>
              <w:jc w:val="center"/>
              <w:rPr>
                <w:rFonts w:ascii="StobiSerif Regular" w:hAnsi="StobiSerif Regular"/>
                <w:sz w:val="16"/>
                <w:szCs w:val="16"/>
                <w:lang w:val="en-US"/>
              </w:rPr>
            </w:pPr>
            <w:r w:rsidRPr="005448E5">
              <w:rPr>
                <w:rFonts w:ascii="StobiSerif Regular" w:hAnsi="StobiSerif Regular"/>
                <w:sz w:val="16"/>
                <w:szCs w:val="16"/>
                <w:lang w:val="en-US"/>
              </w:rPr>
              <w:t>22%</w:t>
            </w:r>
          </w:p>
        </w:tc>
        <w:tc>
          <w:tcPr>
            <w:tcW w:w="1391" w:type="dxa"/>
            <w:shd w:val="clear" w:color="000000" w:fill="FFFFFF"/>
            <w:vAlign w:val="center"/>
            <w:hideMark/>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1.818.525</w:t>
            </w:r>
          </w:p>
        </w:tc>
        <w:tc>
          <w:tcPr>
            <w:tcW w:w="1459"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742.989</w:t>
            </w:r>
          </w:p>
        </w:tc>
        <w:tc>
          <w:tcPr>
            <w:tcW w:w="981" w:type="dxa"/>
            <w:shd w:val="clear" w:color="000000" w:fill="FFFFFF"/>
          </w:tcPr>
          <w:p w:rsidR="004C34D7" w:rsidRPr="005448E5" w:rsidRDefault="004C34D7" w:rsidP="00913586">
            <w:pPr>
              <w:spacing w:after="0"/>
              <w:jc w:val="right"/>
              <w:rPr>
                <w:rFonts w:ascii="StobiSerif Regular" w:hAnsi="StobiSerif Regular"/>
                <w:sz w:val="16"/>
                <w:szCs w:val="16"/>
                <w:lang w:val="en-US"/>
              </w:rPr>
            </w:pPr>
            <w:r>
              <w:rPr>
                <w:rFonts w:ascii="StobiSerif Regular" w:hAnsi="StobiSerif Regular"/>
                <w:sz w:val="16"/>
                <w:szCs w:val="16"/>
                <w:lang w:val="en-US"/>
              </w:rPr>
              <w:t>451.833</w:t>
            </w:r>
          </w:p>
        </w:tc>
        <w:tc>
          <w:tcPr>
            <w:tcW w:w="992"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338.875</w:t>
            </w:r>
          </w:p>
        </w:tc>
        <w:tc>
          <w:tcPr>
            <w:tcW w:w="1210"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18.6</w:t>
            </w:r>
          </w:p>
        </w:tc>
      </w:tr>
      <w:tr w:rsidR="004C34D7" w:rsidRPr="005448E5" w:rsidTr="001F1EAF">
        <w:trPr>
          <w:trHeight w:val="357"/>
        </w:trPr>
        <w:tc>
          <w:tcPr>
            <w:tcW w:w="690" w:type="dxa"/>
            <w:shd w:val="clear" w:color="000000" w:fill="FFFFFF"/>
            <w:noWrap/>
            <w:vAlign w:val="center"/>
            <w:hideMark/>
          </w:tcPr>
          <w:p w:rsidR="004C34D7" w:rsidRPr="005448E5" w:rsidRDefault="004C34D7" w:rsidP="00784CD1">
            <w:pPr>
              <w:spacing w:after="0"/>
              <w:jc w:val="center"/>
              <w:rPr>
                <w:rFonts w:ascii="StobiSerif Regular" w:hAnsi="StobiSerif Regular"/>
                <w:b/>
                <w:sz w:val="16"/>
                <w:szCs w:val="16"/>
                <w:lang w:val="en-US"/>
              </w:rPr>
            </w:pPr>
            <w:r w:rsidRPr="005448E5">
              <w:rPr>
                <w:rFonts w:ascii="StobiSerif Regular" w:hAnsi="StobiSerif Regular"/>
                <w:b/>
                <w:sz w:val="16"/>
                <w:szCs w:val="16"/>
                <w:lang w:val="en-US"/>
              </w:rPr>
              <w:t>1015</w:t>
            </w:r>
          </w:p>
        </w:tc>
        <w:tc>
          <w:tcPr>
            <w:tcW w:w="1483" w:type="dxa"/>
            <w:shd w:val="clear" w:color="000000" w:fill="FFFFFF"/>
            <w:vAlign w:val="center"/>
            <w:hideMark/>
          </w:tcPr>
          <w:p w:rsidR="004C34D7" w:rsidRPr="004C34D7" w:rsidRDefault="004C34D7" w:rsidP="006278AA">
            <w:pPr>
              <w:spacing w:after="0"/>
              <w:jc w:val="center"/>
              <w:rPr>
                <w:rFonts w:ascii="StobiSerif Regular" w:hAnsi="StobiSerif Regular" w:cs="Arial"/>
                <w:bCs/>
                <w:sz w:val="18"/>
                <w:szCs w:val="18"/>
                <w:lang w:eastAsia="mk-MK"/>
              </w:rPr>
            </w:pPr>
            <w:r w:rsidRPr="004C34D7">
              <w:rPr>
                <w:rFonts w:ascii="StobiSerif Regular" w:hAnsi="StobiSerif Regular" w:cs="Arial"/>
                <w:bCs/>
                <w:sz w:val="18"/>
                <w:szCs w:val="18"/>
                <w:lang w:eastAsia="mk-MK"/>
              </w:rPr>
              <w:t xml:space="preserve">Месо </w:t>
            </w:r>
          </w:p>
        </w:tc>
        <w:tc>
          <w:tcPr>
            <w:tcW w:w="1241" w:type="dxa"/>
            <w:shd w:val="clear" w:color="000000" w:fill="FFFFFF"/>
            <w:noWrap/>
            <w:vAlign w:val="center"/>
            <w:hideMark/>
          </w:tcPr>
          <w:p w:rsidR="004C34D7" w:rsidRPr="005448E5" w:rsidRDefault="004C34D7" w:rsidP="009140F1">
            <w:pPr>
              <w:spacing w:after="0"/>
              <w:jc w:val="center"/>
              <w:rPr>
                <w:rFonts w:ascii="StobiSerif Regular" w:hAnsi="StobiSerif Regular"/>
                <w:sz w:val="16"/>
                <w:szCs w:val="16"/>
                <w:lang w:val="en-US"/>
              </w:rPr>
            </w:pPr>
            <w:r w:rsidRPr="005448E5">
              <w:rPr>
                <w:rFonts w:ascii="StobiSerif Regular" w:hAnsi="StobiSerif Regular"/>
                <w:sz w:val="16"/>
                <w:szCs w:val="16"/>
                <w:lang w:val="en-US"/>
              </w:rPr>
              <w:t>23%</w:t>
            </w:r>
          </w:p>
        </w:tc>
        <w:tc>
          <w:tcPr>
            <w:tcW w:w="1391" w:type="dxa"/>
            <w:shd w:val="clear" w:color="000000" w:fill="FFFFFF"/>
            <w:vAlign w:val="center"/>
            <w:hideMark/>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1.901.186</w:t>
            </w:r>
          </w:p>
        </w:tc>
        <w:tc>
          <w:tcPr>
            <w:tcW w:w="1459"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731.086</w:t>
            </w:r>
          </w:p>
        </w:tc>
        <w:tc>
          <w:tcPr>
            <w:tcW w:w="981" w:type="dxa"/>
            <w:shd w:val="clear" w:color="000000" w:fill="FFFFFF"/>
          </w:tcPr>
          <w:p w:rsidR="004C34D7" w:rsidRPr="005448E5" w:rsidRDefault="004C34D7" w:rsidP="00913586">
            <w:pPr>
              <w:spacing w:after="0"/>
              <w:jc w:val="right"/>
              <w:rPr>
                <w:rFonts w:ascii="StobiSerif Regular" w:hAnsi="StobiSerif Regular"/>
                <w:sz w:val="16"/>
                <w:szCs w:val="16"/>
                <w:lang w:val="en-US"/>
              </w:rPr>
            </w:pPr>
            <w:r>
              <w:rPr>
                <w:rFonts w:ascii="StobiSerif Regular" w:hAnsi="StobiSerif Regular"/>
                <w:sz w:val="16"/>
                <w:szCs w:val="16"/>
                <w:lang w:val="en-US"/>
              </w:rPr>
              <w:t>127.406</w:t>
            </w:r>
          </w:p>
        </w:tc>
        <w:tc>
          <w:tcPr>
            <w:tcW w:w="992"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95.555</w:t>
            </w:r>
          </w:p>
        </w:tc>
        <w:tc>
          <w:tcPr>
            <w:tcW w:w="1210"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5</w:t>
            </w:r>
          </w:p>
        </w:tc>
      </w:tr>
      <w:tr w:rsidR="004C34D7" w:rsidRPr="005448E5" w:rsidTr="001F1EAF">
        <w:trPr>
          <w:trHeight w:val="357"/>
        </w:trPr>
        <w:tc>
          <w:tcPr>
            <w:tcW w:w="690" w:type="dxa"/>
            <w:shd w:val="clear" w:color="000000" w:fill="FFFFFF"/>
            <w:noWrap/>
            <w:vAlign w:val="center"/>
            <w:hideMark/>
          </w:tcPr>
          <w:p w:rsidR="004C34D7" w:rsidRPr="005448E5" w:rsidRDefault="004C34D7" w:rsidP="00784CD1">
            <w:pPr>
              <w:spacing w:after="0"/>
              <w:jc w:val="center"/>
              <w:rPr>
                <w:rFonts w:ascii="StobiSerif Regular" w:hAnsi="StobiSerif Regular"/>
                <w:b/>
                <w:sz w:val="16"/>
                <w:szCs w:val="16"/>
                <w:lang w:val="en-US"/>
              </w:rPr>
            </w:pPr>
            <w:r w:rsidRPr="005448E5">
              <w:rPr>
                <w:rFonts w:ascii="StobiSerif Regular" w:hAnsi="StobiSerif Regular"/>
                <w:b/>
                <w:sz w:val="16"/>
                <w:szCs w:val="16"/>
                <w:lang w:val="en-US"/>
              </w:rPr>
              <w:t>1016</w:t>
            </w:r>
          </w:p>
        </w:tc>
        <w:tc>
          <w:tcPr>
            <w:tcW w:w="1483" w:type="dxa"/>
            <w:shd w:val="clear" w:color="000000" w:fill="FFFFFF"/>
            <w:vAlign w:val="center"/>
          </w:tcPr>
          <w:p w:rsidR="004C34D7" w:rsidRPr="004C34D7" w:rsidRDefault="004C34D7" w:rsidP="006278AA">
            <w:pPr>
              <w:spacing w:after="0"/>
              <w:jc w:val="center"/>
              <w:rPr>
                <w:rFonts w:ascii="StobiSerif Regular" w:hAnsi="StobiSerif Regular" w:cs="Arial"/>
                <w:bCs/>
                <w:sz w:val="18"/>
                <w:szCs w:val="18"/>
                <w:lang w:eastAsia="mk-MK"/>
              </w:rPr>
            </w:pPr>
            <w:r w:rsidRPr="004C34D7">
              <w:rPr>
                <w:rFonts w:ascii="StobiSerif Regular" w:hAnsi="StobiSerif Regular" w:cs="Arial"/>
                <w:bCs/>
                <w:sz w:val="18"/>
                <w:szCs w:val="18"/>
                <w:lang w:eastAsia="mk-MK"/>
              </w:rPr>
              <w:t xml:space="preserve">Житарици </w:t>
            </w:r>
          </w:p>
        </w:tc>
        <w:tc>
          <w:tcPr>
            <w:tcW w:w="1241" w:type="dxa"/>
            <w:shd w:val="clear" w:color="000000" w:fill="FFFFFF"/>
            <w:noWrap/>
            <w:vAlign w:val="center"/>
          </w:tcPr>
          <w:p w:rsidR="004C34D7" w:rsidRPr="005448E5" w:rsidRDefault="004C34D7" w:rsidP="009140F1">
            <w:pPr>
              <w:spacing w:after="0"/>
              <w:jc w:val="center"/>
              <w:rPr>
                <w:rFonts w:ascii="StobiSerif Regular" w:hAnsi="StobiSerif Regular"/>
                <w:sz w:val="16"/>
                <w:szCs w:val="16"/>
                <w:lang w:val="en-US"/>
              </w:rPr>
            </w:pPr>
            <w:r w:rsidRPr="005448E5">
              <w:rPr>
                <w:rFonts w:ascii="StobiSerif Regular" w:hAnsi="StobiSerif Regular"/>
                <w:sz w:val="16"/>
                <w:szCs w:val="16"/>
                <w:lang w:val="en-US"/>
              </w:rPr>
              <w:t>4%</w:t>
            </w:r>
          </w:p>
        </w:tc>
        <w:tc>
          <w:tcPr>
            <w:tcW w:w="1391" w:type="dxa"/>
            <w:shd w:val="clear" w:color="000000" w:fill="FFFFFF"/>
            <w:noWrap/>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330.641</w:t>
            </w:r>
          </w:p>
        </w:tc>
        <w:tc>
          <w:tcPr>
            <w:tcW w:w="1459" w:type="dxa"/>
            <w:shd w:val="clear" w:color="000000" w:fill="FFFFFF"/>
            <w:noWrap/>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0</w:t>
            </w:r>
          </w:p>
        </w:tc>
        <w:tc>
          <w:tcPr>
            <w:tcW w:w="981" w:type="dxa"/>
            <w:shd w:val="clear" w:color="000000" w:fill="FFFFFF"/>
          </w:tcPr>
          <w:p w:rsidR="004C34D7" w:rsidRPr="005448E5" w:rsidRDefault="004C34D7" w:rsidP="00913586">
            <w:pPr>
              <w:spacing w:after="0"/>
              <w:jc w:val="right"/>
              <w:rPr>
                <w:rFonts w:ascii="StobiSerif Regular" w:hAnsi="StobiSerif Regular"/>
                <w:sz w:val="16"/>
                <w:szCs w:val="16"/>
                <w:lang w:val="en-US"/>
              </w:rPr>
            </w:pPr>
            <w:r>
              <w:rPr>
                <w:rFonts w:ascii="StobiSerif Regular" w:hAnsi="StobiSerif Regular"/>
                <w:sz w:val="16"/>
                <w:szCs w:val="16"/>
                <w:lang w:val="en-US"/>
              </w:rPr>
              <w:t>0</w:t>
            </w:r>
          </w:p>
        </w:tc>
        <w:tc>
          <w:tcPr>
            <w:tcW w:w="992" w:type="dxa"/>
            <w:shd w:val="clear" w:color="000000" w:fill="FFFFFF"/>
            <w:noWrap/>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0</w:t>
            </w:r>
          </w:p>
        </w:tc>
        <w:tc>
          <w:tcPr>
            <w:tcW w:w="1210" w:type="dxa"/>
            <w:shd w:val="clear" w:color="000000" w:fill="FFFFFF"/>
            <w:vAlign w:val="center"/>
          </w:tcPr>
          <w:p w:rsidR="004C34D7" w:rsidRPr="005448E5" w:rsidRDefault="004C34D7" w:rsidP="00913586">
            <w:pPr>
              <w:spacing w:after="0"/>
              <w:jc w:val="right"/>
              <w:rPr>
                <w:rFonts w:ascii="StobiSerif Regular" w:hAnsi="StobiSerif Regular"/>
                <w:sz w:val="16"/>
                <w:szCs w:val="16"/>
                <w:lang w:val="en-US"/>
              </w:rPr>
            </w:pPr>
            <w:r w:rsidRPr="005448E5">
              <w:rPr>
                <w:rFonts w:ascii="StobiSerif Regular" w:hAnsi="StobiSerif Regular"/>
                <w:sz w:val="16"/>
                <w:szCs w:val="16"/>
                <w:lang w:val="en-US"/>
              </w:rPr>
              <w:t>0</w:t>
            </w:r>
          </w:p>
        </w:tc>
      </w:tr>
      <w:tr w:rsidR="001F1EAF" w:rsidRPr="005448E5" w:rsidTr="00173EFE">
        <w:trPr>
          <w:trHeight w:val="357"/>
        </w:trPr>
        <w:tc>
          <w:tcPr>
            <w:tcW w:w="690" w:type="dxa"/>
            <w:shd w:val="clear" w:color="000000" w:fill="FFFFFF"/>
            <w:noWrap/>
            <w:vAlign w:val="center"/>
          </w:tcPr>
          <w:p w:rsidR="001F1EAF" w:rsidRPr="005448E5" w:rsidRDefault="001F1EAF" w:rsidP="00784CD1">
            <w:pPr>
              <w:spacing w:after="0"/>
              <w:jc w:val="center"/>
              <w:rPr>
                <w:rFonts w:ascii="StobiSerif Regular" w:hAnsi="StobiSerif Regular"/>
                <w:sz w:val="16"/>
                <w:szCs w:val="16"/>
                <w:lang w:val="en-US"/>
              </w:rPr>
            </w:pPr>
          </w:p>
        </w:tc>
        <w:tc>
          <w:tcPr>
            <w:tcW w:w="1483" w:type="dxa"/>
            <w:shd w:val="clear" w:color="000000" w:fill="FFFFFF"/>
            <w:vAlign w:val="center"/>
          </w:tcPr>
          <w:p w:rsidR="001F1EAF" w:rsidRPr="005448E5" w:rsidRDefault="004C34D7" w:rsidP="00784CD1">
            <w:pPr>
              <w:spacing w:after="0"/>
              <w:jc w:val="center"/>
              <w:rPr>
                <w:rFonts w:ascii="StobiSerif Regular" w:hAnsi="StobiSerif Regular"/>
                <w:sz w:val="16"/>
                <w:szCs w:val="16"/>
                <w:lang w:val="en-US"/>
              </w:rPr>
            </w:pPr>
            <w:r w:rsidRPr="004C34D7">
              <w:rPr>
                <w:rFonts w:ascii="StobiSerif Regular" w:hAnsi="StobiSerif Regular"/>
                <w:sz w:val="16"/>
                <w:szCs w:val="16"/>
                <w:lang w:val="en-US"/>
              </w:rPr>
              <w:t>Вкупно</w:t>
            </w:r>
          </w:p>
        </w:tc>
        <w:tc>
          <w:tcPr>
            <w:tcW w:w="1241" w:type="dxa"/>
            <w:shd w:val="clear" w:color="000000" w:fill="FFFFFF"/>
            <w:noWrap/>
            <w:vAlign w:val="center"/>
          </w:tcPr>
          <w:p w:rsidR="001F1EAF" w:rsidRPr="005448E5" w:rsidRDefault="001F1EAF" w:rsidP="00173EFE">
            <w:pPr>
              <w:spacing w:after="0"/>
              <w:jc w:val="center"/>
              <w:rPr>
                <w:rFonts w:ascii="StobiSerif Regular" w:hAnsi="StobiSerif Regular"/>
                <w:sz w:val="16"/>
                <w:szCs w:val="16"/>
                <w:lang w:val="en-US"/>
              </w:rPr>
            </w:pPr>
            <w:r w:rsidRPr="005448E5">
              <w:rPr>
                <w:rFonts w:ascii="StobiSerif Regular" w:hAnsi="StobiSerif Regular"/>
                <w:sz w:val="16"/>
                <w:szCs w:val="16"/>
                <w:lang w:val="en-US"/>
              </w:rPr>
              <w:t>100%</w:t>
            </w:r>
          </w:p>
        </w:tc>
        <w:tc>
          <w:tcPr>
            <w:tcW w:w="1391" w:type="dxa"/>
            <w:shd w:val="clear" w:color="000000" w:fill="FFFFFF"/>
            <w:noWrap/>
            <w:vAlign w:val="center"/>
          </w:tcPr>
          <w:p w:rsidR="001F1EAF" w:rsidRPr="005448E5" w:rsidRDefault="001F1EAF" w:rsidP="00173EFE">
            <w:pPr>
              <w:spacing w:after="0"/>
              <w:jc w:val="center"/>
              <w:rPr>
                <w:rFonts w:ascii="StobiSerif Regular" w:hAnsi="StobiSerif Regular"/>
                <w:sz w:val="16"/>
                <w:szCs w:val="16"/>
                <w:lang w:val="en-US"/>
              </w:rPr>
            </w:pPr>
            <w:r w:rsidRPr="005448E5">
              <w:rPr>
                <w:rFonts w:ascii="StobiSerif Regular" w:hAnsi="StobiSerif Regular"/>
                <w:sz w:val="16"/>
                <w:szCs w:val="16"/>
                <w:lang w:val="en-US"/>
              </w:rPr>
              <w:t>8.266.025</w:t>
            </w:r>
          </w:p>
        </w:tc>
        <w:tc>
          <w:tcPr>
            <w:tcW w:w="1459" w:type="dxa"/>
            <w:shd w:val="clear" w:color="000000" w:fill="FFFFFF"/>
            <w:noWrap/>
            <w:vAlign w:val="center"/>
          </w:tcPr>
          <w:p w:rsidR="001F1EAF" w:rsidRPr="005448E5" w:rsidRDefault="001F1EAF" w:rsidP="00173EFE">
            <w:pPr>
              <w:spacing w:after="0"/>
              <w:jc w:val="center"/>
              <w:rPr>
                <w:rFonts w:ascii="StobiSerif Regular" w:hAnsi="StobiSerif Regular"/>
                <w:sz w:val="16"/>
                <w:szCs w:val="16"/>
                <w:lang w:val="en-US"/>
              </w:rPr>
            </w:pPr>
            <w:r w:rsidRPr="005448E5">
              <w:rPr>
                <w:rFonts w:ascii="StobiSerif Regular" w:hAnsi="StobiSerif Regular"/>
                <w:sz w:val="16"/>
                <w:szCs w:val="16"/>
                <w:lang w:val="en-US"/>
              </w:rPr>
              <w:t>9.669.697</w:t>
            </w:r>
          </w:p>
        </w:tc>
        <w:tc>
          <w:tcPr>
            <w:tcW w:w="981" w:type="dxa"/>
            <w:shd w:val="clear" w:color="000000" w:fill="FFFFFF"/>
            <w:vAlign w:val="center"/>
          </w:tcPr>
          <w:p w:rsidR="001F1EAF" w:rsidRPr="005448E5" w:rsidRDefault="00E21DCD" w:rsidP="00173EFE">
            <w:pPr>
              <w:spacing w:after="0"/>
              <w:jc w:val="center"/>
              <w:rPr>
                <w:rFonts w:ascii="StobiSerif Regular" w:hAnsi="StobiSerif Regular"/>
                <w:sz w:val="16"/>
                <w:szCs w:val="16"/>
                <w:lang w:val="en-US"/>
              </w:rPr>
            </w:pPr>
            <w:r>
              <w:rPr>
                <w:rFonts w:ascii="StobiSerif Regular" w:hAnsi="StobiSerif Regular"/>
                <w:sz w:val="16"/>
                <w:szCs w:val="16"/>
                <w:lang w:val="en-US"/>
              </w:rPr>
              <w:t>5.830.158</w:t>
            </w:r>
          </w:p>
        </w:tc>
        <w:tc>
          <w:tcPr>
            <w:tcW w:w="992" w:type="dxa"/>
            <w:shd w:val="clear" w:color="000000" w:fill="FFFFFF"/>
            <w:noWrap/>
            <w:vAlign w:val="center"/>
          </w:tcPr>
          <w:p w:rsidR="001F1EAF" w:rsidRPr="005448E5" w:rsidRDefault="001F1EAF" w:rsidP="00173EFE">
            <w:pPr>
              <w:spacing w:after="0"/>
              <w:jc w:val="center"/>
              <w:rPr>
                <w:rFonts w:ascii="StobiSerif Regular" w:hAnsi="StobiSerif Regular"/>
                <w:sz w:val="16"/>
                <w:szCs w:val="16"/>
                <w:lang w:val="en-US"/>
              </w:rPr>
            </w:pPr>
            <w:r w:rsidRPr="005448E5">
              <w:rPr>
                <w:rFonts w:ascii="StobiSerif Regular" w:hAnsi="StobiSerif Regular"/>
                <w:sz w:val="16"/>
                <w:szCs w:val="16"/>
                <w:lang w:val="en-US"/>
              </w:rPr>
              <w:t>4.437.518</w:t>
            </w:r>
          </w:p>
        </w:tc>
        <w:tc>
          <w:tcPr>
            <w:tcW w:w="1210" w:type="dxa"/>
            <w:shd w:val="clear" w:color="000000" w:fill="FFFFFF"/>
            <w:vAlign w:val="center"/>
          </w:tcPr>
          <w:p w:rsidR="001F1EAF" w:rsidRPr="005448E5" w:rsidRDefault="001F1EAF" w:rsidP="00173EFE">
            <w:pPr>
              <w:spacing w:after="0"/>
              <w:jc w:val="center"/>
              <w:rPr>
                <w:rFonts w:ascii="StobiSerif Regular" w:hAnsi="StobiSerif Regular"/>
                <w:sz w:val="16"/>
                <w:szCs w:val="16"/>
                <w:lang w:val="en-US"/>
              </w:rPr>
            </w:pPr>
            <w:r w:rsidRPr="005448E5">
              <w:rPr>
                <w:rFonts w:ascii="StobiSerif Regular" w:hAnsi="StobiSerif Regular"/>
                <w:sz w:val="16"/>
                <w:szCs w:val="16"/>
                <w:lang w:val="en-US"/>
              </w:rPr>
              <w:t>53.6</w:t>
            </w:r>
          </w:p>
        </w:tc>
      </w:tr>
    </w:tbl>
    <w:p w:rsidR="00784CD1" w:rsidRDefault="004C34D7" w:rsidP="00784CD1">
      <w:pPr>
        <w:spacing w:after="0"/>
        <w:jc w:val="both"/>
        <w:rPr>
          <w:rFonts w:ascii="StobiSerif Regular" w:hAnsi="StobiSerif Regular"/>
          <w:sz w:val="16"/>
          <w:szCs w:val="16"/>
          <w:lang w:val="en-US"/>
        </w:rPr>
      </w:pPr>
      <w:r w:rsidRPr="004C34D7">
        <w:rPr>
          <w:rFonts w:ascii="StobiSerif Regular" w:hAnsi="StobiSerif Regular"/>
          <w:sz w:val="16"/>
          <w:szCs w:val="16"/>
        </w:rPr>
        <w:t>Извор: Мониторинг систем  (2016)</w:t>
      </w:r>
    </w:p>
    <w:p w:rsidR="00510377" w:rsidRPr="00510377" w:rsidRDefault="00510377" w:rsidP="00510377">
      <w:pPr>
        <w:spacing w:after="0"/>
        <w:ind w:firstLine="284"/>
        <w:jc w:val="both"/>
        <w:rPr>
          <w:rFonts w:ascii="StobiSerif Regular" w:hAnsi="StobiSerif Regular"/>
          <w:lang w:val="en-US"/>
        </w:rPr>
      </w:pPr>
      <w:r w:rsidRPr="00510377">
        <w:rPr>
          <w:rFonts w:ascii="StobiSerif Regular" w:hAnsi="StobiSerif Regular"/>
          <w:lang w:val="en-US"/>
        </w:rPr>
        <w:t>С</w:t>
      </w:r>
      <w:r w:rsidR="00AC7494">
        <w:rPr>
          <w:rFonts w:ascii="StobiSerif Regular" w:hAnsi="StobiSerif Regular"/>
          <w:lang w:val="en-US"/>
        </w:rPr>
        <w:t>о оглед на тоа дека 141 договор</w:t>
      </w:r>
      <w:r w:rsidRPr="00510377">
        <w:rPr>
          <w:rFonts w:ascii="StobiSerif Regular" w:hAnsi="StobiSerif Regular"/>
          <w:lang w:val="en-US"/>
        </w:rPr>
        <w:t xml:space="preserve"> во износ од 1.625.300 евра </w:t>
      </w:r>
      <w:r w:rsidR="00AC7494" w:rsidRPr="00510377">
        <w:rPr>
          <w:rFonts w:ascii="StobiSerif Regular" w:hAnsi="StobiSerif Regular"/>
          <w:lang w:val="en-US"/>
        </w:rPr>
        <w:t xml:space="preserve">од договорените проекти </w:t>
      </w:r>
      <w:r w:rsidRPr="00510377">
        <w:rPr>
          <w:rFonts w:ascii="StobiSerif Regular" w:hAnsi="StobiSerif Regular"/>
          <w:lang w:val="en-US"/>
        </w:rPr>
        <w:t xml:space="preserve">беа </w:t>
      </w:r>
      <w:r>
        <w:rPr>
          <w:rFonts w:ascii="StobiSerif Regular" w:hAnsi="StobiSerif Regular"/>
        </w:rPr>
        <w:t>раскинати</w:t>
      </w:r>
      <w:r w:rsidRPr="00510377">
        <w:rPr>
          <w:rFonts w:ascii="StobiSerif Regular" w:hAnsi="StobiSerif Regular"/>
          <w:lang w:val="en-US"/>
        </w:rPr>
        <w:t xml:space="preserve">, сè уште се во тек 432 со износ од 3.606.789 евра </w:t>
      </w:r>
      <w:r w:rsidR="000B6634">
        <w:rPr>
          <w:rFonts w:ascii="StobiSerif Regular" w:hAnsi="StobiSerif Regular"/>
        </w:rPr>
        <w:t>кои</w:t>
      </w:r>
      <w:r w:rsidRPr="00510377">
        <w:rPr>
          <w:rFonts w:ascii="StobiSerif Regular" w:hAnsi="StobiSerif Regular"/>
          <w:lang w:val="en-US"/>
        </w:rPr>
        <w:t xml:space="preserve"> треба да се </w:t>
      </w:r>
      <w:r w:rsidR="000B6634">
        <w:rPr>
          <w:rFonts w:ascii="StobiSerif Regular" w:hAnsi="StobiSerif Regular"/>
        </w:rPr>
        <w:t>ис</w:t>
      </w:r>
      <w:r w:rsidRPr="00510377">
        <w:rPr>
          <w:rFonts w:ascii="StobiSerif Regular" w:hAnsi="StobiSerif Regular"/>
          <w:lang w:val="en-US"/>
        </w:rPr>
        <w:t>плат</w:t>
      </w:r>
      <w:r w:rsidR="000B6634">
        <w:rPr>
          <w:rFonts w:ascii="StobiSerif Regular" w:hAnsi="StobiSerif Regular"/>
        </w:rPr>
        <w:t>ат</w:t>
      </w:r>
      <w:r w:rsidRPr="00510377">
        <w:rPr>
          <w:rFonts w:ascii="StobiSerif Regular" w:hAnsi="StobiSerif Regular"/>
          <w:lang w:val="en-US"/>
        </w:rPr>
        <w:t xml:space="preserve"> до крајот на 2017 година.</w:t>
      </w:r>
    </w:p>
    <w:p w:rsidR="00510377" w:rsidRDefault="00510377" w:rsidP="00510377">
      <w:pPr>
        <w:spacing w:after="0"/>
        <w:ind w:firstLine="284"/>
        <w:jc w:val="both"/>
        <w:rPr>
          <w:rFonts w:ascii="StobiSerif Regular" w:hAnsi="StobiSerif Regular"/>
        </w:rPr>
      </w:pPr>
      <w:r w:rsidRPr="00510377">
        <w:rPr>
          <w:rFonts w:ascii="StobiSerif Regular" w:hAnsi="StobiSerif Regular"/>
          <w:lang w:val="en-US"/>
        </w:rPr>
        <w:t>Најмала реализација е во секторот за месо каде што се платени само 5% од планираните средства.</w:t>
      </w:r>
    </w:p>
    <w:p w:rsidR="00784CD1" w:rsidRPr="00263962" w:rsidRDefault="000B6634" w:rsidP="00784CD1">
      <w:pPr>
        <w:spacing w:before="120" w:after="120"/>
        <w:jc w:val="both"/>
        <w:rPr>
          <w:rFonts w:ascii="StobiSerif Regular" w:hAnsi="StobiSerif Regular"/>
          <w:b/>
          <w:u w:val="wave"/>
          <w:lang w:val="en-US"/>
        </w:rPr>
      </w:pPr>
      <w:r>
        <w:rPr>
          <w:rFonts w:ascii="StobiSerif Regular" w:hAnsi="StobiSerif Regular"/>
          <w:b/>
          <w:u w:val="wave"/>
        </w:rPr>
        <w:t>Мерка</w:t>
      </w:r>
      <w:r w:rsidR="00784CD1" w:rsidRPr="00263962">
        <w:rPr>
          <w:rFonts w:ascii="StobiSerif Regular" w:hAnsi="StobiSerif Regular"/>
          <w:b/>
          <w:u w:val="wave"/>
          <w:lang w:val="en-US"/>
        </w:rPr>
        <w:t xml:space="preserve"> 103</w:t>
      </w:r>
    </w:p>
    <w:p w:rsidR="00872186" w:rsidRDefault="00D34877" w:rsidP="00A60EA9">
      <w:pPr>
        <w:spacing w:before="120" w:after="120"/>
        <w:ind w:firstLine="284"/>
        <w:jc w:val="both"/>
        <w:rPr>
          <w:rFonts w:ascii="StobiSerif Regular" w:eastAsia="Times New Roman" w:hAnsi="StobiSerif Regular" w:cs="Times New Roman"/>
          <w:bCs/>
        </w:rPr>
      </w:pPr>
      <w:r w:rsidRPr="00D34877">
        <w:rPr>
          <w:rFonts w:ascii="StobiSerif Regular" w:hAnsi="StobiSerif Regular"/>
          <w:lang w:val="en-US"/>
        </w:rPr>
        <w:t xml:space="preserve">Просечната исплатена сума по проект во М103 е зголемена во споредба со минатата година (86.115 €) и </w:t>
      </w:r>
      <w:r w:rsidRPr="002C5926">
        <w:rPr>
          <w:rFonts w:ascii="StobiSerif Regular" w:hAnsi="StobiSerif Regular"/>
          <w:lang w:val="en-US"/>
        </w:rPr>
        <w:t>сега изнесува 116.926 €.</w:t>
      </w:r>
      <w:r w:rsidR="00872186">
        <w:rPr>
          <w:rFonts w:ascii="StobiSerif Regular" w:hAnsi="StobiSerif Regular"/>
        </w:rPr>
        <w:t xml:space="preserve"> </w:t>
      </w:r>
    </w:p>
    <w:p w:rsidR="00784CD1" w:rsidRPr="00A60EA9" w:rsidRDefault="00D34877" w:rsidP="00784CD1">
      <w:pPr>
        <w:spacing w:after="0"/>
        <w:rPr>
          <w:rFonts w:ascii="StobiSerif Regular" w:eastAsia="Times New Roman" w:hAnsi="StobiSerif Regular" w:cs="Times New Roman"/>
          <w:b/>
          <w:bCs/>
          <w:color w:val="002060"/>
        </w:rPr>
      </w:pPr>
      <w:bookmarkStart w:id="56" w:name="_Toc485394918"/>
      <w:r w:rsidRPr="00A60EA9">
        <w:rPr>
          <w:rFonts w:ascii="StobiSerif Regular" w:eastAsia="Times New Roman" w:hAnsi="StobiSerif Regular" w:cs="Times New Roman"/>
          <w:b/>
          <w:bCs/>
        </w:rPr>
        <w:t>Табела</w:t>
      </w:r>
      <w:r w:rsidR="00784CD1" w:rsidRPr="00A60EA9">
        <w:rPr>
          <w:rFonts w:ascii="StobiSerif Regular" w:eastAsia="Times New Roman" w:hAnsi="StobiSerif Regular" w:cs="Times New Roman"/>
          <w:b/>
          <w:bCs/>
          <w:lang w:val="en-US"/>
        </w:rPr>
        <w:t xml:space="preserve"> </w:t>
      </w:r>
      <w:r w:rsidR="00784CD1" w:rsidRPr="00A60EA9">
        <w:rPr>
          <w:rFonts w:ascii="StobiSerif Regular" w:eastAsia="Times New Roman" w:hAnsi="StobiSerif Regular" w:cs="Times New Roman"/>
          <w:b/>
          <w:bCs/>
          <w:lang w:val="en-US"/>
        </w:rPr>
        <w:fldChar w:fldCharType="begin"/>
      </w:r>
      <w:r w:rsidR="00784CD1" w:rsidRPr="00A60EA9">
        <w:rPr>
          <w:rFonts w:ascii="StobiSerif Regular" w:eastAsia="Times New Roman" w:hAnsi="StobiSerif Regular" w:cs="Times New Roman"/>
          <w:b/>
          <w:bCs/>
          <w:lang w:val="en-US"/>
        </w:rPr>
        <w:instrText xml:space="preserve"> SEQ Table \* ARABIC </w:instrText>
      </w:r>
      <w:r w:rsidR="00784CD1" w:rsidRPr="00A60EA9">
        <w:rPr>
          <w:rFonts w:ascii="StobiSerif Regular" w:eastAsia="Times New Roman" w:hAnsi="StobiSerif Regular" w:cs="Times New Roman"/>
          <w:b/>
          <w:bCs/>
          <w:lang w:val="en-US"/>
        </w:rPr>
        <w:fldChar w:fldCharType="separate"/>
      </w:r>
      <w:r w:rsidR="006C55E6" w:rsidRPr="00A60EA9">
        <w:rPr>
          <w:rFonts w:ascii="StobiSerif Regular" w:eastAsia="Times New Roman" w:hAnsi="StobiSerif Regular" w:cs="Times New Roman"/>
          <w:b/>
          <w:bCs/>
          <w:noProof/>
          <w:lang w:val="en-US"/>
        </w:rPr>
        <w:t>26</w:t>
      </w:r>
      <w:r w:rsidR="00784CD1" w:rsidRPr="00A60EA9">
        <w:rPr>
          <w:rFonts w:ascii="StobiSerif Regular" w:eastAsia="Times New Roman" w:hAnsi="StobiSerif Regular" w:cs="Times New Roman"/>
          <w:b/>
          <w:bCs/>
          <w:lang w:val="en-US"/>
        </w:rPr>
        <w:fldChar w:fldCharType="end"/>
      </w:r>
      <w:r w:rsidR="00784CD1" w:rsidRPr="00A60EA9">
        <w:rPr>
          <w:rFonts w:ascii="StobiSerif Regular" w:eastAsia="Times New Roman" w:hAnsi="StobiSerif Regular" w:cs="Times New Roman"/>
          <w:b/>
          <w:bCs/>
          <w:lang w:val="en-US"/>
        </w:rPr>
        <w:t xml:space="preserve">: </w:t>
      </w:r>
      <w:r w:rsidRPr="00A60EA9">
        <w:rPr>
          <w:rFonts w:ascii="StobiSerif Regular" w:hAnsi="StobiSerif Regular"/>
          <w:b/>
        </w:rPr>
        <w:t>Спроведување на финансиски цели во М103</w:t>
      </w:r>
      <w:bookmarkEnd w:id="56"/>
    </w:p>
    <w:tbl>
      <w:tblPr>
        <w:tblW w:w="978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9"/>
        <w:gridCol w:w="1701"/>
        <w:gridCol w:w="1418"/>
        <w:gridCol w:w="1174"/>
        <w:gridCol w:w="1377"/>
        <w:gridCol w:w="1134"/>
        <w:gridCol w:w="1134"/>
        <w:gridCol w:w="1134"/>
      </w:tblGrid>
      <w:tr w:rsidR="00D34877" w:rsidRPr="00CB0938" w:rsidTr="00D34877">
        <w:trPr>
          <w:trHeight w:val="724"/>
        </w:trPr>
        <w:tc>
          <w:tcPr>
            <w:tcW w:w="2410" w:type="dxa"/>
            <w:gridSpan w:val="2"/>
            <w:shd w:val="clear" w:color="000000" w:fill="FFFFFF"/>
            <w:hideMark/>
          </w:tcPr>
          <w:p w:rsidR="00D34877" w:rsidRPr="004C34D7" w:rsidRDefault="00D34877" w:rsidP="006278AA">
            <w:pPr>
              <w:spacing w:after="0"/>
              <w:rPr>
                <w:rFonts w:ascii="StobiSerif Regular" w:hAnsi="StobiSerif Regular"/>
                <w:sz w:val="16"/>
                <w:szCs w:val="16"/>
                <w:lang w:val="en-US"/>
              </w:rPr>
            </w:pPr>
            <w:r w:rsidRPr="004C34D7">
              <w:rPr>
                <w:rFonts w:ascii="StobiSerif Regular" w:hAnsi="StobiSerif Regular"/>
                <w:sz w:val="16"/>
                <w:szCs w:val="16"/>
                <w:lang w:val="en-US"/>
              </w:rPr>
              <w:t>Група на инвестиции</w:t>
            </w:r>
          </w:p>
        </w:tc>
        <w:tc>
          <w:tcPr>
            <w:tcW w:w="1418" w:type="dxa"/>
            <w:shd w:val="clear" w:color="000000" w:fill="FFFFFF"/>
            <w:hideMark/>
          </w:tcPr>
          <w:p w:rsidR="00D34877" w:rsidRPr="004C34D7" w:rsidRDefault="00D34877" w:rsidP="006278AA">
            <w:pPr>
              <w:spacing w:after="0"/>
              <w:rPr>
                <w:rFonts w:ascii="StobiSerif Regular" w:hAnsi="StobiSerif Regular"/>
                <w:sz w:val="16"/>
                <w:szCs w:val="16"/>
                <w:lang w:val="en-US"/>
              </w:rPr>
            </w:pPr>
            <w:r w:rsidRPr="004C34D7">
              <w:rPr>
                <w:rFonts w:ascii="StobiSerif Regular" w:hAnsi="StobiSerif Regular"/>
                <w:sz w:val="16"/>
                <w:szCs w:val="16"/>
                <w:lang w:val="en-US"/>
              </w:rPr>
              <w:t>Предвиден % по сектор</w:t>
            </w:r>
          </w:p>
        </w:tc>
        <w:tc>
          <w:tcPr>
            <w:tcW w:w="1174" w:type="dxa"/>
            <w:shd w:val="clear" w:color="000000" w:fill="FFFFFF"/>
            <w:hideMark/>
          </w:tcPr>
          <w:p w:rsidR="00D34877" w:rsidRPr="004C34D7" w:rsidRDefault="00D34877" w:rsidP="006278AA">
            <w:pPr>
              <w:spacing w:after="0"/>
              <w:rPr>
                <w:rFonts w:ascii="StobiSerif Regular" w:hAnsi="StobiSerif Regular"/>
                <w:sz w:val="16"/>
                <w:szCs w:val="16"/>
                <w:lang w:val="en-US"/>
              </w:rPr>
            </w:pPr>
            <w:r w:rsidRPr="004C34D7">
              <w:rPr>
                <w:rFonts w:ascii="StobiSerif Regular" w:hAnsi="StobiSerif Regular"/>
                <w:sz w:val="16"/>
                <w:szCs w:val="16"/>
                <w:lang w:val="en-US"/>
              </w:rPr>
              <w:t>Планирани ЕУ средства</w:t>
            </w:r>
          </w:p>
        </w:tc>
        <w:tc>
          <w:tcPr>
            <w:tcW w:w="1377" w:type="dxa"/>
            <w:shd w:val="clear" w:color="000000" w:fill="FFFFFF"/>
            <w:hideMark/>
          </w:tcPr>
          <w:p w:rsidR="00D34877" w:rsidRPr="00AC7494" w:rsidRDefault="00D34877" w:rsidP="006278AA">
            <w:pPr>
              <w:spacing w:after="0"/>
              <w:rPr>
                <w:rFonts w:ascii="StobiSerif Regular" w:hAnsi="StobiSerif Regular"/>
                <w:sz w:val="16"/>
                <w:szCs w:val="16"/>
              </w:rPr>
            </w:pPr>
            <w:r>
              <w:rPr>
                <w:rFonts w:ascii="StobiSerif Regular" w:hAnsi="StobiSerif Regular"/>
                <w:sz w:val="16"/>
                <w:szCs w:val="16"/>
              </w:rPr>
              <w:t>Склучени ЕУ средства</w:t>
            </w:r>
          </w:p>
        </w:tc>
        <w:tc>
          <w:tcPr>
            <w:tcW w:w="1134" w:type="dxa"/>
            <w:shd w:val="clear" w:color="000000" w:fill="FFFFFF"/>
          </w:tcPr>
          <w:p w:rsidR="00D34877" w:rsidRPr="00AC7494" w:rsidRDefault="00D34877" w:rsidP="006278AA">
            <w:pPr>
              <w:spacing w:after="0"/>
              <w:rPr>
                <w:rFonts w:ascii="StobiSerif Regular" w:hAnsi="StobiSerif Regular"/>
                <w:sz w:val="16"/>
                <w:szCs w:val="16"/>
              </w:rPr>
            </w:pPr>
            <w:r>
              <w:rPr>
                <w:rFonts w:ascii="StobiSerif Regular" w:hAnsi="StobiSerif Regular"/>
                <w:sz w:val="16"/>
                <w:szCs w:val="16"/>
              </w:rPr>
              <w:t>Вкупно јавни трошоци</w:t>
            </w:r>
          </w:p>
        </w:tc>
        <w:tc>
          <w:tcPr>
            <w:tcW w:w="1134" w:type="dxa"/>
            <w:shd w:val="clear" w:color="000000" w:fill="FFFFFF"/>
            <w:hideMark/>
          </w:tcPr>
          <w:p w:rsidR="00D34877" w:rsidRPr="00AC7494" w:rsidRDefault="00D34877" w:rsidP="006278AA">
            <w:pPr>
              <w:spacing w:after="0"/>
              <w:rPr>
                <w:rFonts w:ascii="StobiSerif Regular" w:hAnsi="StobiSerif Regular"/>
                <w:sz w:val="16"/>
                <w:szCs w:val="16"/>
              </w:rPr>
            </w:pPr>
            <w:r>
              <w:rPr>
                <w:rFonts w:ascii="StobiSerif Regular" w:hAnsi="StobiSerif Regular"/>
                <w:sz w:val="16"/>
                <w:szCs w:val="16"/>
              </w:rPr>
              <w:t>Исплатени ЕУ средства</w:t>
            </w:r>
          </w:p>
        </w:tc>
        <w:tc>
          <w:tcPr>
            <w:tcW w:w="1134" w:type="dxa"/>
            <w:shd w:val="clear" w:color="000000" w:fill="FFFFFF"/>
          </w:tcPr>
          <w:p w:rsidR="00D34877" w:rsidRPr="00AC7494" w:rsidRDefault="00D34877" w:rsidP="006278AA">
            <w:pPr>
              <w:spacing w:after="0"/>
              <w:rPr>
                <w:rFonts w:ascii="StobiSerif Regular" w:hAnsi="StobiSerif Regular"/>
                <w:sz w:val="16"/>
                <w:szCs w:val="16"/>
              </w:rPr>
            </w:pPr>
            <w:r>
              <w:rPr>
                <w:rFonts w:ascii="StobiSerif Regular" w:hAnsi="StobiSerif Regular"/>
                <w:sz w:val="16"/>
                <w:szCs w:val="16"/>
              </w:rPr>
              <w:t>% на имплементација</w:t>
            </w:r>
          </w:p>
        </w:tc>
      </w:tr>
      <w:tr w:rsidR="00CB0938" w:rsidRPr="00CB0938" w:rsidTr="00E21DCD">
        <w:trPr>
          <w:trHeight w:val="357"/>
        </w:trPr>
        <w:tc>
          <w:tcPr>
            <w:tcW w:w="709" w:type="dxa"/>
            <w:shd w:val="clear" w:color="000000" w:fill="FFFFFF"/>
            <w:noWrap/>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1031</w:t>
            </w:r>
          </w:p>
        </w:tc>
        <w:tc>
          <w:tcPr>
            <w:tcW w:w="1701" w:type="dxa"/>
            <w:shd w:val="clear" w:color="000000" w:fill="FFFFFF"/>
            <w:hideMark/>
          </w:tcPr>
          <w:p w:rsidR="00E21DCD" w:rsidRPr="00CB0938" w:rsidRDefault="00E014B5" w:rsidP="00A46154">
            <w:pPr>
              <w:spacing w:after="0"/>
              <w:rPr>
                <w:rFonts w:ascii="StobiSerif Regular" w:hAnsi="StobiSerif Regular" w:cs="Arial"/>
                <w:sz w:val="18"/>
                <w:szCs w:val="18"/>
              </w:rPr>
            </w:pPr>
            <w:r>
              <w:rPr>
                <w:rFonts w:ascii="StobiSerif Regular" w:hAnsi="StobiSerif Regular" w:cs="Arial"/>
                <w:sz w:val="18"/>
                <w:szCs w:val="18"/>
              </w:rPr>
              <w:t xml:space="preserve">Винарство </w:t>
            </w:r>
          </w:p>
        </w:tc>
        <w:tc>
          <w:tcPr>
            <w:tcW w:w="1418" w:type="dxa"/>
            <w:shd w:val="clear" w:color="000000" w:fill="FFFFFF"/>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3%</w:t>
            </w:r>
          </w:p>
        </w:tc>
        <w:tc>
          <w:tcPr>
            <w:tcW w:w="1174" w:type="dxa"/>
            <w:shd w:val="clear" w:color="000000" w:fill="FFFFFF"/>
            <w:hideMark/>
          </w:tcPr>
          <w:p w:rsidR="00E21DCD" w:rsidRPr="00CB0938" w:rsidRDefault="00872186" w:rsidP="00A46154">
            <w:pPr>
              <w:spacing w:after="0"/>
              <w:jc w:val="right"/>
              <w:rPr>
                <w:rFonts w:ascii="StobiSerif Regular" w:hAnsi="StobiSerif Regular" w:cs="Arial"/>
                <w:sz w:val="18"/>
                <w:szCs w:val="18"/>
              </w:rPr>
            </w:pPr>
            <w:r>
              <w:rPr>
                <w:rFonts w:ascii="StobiSerif Regular" w:hAnsi="StobiSerif Regular" w:cs="Arial"/>
                <w:sz w:val="18"/>
                <w:szCs w:val="18"/>
              </w:rPr>
              <w:t>193.</w:t>
            </w:r>
            <w:r w:rsidR="00E21DCD" w:rsidRPr="00CB0938">
              <w:rPr>
                <w:rFonts w:ascii="StobiSerif Regular" w:hAnsi="StobiSerif Regular" w:cs="Arial"/>
                <w:sz w:val="18"/>
                <w:szCs w:val="18"/>
              </w:rPr>
              <w:t>411</w:t>
            </w:r>
          </w:p>
        </w:tc>
        <w:tc>
          <w:tcPr>
            <w:tcW w:w="1377" w:type="dxa"/>
            <w:shd w:val="clear" w:color="000000" w:fill="FFFFFF"/>
          </w:tcPr>
          <w:p w:rsidR="00E21DCD" w:rsidRPr="00CB0938" w:rsidRDefault="00E21DCD" w:rsidP="00135D27">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683.312</w:t>
            </w:r>
          </w:p>
        </w:tc>
        <w:tc>
          <w:tcPr>
            <w:tcW w:w="1134" w:type="dxa"/>
            <w:shd w:val="clear" w:color="000000" w:fill="FFFFFF"/>
          </w:tcPr>
          <w:p w:rsidR="00E21DCD" w:rsidRPr="00CB0938" w:rsidRDefault="00CB0938"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699.307</w:t>
            </w:r>
          </w:p>
        </w:tc>
        <w:tc>
          <w:tcPr>
            <w:tcW w:w="1134" w:type="dxa"/>
            <w:shd w:val="clear" w:color="000000" w:fill="FFFFFF"/>
          </w:tcPr>
          <w:p w:rsidR="00E21DCD" w:rsidRPr="00CB0938" w:rsidRDefault="00E21DCD"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524,480</w:t>
            </w:r>
          </w:p>
        </w:tc>
        <w:tc>
          <w:tcPr>
            <w:tcW w:w="1134" w:type="dxa"/>
            <w:shd w:val="clear" w:color="000000" w:fill="FFFFFF"/>
          </w:tcPr>
          <w:p w:rsidR="00E21DCD" w:rsidRPr="00CB0938" w:rsidRDefault="00E21DCD" w:rsidP="00A46154">
            <w:pPr>
              <w:jc w:val="right"/>
              <w:rPr>
                <w:rFonts w:ascii="StobiSerif Regular" w:hAnsi="StobiSerif Regular"/>
                <w:sz w:val="18"/>
                <w:szCs w:val="18"/>
                <w:lang w:val="en-US"/>
              </w:rPr>
            </w:pPr>
            <w:r w:rsidRPr="00CB0938">
              <w:rPr>
                <w:rFonts w:ascii="StobiSerif Regular" w:hAnsi="StobiSerif Regular"/>
                <w:sz w:val="18"/>
                <w:szCs w:val="18"/>
                <w:lang w:val="en-US"/>
              </w:rPr>
              <w:t>271.1</w:t>
            </w:r>
          </w:p>
        </w:tc>
      </w:tr>
      <w:tr w:rsidR="00CB0938" w:rsidRPr="00CB0938" w:rsidTr="00E21DCD">
        <w:trPr>
          <w:trHeight w:val="357"/>
        </w:trPr>
        <w:tc>
          <w:tcPr>
            <w:tcW w:w="709" w:type="dxa"/>
            <w:shd w:val="clear" w:color="000000" w:fill="FFFFFF"/>
            <w:noWrap/>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1032</w:t>
            </w:r>
          </w:p>
        </w:tc>
        <w:tc>
          <w:tcPr>
            <w:tcW w:w="1701" w:type="dxa"/>
            <w:shd w:val="clear" w:color="000000" w:fill="FFFFFF"/>
            <w:hideMark/>
          </w:tcPr>
          <w:p w:rsidR="00E21DCD" w:rsidRPr="00CB0938" w:rsidRDefault="00E014B5" w:rsidP="00E014B5">
            <w:pPr>
              <w:spacing w:after="0"/>
              <w:rPr>
                <w:rFonts w:ascii="StobiSerif Regular" w:hAnsi="StobiSerif Regular" w:cs="Arial"/>
                <w:sz w:val="18"/>
                <w:szCs w:val="18"/>
              </w:rPr>
            </w:pPr>
            <w:r>
              <w:rPr>
                <w:rFonts w:ascii="StobiSerif Regular" w:hAnsi="StobiSerif Regular" w:cs="Arial"/>
                <w:sz w:val="18"/>
                <w:szCs w:val="18"/>
              </w:rPr>
              <w:t>Овошје /</w:t>
            </w:r>
            <w:r w:rsidRPr="00E014B5">
              <w:rPr>
                <w:rFonts w:ascii="StobiSerif Regular" w:hAnsi="StobiSerif Regular" w:cs="Arial"/>
                <w:sz w:val="18"/>
                <w:szCs w:val="18"/>
              </w:rPr>
              <w:t>зеленчук</w:t>
            </w:r>
          </w:p>
        </w:tc>
        <w:tc>
          <w:tcPr>
            <w:tcW w:w="1418" w:type="dxa"/>
            <w:shd w:val="clear" w:color="000000" w:fill="FFFFFF"/>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11%</w:t>
            </w:r>
          </w:p>
        </w:tc>
        <w:tc>
          <w:tcPr>
            <w:tcW w:w="1174" w:type="dxa"/>
            <w:shd w:val="clear" w:color="000000" w:fill="FFFFFF"/>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709,172</w:t>
            </w:r>
          </w:p>
        </w:tc>
        <w:tc>
          <w:tcPr>
            <w:tcW w:w="1377" w:type="dxa"/>
            <w:shd w:val="clear" w:color="000000" w:fill="FFFFFF"/>
          </w:tcPr>
          <w:p w:rsidR="00E21DCD" w:rsidRPr="00CB0938" w:rsidRDefault="00E21DCD"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5.530.075</w:t>
            </w:r>
          </w:p>
        </w:tc>
        <w:tc>
          <w:tcPr>
            <w:tcW w:w="1134" w:type="dxa"/>
            <w:shd w:val="clear" w:color="000000" w:fill="FFFFFF"/>
          </w:tcPr>
          <w:p w:rsidR="00E21DCD" w:rsidRPr="00CB0938" w:rsidRDefault="00CB0938" w:rsidP="00A46154">
            <w:pPr>
              <w:spacing w:after="0"/>
              <w:jc w:val="right"/>
              <w:rPr>
                <w:rFonts w:ascii="StobiSerif Regular" w:hAnsi="StobiSerif Regular" w:cs="Arial"/>
                <w:sz w:val="18"/>
                <w:szCs w:val="18"/>
                <w:lang w:val="en-US"/>
              </w:rPr>
            </w:pPr>
            <w:r>
              <w:rPr>
                <w:rFonts w:ascii="StobiSerif Regular" w:hAnsi="StobiSerif Regular" w:cs="Arial"/>
                <w:sz w:val="18"/>
                <w:szCs w:val="18"/>
                <w:lang w:val="en-US"/>
              </w:rPr>
              <w:t>2.778.232</w:t>
            </w:r>
          </w:p>
        </w:tc>
        <w:tc>
          <w:tcPr>
            <w:tcW w:w="1134" w:type="dxa"/>
            <w:shd w:val="clear" w:color="000000" w:fill="FFFFFF"/>
          </w:tcPr>
          <w:p w:rsidR="00E21DCD" w:rsidRPr="00CB0938" w:rsidRDefault="00E21DCD"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2.083.674</w:t>
            </w:r>
          </w:p>
        </w:tc>
        <w:tc>
          <w:tcPr>
            <w:tcW w:w="1134" w:type="dxa"/>
            <w:shd w:val="clear" w:color="000000" w:fill="FFFFFF"/>
          </w:tcPr>
          <w:p w:rsidR="00E21DCD" w:rsidRPr="00CB0938" w:rsidRDefault="00E21DCD" w:rsidP="00A46154">
            <w:pPr>
              <w:jc w:val="right"/>
              <w:rPr>
                <w:rFonts w:ascii="StobiSerif Regular" w:hAnsi="StobiSerif Regular"/>
                <w:sz w:val="18"/>
                <w:szCs w:val="18"/>
                <w:lang w:val="en-US"/>
              </w:rPr>
            </w:pPr>
            <w:r w:rsidRPr="00CB0938">
              <w:rPr>
                <w:rFonts w:ascii="StobiSerif Regular" w:hAnsi="StobiSerif Regular"/>
                <w:sz w:val="18"/>
                <w:szCs w:val="18"/>
                <w:lang w:val="en-US"/>
              </w:rPr>
              <w:t>293</w:t>
            </w:r>
          </w:p>
        </w:tc>
      </w:tr>
      <w:tr w:rsidR="00CB0938" w:rsidRPr="00CB0938" w:rsidTr="00E21DCD">
        <w:trPr>
          <w:trHeight w:val="357"/>
        </w:trPr>
        <w:tc>
          <w:tcPr>
            <w:tcW w:w="709" w:type="dxa"/>
            <w:shd w:val="clear" w:color="000000" w:fill="FFFFFF"/>
            <w:noWrap/>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1033</w:t>
            </w:r>
          </w:p>
        </w:tc>
        <w:tc>
          <w:tcPr>
            <w:tcW w:w="1701" w:type="dxa"/>
            <w:shd w:val="clear" w:color="000000" w:fill="FFFFFF"/>
            <w:hideMark/>
          </w:tcPr>
          <w:p w:rsidR="00E21DCD" w:rsidRPr="00CB0938" w:rsidRDefault="00E014B5" w:rsidP="00A46154">
            <w:pPr>
              <w:spacing w:after="0"/>
              <w:rPr>
                <w:rFonts w:ascii="StobiSerif Regular" w:hAnsi="StobiSerif Regular" w:cs="Arial"/>
                <w:sz w:val="18"/>
                <w:szCs w:val="18"/>
              </w:rPr>
            </w:pPr>
            <w:r>
              <w:rPr>
                <w:rFonts w:ascii="StobiSerif Regular" w:hAnsi="StobiSerif Regular" w:cs="Arial"/>
                <w:sz w:val="18"/>
                <w:szCs w:val="18"/>
              </w:rPr>
              <w:t>Млеко и млечни производи</w:t>
            </w:r>
          </w:p>
        </w:tc>
        <w:tc>
          <w:tcPr>
            <w:tcW w:w="1418" w:type="dxa"/>
            <w:shd w:val="clear" w:color="000000" w:fill="FFFFFF"/>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20%</w:t>
            </w:r>
          </w:p>
        </w:tc>
        <w:tc>
          <w:tcPr>
            <w:tcW w:w="1174" w:type="dxa"/>
            <w:shd w:val="clear" w:color="000000" w:fill="FFFFFF"/>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1,289,403</w:t>
            </w:r>
          </w:p>
        </w:tc>
        <w:tc>
          <w:tcPr>
            <w:tcW w:w="1377" w:type="dxa"/>
            <w:shd w:val="clear" w:color="000000" w:fill="FFFFFF"/>
          </w:tcPr>
          <w:p w:rsidR="00E21DCD" w:rsidRPr="00CB0938" w:rsidRDefault="00E21DCD"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533.173</w:t>
            </w:r>
          </w:p>
        </w:tc>
        <w:tc>
          <w:tcPr>
            <w:tcW w:w="1134" w:type="dxa"/>
            <w:shd w:val="clear" w:color="000000" w:fill="FFFFFF"/>
          </w:tcPr>
          <w:p w:rsidR="00E21DCD" w:rsidRPr="00CB0938" w:rsidRDefault="00CB0938" w:rsidP="00A46154">
            <w:pPr>
              <w:spacing w:after="0"/>
              <w:jc w:val="right"/>
              <w:rPr>
                <w:rFonts w:ascii="StobiSerif Regular" w:hAnsi="StobiSerif Regular" w:cs="Arial"/>
                <w:sz w:val="18"/>
                <w:szCs w:val="18"/>
                <w:lang w:val="en-US"/>
              </w:rPr>
            </w:pPr>
            <w:r>
              <w:rPr>
                <w:rFonts w:ascii="StobiSerif Regular" w:hAnsi="StobiSerif Regular" w:cs="Arial"/>
                <w:sz w:val="18"/>
                <w:szCs w:val="18"/>
                <w:lang w:val="en-US"/>
              </w:rPr>
              <w:t>506.229</w:t>
            </w:r>
          </w:p>
        </w:tc>
        <w:tc>
          <w:tcPr>
            <w:tcW w:w="1134" w:type="dxa"/>
            <w:shd w:val="clear" w:color="000000" w:fill="FFFFFF"/>
          </w:tcPr>
          <w:p w:rsidR="00E21DCD" w:rsidRPr="00CB0938" w:rsidRDefault="00E21DCD"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379.672</w:t>
            </w:r>
          </w:p>
        </w:tc>
        <w:tc>
          <w:tcPr>
            <w:tcW w:w="1134" w:type="dxa"/>
            <w:shd w:val="clear" w:color="000000" w:fill="FFFFFF"/>
          </w:tcPr>
          <w:p w:rsidR="00E21DCD" w:rsidRPr="00CB0938" w:rsidRDefault="00E21DCD" w:rsidP="00A46154">
            <w:pPr>
              <w:jc w:val="right"/>
              <w:rPr>
                <w:rFonts w:ascii="StobiSerif Regular" w:hAnsi="StobiSerif Regular"/>
                <w:sz w:val="18"/>
                <w:szCs w:val="18"/>
                <w:lang w:val="en-US"/>
              </w:rPr>
            </w:pPr>
            <w:r w:rsidRPr="00CB0938">
              <w:rPr>
                <w:rFonts w:ascii="StobiSerif Regular" w:hAnsi="StobiSerif Regular"/>
                <w:sz w:val="18"/>
                <w:szCs w:val="18"/>
                <w:lang w:val="en-US"/>
              </w:rPr>
              <w:t>29.4</w:t>
            </w:r>
          </w:p>
        </w:tc>
      </w:tr>
      <w:tr w:rsidR="00CB0938" w:rsidRPr="00CB0938" w:rsidTr="00E21DCD">
        <w:trPr>
          <w:trHeight w:val="357"/>
        </w:trPr>
        <w:tc>
          <w:tcPr>
            <w:tcW w:w="709" w:type="dxa"/>
            <w:shd w:val="clear" w:color="000000" w:fill="FFFFFF"/>
            <w:noWrap/>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1034</w:t>
            </w:r>
          </w:p>
        </w:tc>
        <w:tc>
          <w:tcPr>
            <w:tcW w:w="1701" w:type="dxa"/>
            <w:shd w:val="clear" w:color="000000" w:fill="FFFFFF"/>
            <w:hideMark/>
          </w:tcPr>
          <w:p w:rsidR="00E21DCD" w:rsidRPr="00CB0938" w:rsidRDefault="00E014B5" w:rsidP="00A46154">
            <w:pPr>
              <w:spacing w:after="0"/>
              <w:rPr>
                <w:rFonts w:ascii="StobiSerif Regular" w:hAnsi="StobiSerif Regular" w:cs="Arial"/>
                <w:sz w:val="18"/>
                <w:szCs w:val="18"/>
              </w:rPr>
            </w:pPr>
            <w:r>
              <w:rPr>
                <w:rFonts w:ascii="StobiSerif Regular" w:hAnsi="StobiSerif Regular" w:cs="Arial"/>
                <w:sz w:val="18"/>
                <w:szCs w:val="18"/>
              </w:rPr>
              <w:t>Месо и месни производи</w:t>
            </w:r>
          </w:p>
        </w:tc>
        <w:tc>
          <w:tcPr>
            <w:tcW w:w="1418" w:type="dxa"/>
            <w:shd w:val="clear" w:color="000000" w:fill="FFFFFF"/>
            <w:noWrap/>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50%</w:t>
            </w:r>
          </w:p>
        </w:tc>
        <w:tc>
          <w:tcPr>
            <w:tcW w:w="1174" w:type="dxa"/>
            <w:shd w:val="clear" w:color="000000" w:fill="FFFFFF"/>
            <w:hideMark/>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3,223,508</w:t>
            </w:r>
          </w:p>
        </w:tc>
        <w:tc>
          <w:tcPr>
            <w:tcW w:w="1377" w:type="dxa"/>
            <w:shd w:val="clear" w:color="000000" w:fill="FFFFFF"/>
          </w:tcPr>
          <w:p w:rsidR="00E21DCD" w:rsidRPr="00CB0938" w:rsidRDefault="00E21DCD"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754.040</w:t>
            </w:r>
          </w:p>
        </w:tc>
        <w:tc>
          <w:tcPr>
            <w:tcW w:w="1134" w:type="dxa"/>
            <w:shd w:val="clear" w:color="000000" w:fill="FFFFFF"/>
          </w:tcPr>
          <w:p w:rsidR="00E21DCD" w:rsidRPr="00CB0938" w:rsidRDefault="00CB0938" w:rsidP="00A46154">
            <w:pPr>
              <w:spacing w:after="0"/>
              <w:jc w:val="right"/>
              <w:rPr>
                <w:rFonts w:ascii="StobiSerif Regular" w:hAnsi="StobiSerif Regular" w:cs="Arial"/>
                <w:sz w:val="18"/>
                <w:szCs w:val="18"/>
                <w:lang w:val="en-US"/>
              </w:rPr>
            </w:pPr>
            <w:r>
              <w:rPr>
                <w:rFonts w:ascii="StobiSerif Regular" w:hAnsi="StobiSerif Regular" w:cs="Arial"/>
                <w:sz w:val="18"/>
                <w:szCs w:val="18"/>
                <w:lang w:val="en-US"/>
              </w:rPr>
              <w:t>342.505</w:t>
            </w:r>
          </w:p>
        </w:tc>
        <w:tc>
          <w:tcPr>
            <w:tcW w:w="1134" w:type="dxa"/>
            <w:shd w:val="clear" w:color="000000" w:fill="FFFFFF"/>
          </w:tcPr>
          <w:p w:rsidR="00E21DCD" w:rsidRPr="00CB0938" w:rsidRDefault="00E21DCD"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256.879</w:t>
            </w:r>
          </w:p>
        </w:tc>
        <w:tc>
          <w:tcPr>
            <w:tcW w:w="1134" w:type="dxa"/>
            <w:shd w:val="clear" w:color="000000" w:fill="FFFFFF"/>
          </w:tcPr>
          <w:p w:rsidR="00E21DCD" w:rsidRPr="00CB0938" w:rsidRDefault="00E21DCD" w:rsidP="00A46154">
            <w:pPr>
              <w:jc w:val="right"/>
              <w:rPr>
                <w:rFonts w:ascii="StobiSerif Regular" w:hAnsi="StobiSerif Regular"/>
                <w:sz w:val="18"/>
                <w:szCs w:val="18"/>
                <w:lang w:val="en-US"/>
              </w:rPr>
            </w:pPr>
            <w:r w:rsidRPr="00CB0938">
              <w:rPr>
                <w:rFonts w:ascii="StobiSerif Regular" w:hAnsi="StobiSerif Regular"/>
                <w:sz w:val="18"/>
                <w:szCs w:val="18"/>
                <w:lang w:val="en-US"/>
              </w:rPr>
              <w:t>7.9</w:t>
            </w:r>
          </w:p>
        </w:tc>
      </w:tr>
      <w:tr w:rsidR="00CB0938" w:rsidRPr="00CB0938" w:rsidTr="00E21DCD">
        <w:trPr>
          <w:trHeight w:val="357"/>
        </w:trPr>
        <w:tc>
          <w:tcPr>
            <w:tcW w:w="709" w:type="dxa"/>
            <w:shd w:val="clear" w:color="000000" w:fill="FFFFFF"/>
            <w:noWrap/>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1035</w:t>
            </w:r>
          </w:p>
        </w:tc>
        <w:tc>
          <w:tcPr>
            <w:tcW w:w="1701" w:type="dxa"/>
            <w:shd w:val="clear" w:color="000000" w:fill="FFFFFF"/>
          </w:tcPr>
          <w:p w:rsidR="00E21DCD" w:rsidRPr="00CB0938" w:rsidRDefault="00E014B5" w:rsidP="00E014B5">
            <w:pPr>
              <w:spacing w:after="0"/>
              <w:rPr>
                <w:rFonts w:ascii="StobiSerif Regular" w:hAnsi="StobiSerif Regular" w:cs="Arial"/>
                <w:sz w:val="18"/>
                <w:szCs w:val="18"/>
              </w:rPr>
            </w:pPr>
            <w:r w:rsidRPr="00E014B5">
              <w:rPr>
                <w:rFonts w:ascii="StobiSerif Regular" w:hAnsi="StobiSerif Regular" w:cs="Arial"/>
                <w:sz w:val="18"/>
                <w:szCs w:val="18"/>
              </w:rPr>
              <w:t>Мел</w:t>
            </w:r>
            <w:r>
              <w:rPr>
                <w:rFonts w:ascii="StobiSerif Regular" w:hAnsi="StobiSerif Regular" w:cs="Arial"/>
                <w:sz w:val="18"/>
                <w:szCs w:val="18"/>
              </w:rPr>
              <w:t>ничарство и</w:t>
            </w:r>
            <w:r w:rsidRPr="00E014B5">
              <w:rPr>
                <w:rFonts w:ascii="StobiSerif Regular" w:hAnsi="StobiSerif Regular" w:cs="Arial"/>
                <w:sz w:val="18"/>
                <w:szCs w:val="18"/>
              </w:rPr>
              <w:t xml:space="preserve"> производи од житни култури</w:t>
            </w:r>
          </w:p>
        </w:tc>
        <w:tc>
          <w:tcPr>
            <w:tcW w:w="1418" w:type="dxa"/>
            <w:shd w:val="clear" w:color="000000" w:fill="FFFFFF"/>
            <w:noWrap/>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16%</w:t>
            </w:r>
          </w:p>
        </w:tc>
        <w:tc>
          <w:tcPr>
            <w:tcW w:w="1174" w:type="dxa"/>
            <w:shd w:val="clear" w:color="000000" w:fill="FFFFFF"/>
          </w:tcPr>
          <w:p w:rsidR="00E21DCD" w:rsidRPr="00CB0938" w:rsidRDefault="00E21DCD" w:rsidP="00A46154">
            <w:pPr>
              <w:spacing w:after="0"/>
              <w:jc w:val="right"/>
              <w:rPr>
                <w:rFonts w:ascii="StobiSerif Regular" w:hAnsi="StobiSerif Regular" w:cs="Arial"/>
                <w:sz w:val="18"/>
                <w:szCs w:val="18"/>
              </w:rPr>
            </w:pPr>
            <w:r w:rsidRPr="00CB0938">
              <w:rPr>
                <w:rFonts w:ascii="StobiSerif Regular" w:hAnsi="StobiSerif Regular" w:cs="Arial"/>
                <w:sz w:val="18"/>
                <w:szCs w:val="18"/>
              </w:rPr>
              <w:t>1,031,523</w:t>
            </w:r>
          </w:p>
        </w:tc>
        <w:tc>
          <w:tcPr>
            <w:tcW w:w="1377" w:type="dxa"/>
            <w:shd w:val="clear" w:color="000000" w:fill="FFFFFF"/>
          </w:tcPr>
          <w:p w:rsidR="00E21DCD" w:rsidRPr="00CB0938" w:rsidRDefault="00E21DCD"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0</w:t>
            </w:r>
          </w:p>
        </w:tc>
        <w:tc>
          <w:tcPr>
            <w:tcW w:w="1134" w:type="dxa"/>
            <w:shd w:val="clear" w:color="000000" w:fill="FFFFFF"/>
          </w:tcPr>
          <w:p w:rsidR="00E21DCD" w:rsidRPr="00CB0938" w:rsidRDefault="00CB0938" w:rsidP="00A46154">
            <w:pPr>
              <w:spacing w:after="0"/>
              <w:jc w:val="right"/>
              <w:rPr>
                <w:rFonts w:ascii="StobiSerif Regular" w:hAnsi="StobiSerif Regular" w:cs="Arial"/>
                <w:sz w:val="18"/>
                <w:szCs w:val="18"/>
                <w:lang w:val="en-US"/>
              </w:rPr>
            </w:pPr>
            <w:r>
              <w:rPr>
                <w:rFonts w:ascii="StobiSerif Regular" w:hAnsi="StobiSerif Regular" w:cs="Arial"/>
                <w:sz w:val="18"/>
                <w:szCs w:val="18"/>
                <w:lang w:val="en-US"/>
              </w:rPr>
              <w:t>0</w:t>
            </w:r>
          </w:p>
        </w:tc>
        <w:tc>
          <w:tcPr>
            <w:tcW w:w="1134" w:type="dxa"/>
            <w:shd w:val="clear" w:color="000000" w:fill="FFFFFF"/>
          </w:tcPr>
          <w:p w:rsidR="00E21DCD" w:rsidRPr="00CB0938" w:rsidRDefault="00E21DCD" w:rsidP="00A46154">
            <w:pPr>
              <w:spacing w:after="0"/>
              <w:jc w:val="right"/>
              <w:rPr>
                <w:rFonts w:ascii="StobiSerif Regular" w:hAnsi="StobiSerif Regular" w:cs="Arial"/>
                <w:sz w:val="18"/>
                <w:szCs w:val="18"/>
                <w:lang w:val="en-US"/>
              </w:rPr>
            </w:pPr>
            <w:r w:rsidRPr="00CB0938">
              <w:rPr>
                <w:rFonts w:ascii="StobiSerif Regular" w:hAnsi="StobiSerif Regular" w:cs="Arial"/>
                <w:sz w:val="18"/>
                <w:szCs w:val="18"/>
                <w:lang w:val="en-US"/>
              </w:rPr>
              <w:t>0</w:t>
            </w:r>
          </w:p>
        </w:tc>
        <w:tc>
          <w:tcPr>
            <w:tcW w:w="1134" w:type="dxa"/>
            <w:shd w:val="clear" w:color="000000" w:fill="FFFFFF"/>
          </w:tcPr>
          <w:p w:rsidR="00E21DCD" w:rsidRPr="00CB0938" w:rsidRDefault="00E21DCD" w:rsidP="00A46154">
            <w:pPr>
              <w:jc w:val="right"/>
              <w:rPr>
                <w:rFonts w:ascii="StobiSerif Regular" w:hAnsi="StobiSerif Regular"/>
                <w:sz w:val="18"/>
                <w:szCs w:val="18"/>
                <w:lang w:val="en-US"/>
              </w:rPr>
            </w:pPr>
            <w:r w:rsidRPr="00CB0938">
              <w:rPr>
                <w:rFonts w:ascii="StobiSerif Regular" w:hAnsi="StobiSerif Regular"/>
                <w:sz w:val="18"/>
                <w:szCs w:val="18"/>
                <w:lang w:val="en-US"/>
              </w:rPr>
              <w:t>0</w:t>
            </w:r>
          </w:p>
        </w:tc>
      </w:tr>
      <w:tr w:rsidR="00CB0938" w:rsidRPr="00CB0938" w:rsidTr="00E21DCD">
        <w:trPr>
          <w:trHeight w:val="201"/>
        </w:trPr>
        <w:tc>
          <w:tcPr>
            <w:tcW w:w="709" w:type="dxa"/>
            <w:shd w:val="clear" w:color="000000" w:fill="FFFFFF"/>
            <w:noWrap/>
            <w:hideMark/>
          </w:tcPr>
          <w:p w:rsidR="00E21DCD" w:rsidRPr="00CB0938" w:rsidRDefault="00E21DCD" w:rsidP="00A46154">
            <w:pPr>
              <w:spacing w:after="0"/>
              <w:jc w:val="right"/>
              <w:rPr>
                <w:rFonts w:ascii="StobiSerif Regular" w:hAnsi="StobiSerif Regular" w:cs="Arial"/>
                <w:sz w:val="18"/>
                <w:szCs w:val="18"/>
              </w:rPr>
            </w:pPr>
          </w:p>
        </w:tc>
        <w:tc>
          <w:tcPr>
            <w:tcW w:w="1701" w:type="dxa"/>
            <w:shd w:val="clear" w:color="000000" w:fill="FFFFFF"/>
            <w:hideMark/>
          </w:tcPr>
          <w:p w:rsidR="00E21DCD" w:rsidRPr="00CB0938" w:rsidRDefault="00E014B5" w:rsidP="00A46154">
            <w:pPr>
              <w:spacing w:after="0"/>
              <w:rPr>
                <w:rFonts w:ascii="StobiSerif Regular" w:hAnsi="StobiSerif Regular" w:cs="Arial"/>
                <w:b/>
                <w:sz w:val="18"/>
                <w:szCs w:val="18"/>
              </w:rPr>
            </w:pPr>
            <w:r>
              <w:rPr>
                <w:rFonts w:ascii="StobiSerif Regular" w:hAnsi="StobiSerif Regular" w:cs="Arial"/>
                <w:b/>
                <w:sz w:val="18"/>
                <w:szCs w:val="18"/>
              </w:rPr>
              <w:t xml:space="preserve">Вкупно </w:t>
            </w:r>
          </w:p>
        </w:tc>
        <w:tc>
          <w:tcPr>
            <w:tcW w:w="1418" w:type="dxa"/>
            <w:shd w:val="clear" w:color="000000" w:fill="FFFFFF"/>
            <w:noWrap/>
            <w:hideMark/>
          </w:tcPr>
          <w:p w:rsidR="00E21DCD" w:rsidRPr="00CB0938" w:rsidRDefault="00E21DCD" w:rsidP="00A46154">
            <w:pPr>
              <w:spacing w:after="0"/>
              <w:jc w:val="right"/>
              <w:rPr>
                <w:rFonts w:ascii="StobiSerif Regular" w:hAnsi="StobiSerif Regular" w:cs="Arial"/>
                <w:b/>
                <w:sz w:val="18"/>
                <w:szCs w:val="18"/>
              </w:rPr>
            </w:pPr>
            <w:r w:rsidRPr="00CB0938">
              <w:rPr>
                <w:rFonts w:ascii="StobiSerif Regular" w:hAnsi="StobiSerif Regular" w:cs="Arial"/>
                <w:b/>
                <w:sz w:val="18"/>
                <w:szCs w:val="18"/>
              </w:rPr>
              <w:t>100%</w:t>
            </w:r>
          </w:p>
        </w:tc>
        <w:tc>
          <w:tcPr>
            <w:tcW w:w="1174" w:type="dxa"/>
            <w:shd w:val="clear" w:color="000000" w:fill="FFFFFF"/>
            <w:noWrap/>
            <w:hideMark/>
          </w:tcPr>
          <w:p w:rsidR="00E21DCD" w:rsidRPr="00CB0938" w:rsidRDefault="00E21DCD" w:rsidP="00A46154">
            <w:pPr>
              <w:spacing w:after="0"/>
              <w:jc w:val="right"/>
              <w:rPr>
                <w:rFonts w:ascii="StobiSerif Regular" w:hAnsi="StobiSerif Regular" w:cs="Arial"/>
                <w:b/>
                <w:sz w:val="18"/>
                <w:szCs w:val="18"/>
              </w:rPr>
            </w:pPr>
            <w:r w:rsidRPr="00CB0938">
              <w:rPr>
                <w:rFonts w:ascii="StobiSerif Regular" w:hAnsi="StobiSerif Regular" w:cs="Arial"/>
                <w:b/>
                <w:sz w:val="18"/>
                <w:szCs w:val="18"/>
              </w:rPr>
              <w:t>6,447,017</w:t>
            </w:r>
          </w:p>
        </w:tc>
        <w:tc>
          <w:tcPr>
            <w:tcW w:w="1377" w:type="dxa"/>
            <w:shd w:val="clear" w:color="000000" w:fill="FFFFFF"/>
            <w:noWrap/>
          </w:tcPr>
          <w:p w:rsidR="00E21DCD" w:rsidRPr="00CB0938" w:rsidRDefault="00E21DCD" w:rsidP="00A46154">
            <w:pPr>
              <w:spacing w:after="0"/>
              <w:jc w:val="right"/>
              <w:rPr>
                <w:rFonts w:ascii="StobiSerif Regular" w:hAnsi="StobiSerif Regular" w:cs="Arial"/>
                <w:b/>
                <w:bCs/>
                <w:sz w:val="18"/>
                <w:szCs w:val="18"/>
                <w:lang w:val="en-US"/>
              </w:rPr>
            </w:pPr>
            <w:r w:rsidRPr="00CB0938">
              <w:rPr>
                <w:rFonts w:ascii="StobiSerif Regular" w:hAnsi="StobiSerif Regular" w:cs="Arial"/>
                <w:b/>
                <w:bCs/>
                <w:sz w:val="18"/>
                <w:szCs w:val="18"/>
                <w:lang w:val="en-US"/>
              </w:rPr>
              <w:t>7.500.600</w:t>
            </w:r>
          </w:p>
        </w:tc>
        <w:tc>
          <w:tcPr>
            <w:tcW w:w="1134" w:type="dxa"/>
            <w:shd w:val="clear" w:color="000000" w:fill="FFFFFF"/>
          </w:tcPr>
          <w:p w:rsidR="00E21DCD" w:rsidRPr="00CB0938" w:rsidRDefault="00D32565" w:rsidP="00A46154">
            <w:pPr>
              <w:spacing w:after="0"/>
              <w:jc w:val="right"/>
              <w:rPr>
                <w:rFonts w:ascii="StobiSerif Regular" w:hAnsi="StobiSerif Regular" w:cs="Arial"/>
                <w:b/>
                <w:bCs/>
                <w:sz w:val="18"/>
                <w:szCs w:val="18"/>
                <w:lang w:val="en-US"/>
              </w:rPr>
            </w:pPr>
            <w:r>
              <w:rPr>
                <w:rFonts w:ascii="StobiSerif Regular" w:hAnsi="StobiSerif Regular" w:cs="Arial"/>
                <w:b/>
                <w:bCs/>
                <w:sz w:val="18"/>
                <w:szCs w:val="18"/>
                <w:lang w:val="en-US"/>
              </w:rPr>
              <w:t>4.326.273</w:t>
            </w:r>
          </w:p>
        </w:tc>
        <w:tc>
          <w:tcPr>
            <w:tcW w:w="1134" w:type="dxa"/>
            <w:shd w:val="clear" w:color="000000" w:fill="FFFFFF"/>
            <w:noWrap/>
          </w:tcPr>
          <w:p w:rsidR="00E21DCD" w:rsidRPr="00CB0938" w:rsidRDefault="00E21DCD" w:rsidP="00A46154">
            <w:pPr>
              <w:spacing w:after="0"/>
              <w:jc w:val="right"/>
              <w:rPr>
                <w:rFonts w:ascii="StobiSerif Regular" w:hAnsi="StobiSerif Regular" w:cs="Arial"/>
                <w:b/>
                <w:bCs/>
                <w:sz w:val="18"/>
                <w:szCs w:val="18"/>
                <w:lang w:val="en-US"/>
              </w:rPr>
            </w:pPr>
            <w:r w:rsidRPr="00CB0938">
              <w:rPr>
                <w:rFonts w:ascii="StobiSerif Regular" w:hAnsi="StobiSerif Regular" w:cs="Arial"/>
                <w:b/>
                <w:bCs/>
                <w:sz w:val="18"/>
                <w:szCs w:val="18"/>
                <w:lang w:val="en-US"/>
              </w:rPr>
              <w:t>3,244,705</w:t>
            </w:r>
          </w:p>
        </w:tc>
        <w:tc>
          <w:tcPr>
            <w:tcW w:w="1134" w:type="dxa"/>
            <w:shd w:val="clear" w:color="000000" w:fill="FFFFFF"/>
          </w:tcPr>
          <w:p w:rsidR="00E21DCD" w:rsidRPr="00CB0938" w:rsidRDefault="00E21DCD" w:rsidP="00135D27">
            <w:pPr>
              <w:spacing w:after="0"/>
              <w:jc w:val="right"/>
              <w:rPr>
                <w:rFonts w:ascii="StobiSerif Regular" w:hAnsi="StobiSerif Regular" w:cs="Arial"/>
                <w:b/>
                <w:bCs/>
                <w:sz w:val="18"/>
                <w:szCs w:val="18"/>
                <w:lang w:val="en-US"/>
              </w:rPr>
            </w:pPr>
            <w:r w:rsidRPr="00CB0938">
              <w:rPr>
                <w:rFonts w:ascii="StobiSerif Regular" w:hAnsi="StobiSerif Regular" w:cs="Arial"/>
                <w:b/>
                <w:bCs/>
                <w:sz w:val="18"/>
                <w:szCs w:val="18"/>
                <w:lang w:val="en-US"/>
              </w:rPr>
              <w:t>50.3</w:t>
            </w:r>
          </w:p>
        </w:tc>
      </w:tr>
    </w:tbl>
    <w:p w:rsidR="00784CD1" w:rsidRPr="00784CD1" w:rsidRDefault="00E014B5" w:rsidP="00784CD1">
      <w:pPr>
        <w:tabs>
          <w:tab w:val="left" w:pos="720"/>
        </w:tabs>
        <w:spacing w:after="120" w:line="240" w:lineRule="auto"/>
        <w:jc w:val="both"/>
        <w:rPr>
          <w:rFonts w:ascii="StobiSerif Regular" w:hAnsi="StobiSerif Regular"/>
          <w:sz w:val="16"/>
          <w:szCs w:val="16"/>
          <w:lang w:val="en-US"/>
        </w:rPr>
      </w:pPr>
      <w:r>
        <w:rPr>
          <w:rFonts w:ascii="StobiSerif Regular" w:hAnsi="StobiSerif Regular"/>
          <w:sz w:val="16"/>
          <w:szCs w:val="16"/>
        </w:rPr>
        <w:t>Извор: Мониторинг систем  (2016)</w:t>
      </w:r>
    </w:p>
    <w:p w:rsidR="007A76C5" w:rsidRPr="00BF04B4" w:rsidRDefault="00B90AC2" w:rsidP="00872186">
      <w:pPr>
        <w:tabs>
          <w:tab w:val="left" w:pos="720"/>
        </w:tabs>
        <w:spacing w:after="120" w:line="240" w:lineRule="auto"/>
        <w:jc w:val="both"/>
        <w:rPr>
          <w:rFonts w:ascii="StobiSerif Regular" w:hAnsi="StobiSerif Regular"/>
          <w:lang w:val="en-US"/>
        </w:rPr>
      </w:pPr>
      <w:r w:rsidRPr="00B90AC2">
        <w:rPr>
          <w:rFonts w:ascii="StobiSerif Regular" w:hAnsi="StobiSerif Regular"/>
          <w:lang w:val="en-US"/>
        </w:rPr>
        <w:t>И покрај незадоволителните резултати во другите сектори, во рамките на мерката, во споредба со претходната година, забележливи се некои подобрувања. Додека процентот на остварување во претходната година изнесуваше 15,1%, оваа година е 50,3%</w:t>
      </w:r>
      <w:r w:rsidR="00BF04B4">
        <w:rPr>
          <w:rFonts w:ascii="StobiSerif Regular" w:hAnsi="StobiSerif Regular"/>
          <w:lang w:val="en-US"/>
        </w:rPr>
        <w:t>.</w:t>
      </w:r>
    </w:p>
    <w:p w:rsidR="00784CD1" w:rsidRPr="00263962" w:rsidRDefault="00B90AC2" w:rsidP="00784CD1">
      <w:pPr>
        <w:autoSpaceDE w:val="0"/>
        <w:autoSpaceDN w:val="0"/>
        <w:adjustRightInd w:val="0"/>
        <w:spacing w:before="120" w:after="120" w:line="240" w:lineRule="auto"/>
        <w:jc w:val="both"/>
        <w:rPr>
          <w:rFonts w:ascii="StobiSerif Regular" w:hAnsi="StobiSerif Regular"/>
          <w:b/>
          <w:u w:val="wave"/>
          <w:lang w:val="en-US"/>
        </w:rPr>
      </w:pPr>
      <w:r>
        <w:rPr>
          <w:rFonts w:ascii="StobiSerif Regular" w:hAnsi="StobiSerif Regular"/>
          <w:b/>
          <w:u w:val="wave"/>
        </w:rPr>
        <w:t>Мерка</w:t>
      </w:r>
      <w:r w:rsidR="00784CD1" w:rsidRPr="00263962">
        <w:rPr>
          <w:rFonts w:ascii="StobiSerif Regular" w:hAnsi="StobiSerif Regular"/>
          <w:b/>
          <w:u w:val="wave"/>
          <w:lang w:val="en-US"/>
        </w:rPr>
        <w:t xml:space="preserve"> 302 </w:t>
      </w:r>
    </w:p>
    <w:p w:rsidR="00B90AC2" w:rsidRDefault="00B90AC2" w:rsidP="00B633FD">
      <w:pPr>
        <w:spacing w:before="120" w:after="120" w:line="240" w:lineRule="auto"/>
        <w:ind w:firstLine="284"/>
        <w:jc w:val="both"/>
        <w:rPr>
          <w:rFonts w:ascii="StobiSerif Regular" w:hAnsi="StobiSerif Regular"/>
        </w:rPr>
      </w:pPr>
      <w:r w:rsidRPr="00B90AC2">
        <w:rPr>
          <w:rFonts w:ascii="StobiSerif Regular" w:hAnsi="StobiSerif Regular"/>
          <w:lang w:val="en-US"/>
        </w:rPr>
        <w:t>Просечната исплатена сума по проект во М103 е зголемена во споредба со минатата година (26.385 €) и сега изнесува 45.873 €.</w:t>
      </w:r>
    </w:p>
    <w:p w:rsidR="00170529" w:rsidRDefault="00B90AC2" w:rsidP="00B633FD">
      <w:pPr>
        <w:spacing w:before="120" w:after="120" w:line="240" w:lineRule="auto"/>
        <w:ind w:firstLine="284"/>
        <w:jc w:val="both"/>
        <w:rPr>
          <w:rFonts w:ascii="StobiSerif Regular" w:hAnsi="StobiSerif Regular"/>
          <w:lang w:val="en-US"/>
        </w:rPr>
      </w:pPr>
      <w:r w:rsidRPr="00B90AC2">
        <w:rPr>
          <w:rFonts w:ascii="StobiSerif Regular" w:hAnsi="StobiSerif Regular"/>
          <w:lang w:val="en-US"/>
        </w:rPr>
        <w:t xml:space="preserve">Во текот на 2016 година беа исплатени уште пет други проекти, </w:t>
      </w:r>
      <w:r>
        <w:rPr>
          <w:rFonts w:ascii="StobiSerif Regular" w:hAnsi="StobiSerif Regular"/>
        </w:rPr>
        <w:t xml:space="preserve">со што </w:t>
      </w:r>
      <w:r w:rsidRPr="00B90AC2">
        <w:rPr>
          <w:rFonts w:ascii="StobiSerif Regular" w:hAnsi="StobiSerif Regular"/>
          <w:lang w:val="en-US"/>
        </w:rPr>
        <w:t>беа исплатени вкупно осум проекти со износ од 275.241 €, што е 18,4% од планираните средства</w:t>
      </w:r>
      <w:r w:rsidR="00170529">
        <w:rPr>
          <w:rFonts w:ascii="StobiSerif Regular" w:hAnsi="StobiSerif Regular"/>
          <w:lang w:val="en-US"/>
        </w:rPr>
        <w:t xml:space="preserve">. </w:t>
      </w:r>
    </w:p>
    <w:p w:rsidR="00784CD1" w:rsidRPr="00A60EA9" w:rsidRDefault="003265CB" w:rsidP="00962B0E">
      <w:pPr>
        <w:spacing w:before="120" w:after="120" w:line="240" w:lineRule="auto"/>
        <w:jc w:val="both"/>
        <w:rPr>
          <w:rFonts w:ascii="StobiSerif Regular" w:hAnsi="StobiSerif Regular"/>
          <w:b/>
          <w:color w:val="002060"/>
        </w:rPr>
      </w:pPr>
      <w:bookmarkStart w:id="57" w:name="_Toc485394919"/>
      <w:r w:rsidRPr="00A60EA9">
        <w:rPr>
          <w:rFonts w:ascii="StobiSerif Regular" w:hAnsi="StobiSerif Regular"/>
          <w:b/>
        </w:rPr>
        <w:t>Табела</w:t>
      </w:r>
      <w:r w:rsidR="00784CD1" w:rsidRPr="00A60EA9">
        <w:rPr>
          <w:rFonts w:ascii="StobiSerif Regular" w:hAnsi="StobiSerif Regular"/>
          <w:b/>
        </w:rPr>
        <w:t xml:space="preserve"> </w:t>
      </w:r>
      <w:r w:rsidR="00784CD1" w:rsidRPr="00A60EA9">
        <w:rPr>
          <w:rFonts w:ascii="StobiSerif Regular" w:hAnsi="StobiSerif Regular"/>
          <w:b/>
        </w:rPr>
        <w:fldChar w:fldCharType="begin"/>
      </w:r>
      <w:r w:rsidR="00784CD1" w:rsidRPr="00A60EA9">
        <w:rPr>
          <w:rFonts w:ascii="StobiSerif Regular" w:hAnsi="StobiSerif Regular"/>
          <w:b/>
        </w:rPr>
        <w:instrText xml:space="preserve"> SEQ Table \* ARABIC </w:instrText>
      </w:r>
      <w:r w:rsidR="00784CD1" w:rsidRPr="00A60EA9">
        <w:rPr>
          <w:rFonts w:ascii="StobiSerif Regular" w:hAnsi="StobiSerif Regular"/>
          <w:b/>
        </w:rPr>
        <w:fldChar w:fldCharType="separate"/>
      </w:r>
      <w:r w:rsidR="006C55E6" w:rsidRPr="00A60EA9">
        <w:rPr>
          <w:rFonts w:ascii="StobiSerif Regular" w:hAnsi="StobiSerif Regular"/>
          <w:b/>
          <w:noProof/>
        </w:rPr>
        <w:t>27</w:t>
      </w:r>
      <w:r w:rsidR="00784CD1" w:rsidRPr="00A60EA9">
        <w:rPr>
          <w:rFonts w:ascii="StobiSerif Regular" w:hAnsi="StobiSerif Regular"/>
          <w:b/>
        </w:rPr>
        <w:fldChar w:fldCharType="end"/>
      </w:r>
      <w:r w:rsidR="00784CD1" w:rsidRPr="00A60EA9">
        <w:rPr>
          <w:rFonts w:ascii="StobiSerif Regular" w:hAnsi="StobiSerif Regular"/>
          <w:b/>
        </w:rPr>
        <w:t xml:space="preserve">: </w:t>
      </w:r>
      <w:r w:rsidRPr="00A60EA9">
        <w:rPr>
          <w:rFonts w:ascii="StobiSerif Regular" w:eastAsia="Times New Roman" w:hAnsi="StobiSerif Regular" w:cs="Times New Roman"/>
          <w:b/>
          <w:bCs/>
          <w:sz w:val="24"/>
          <w:szCs w:val="24"/>
        </w:rPr>
        <w:t>Спроведување на финансиски цели во М302</w:t>
      </w:r>
      <w:bookmarkEnd w:id="57"/>
    </w:p>
    <w:tbl>
      <w:tblPr>
        <w:tblW w:w="9654" w:type="dxa"/>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41"/>
        <w:gridCol w:w="2409"/>
        <w:gridCol w:w="907"/>
        <w:gridCol w:w="1253"/>
        <w:gridCol w:w="1384"/>
        <w:gridCol w:w="1134"/>
        <w:gridCol w:w="1134"/>
        <w:gridCol w:w="992"/>
      </w:tblGrid>
      <w:tr w:rsidR="003265CB" w:rsidRPr="00D32565" w:rsidTr="006278AA">
        <w:trPr>
          <w:trHeight w:val="798"/>
        </w:trPr>
        <w:tc>
          <w:tcPr>
            <w:tcW w:w="2850" w:type="dxa"/>
            <w:gridSpan w:val="2"/>
            <w:shd w:val="clear" w:color="000000" w:fill="FFFFFF"/>
            <w:hideMark/>
          </w:tcPr>
          <w:p w:rsidR="003265CB" w:rsidRPr="004C34D7" w:rsidRDefault="003265CB" w:rsidP="006278AA">
            <w:pPr>
              <w:spacing w:after="0"/>
              <w:rPr>
                <w:rFonts w:ascii="StobiSerif Regular" w:hAnsi="StobiSerif Regular"/>
                <w:sz w:val="16"/>
                <w:szCs w:val="16"/>
                <w:lang w:val="en-US"/>
              </w:rPr>
            </w:pPr>
            <w:r w:rsidRPr="004C34D7">
              <w:rPr>
                <w:rFonts w:ascii="StobiSerif Regular" w:hAnsi="StobiSerif Regular"/>
                <w:sz w:val="16"/>
                <w:szCs w:val="16"/>
                <w:lang w:val="en-US"/>
              </w:rPr>
              <w:t>Група на инвестиции</w:t>
            </w:r>
          </w:p>
        </w:tc>
        <w:tc>
          <w:tcPr>
            <w:tcW w:w="907" w:type="dxa"/>
            <w:shd w:val="clear" w:color="000000" w:fill="FFFFFF"/>
            <w:hideMark/>
          </w:tcPr>
          <w:p w:rsidR="003265CB" w:rsidRPr="004C34D7" w:rsidRDefault="003265CB" w:rsidP="006278AA">
            <w:pPr>
              <w:spacing w:after="0"/>
              <w:rPr>
                <w:rFonts w:ascii="StobiSerif Regular" w:hAnsi="StobiSerif Regular"/>
                <w:sz w:val="16"/>
                <w:szCs w:val="16"/>
                <w:lang w:val="en-US"/>
              </w:rPr>
            </w:pPr>
            <w:r w:rsidRPr="004C34D7">
              <w:rPr>
                <w:rFonts w:ascii="StobiSerif Regular" w:hAnsi="StobiSerif Regular"/>
                <w:sz w:val="16"/>
                <w:szCs w:val="16"/>
                <w:lang w:val="en-US"/>
              </w:rPr>
              <w:t>Предвиден % по сектор</w:t>
            </w:r>
          </w:p>
        </w:tc>
        <w:tc>
          <w:tcPr>
            <w:tcW w:w="1253" w:type="dxa"/>
            <w:shd w:val="clear" w:color="000000" w:fill="FFFFFF"/>
            <w:hideMark/>
          </w:tcPr>
          <w:p w:rsidR="003265CB" w:rsidRPr="004C34D7" w:rsidRDefault="003265CB" w:rsidP="006278AA">
            <w:pPr>
              <w:spacing w:after="0"/>
              <w:rPr>
                <w:rFonts w:ascii="StobiSerif Regular" w:hAnsi="StobiSerif Regular"/>
                <w:sz w:val="16"/>
                <w:szCs w:val="16"/>
                <w:lang w:val="en-US"/>
              </w:rPr>
            </w:pPr>
            <w:r w:rsidRPr="004C34D7">
              <w:rPr>
                <w:rFonts w:ascii="StobiSerif Regular" w:hAnsi="StobiSerif Regular"/>
                <w:sz w:val="16"/>
                <w:szCs w:val="16"/>
                <w:lang w:val="en-US"/>
              </w:rPr>
              <w:t>Планирани ЕУ средства</w:t>
            </w:r>
          </w:p>
        </w:tc>
        <w:tc>
          <w:tcPr>
            <w:tcW w:w="1384" w:type="dxa"/>
            <w:shd w:val="clear" w:color="000000" w:fill="FFFFFF"/>
            <w:hideMark/>
          </w:tcPr>
          <w:p w:rsidR="003265CB" w:rsidRPr="00AC7494" w:rsidRDefault="003265CB" w:rsidP="006278AA">
            <w:pPr>
              <w:spacing w:after="0"/>
              <w:rPr>
                <w:rFonts w:ascii="StobiSerif Regular" w:hAnsi="StobiSerif Regular"/>
                <w:sz w:val="16"/>
                <w:szCs w:val="16"/>
              </w:rPr>
            </w:pPr>
            <w:r>
              <w:rPr>
                <w:rFonts w:ascii="StobiSerif Regular" w:hAnsi="StobiSerif Regular"/>
                <w:sz w:val="16"/>
                <w:szCs w:val="16"/>
              </w:rPr>
              <w:t>Склучени ЕУ средства</w:t>
            </w:r>
          </w:p>
        </w:tc>
        <w:tc>
          <w:tcPr>
            <w:tcW w:w="1134" w:type="dxa"/>
            <w:shd w:val="clear" w:color="000000" w:fill="FFFFFF"/>
          </w:tcPr>
          <w:p w:rsidR="003265CB" w:rsidRPr="00AC7494" w:rsidRDefault="003265CB" w:rsidP="006278AA">
            <w:pPr>
              <w:spacing w:after="0"/>
              <w:rPr>
                <w:rFonts w:ascii="StobiSerif Regular" w:hAnsi="StobiSerif Regular"/>
                <w:sz w:val="16"/>
                <w:szCs w:val="16"/>
              </w:rPr>
            </w:pPr>
            <w:r>
              <w:rPr>
                <w:rFonts w:ascii="StobiSerif Regular" w:hAnsi="StobiSerif Regular"/>
                <w:sz w:val="16"/>
                <w:szCs w:val="16"/>
              </w:rPr>
              <w:t>Вкупно јавни трошоци</w:t>
            </w:r>
          </w:p>
        </w:tc>
        <w:tc>
          <w:tcPr>
            <w:tcW w:w="1134" w:type="dxa"/>
            <w:shd w:val="clear" w:color="000000" w:fill="FFFFFF"/>
            <w:hideMark/>
          </w:tcPr>
          <w:p w:rsidR="003265CB" w:rsidRPr="00AC7494" w:rsidRDefault="003265CB" w:rsidP="006278AA">
            <w:pPr>
              <w:spacing w:after="0"/>
              <w:rPr>
                <w:rFonts w:ascii="StobiSerif Regular" w:hAnsi="StobiSerif Regular"/>
                <w:sz w:val="16"/>
                <w:szCs w:val="16"/>
              </w:rPr>
            </w:pPr>
            <w:r>
              <w:rPr>
                <w:rFonts w:ascii="StobiSerif Regular" w:hAnsi="StobiSerif Regular"/>
                <w:sz w:val="16"/>
                <w:szCs w:val="16"/>
              </w:rPr>
              <w:t>Исплатени ЕУ средства</w:t>
            </w:r>
          </w:p>
        </w:tc>
        <w:tc>
          <w:tcPr>
            <w:tcW w:w="992" w:type="dxa"/>
            <w:shd w:val="clear" w:color="000000" w:fill="FFFFFF"/>
          </w:tcPr>
          <w:p w:rsidR="003265CB" w:rsidRPr="00AC7494" w:rsidRDefault="003265CB" w:rsidP="006278AA">
            <w:pPr>
              <w:spacing w:after="0"/>
              <w:rPr>
                <w:rFonts w:ascii="StobiSerif Regular" w:hAnsi="StobiSerif Regular"/>
                <w:sz w:val="16"/>
                <w:szCs w:val="16"/>
              </w:rPr>
            </w:pPr>
            <w:r>
              <w:rPr>
                <w:rFonts w:ascii="StobiSerif Regular" w:hAnsi="StobiSerif Regular"/>
                <w:sz w:val="16"/>
                <w:szCs w:val="16"/>
              </w:rPr>
              <w:t>% на имплементација</w:t>
            </w:r>
          </w:p>
        </w:tc>
      </w:tr>
      <w:tr w:rsidR="00D32565" w:rsidRPr="00D32565" w:rsidTr="00D32565">
        <w:trPr>
          <w:trHeight w:val="357"/>
        </w:trPr>
        <w:tc>
          <w:tcPr>
            <w:tcW w:w="441" w:type="dxa"/>
            <w:shd w:val="clear" w:color="000000" w:fill="FFFFFF"/>
            <w:noWrap/>
            <w:hideMark/>
          </w:tcPr>
          <w:p w:rsidR="00D32565" w:rsidRPr="00D32565" w:rsidRDefault="00D32565" w:rsidP="001D673B">
            <w:pPr>
              <w:spacing w:after="0"/>
              <w:ind w:left="-93" w:right="-108"/>
              <w:jc w:val="center"/>
              <w:rPr>
                <w:rFonts w:ascii="StobiSerif Regular" w:hAnsi="StobiSerif Regular" w:cs="Arial"/>
                <w:bCs/>
                <w:sz w:val="16"/>
                <w:szCs w:val="16"/>
                <w:lang w:val="en-US" w:eastAsia="mk-MK"/>
              </w:rPr>
            </w:pPr>
            <w:r w:rsidRPr="00D32565">
              <w:rPr>
                <w:rFonts w:ascii="StobiSerif Regular" w:hAnsi="StobiSerif Regular" w:cs="Arial"/>
                <w:bCs/>
                <w:sz w:val="16"/>
                <w:szCs w:val="16"/>
                <w:lang w:val="en-US" w:eastAsia="mk-MK"/>
              </w:rPr>
              <w:t>3021</w:t>
            </w:r>
          </w:p>
        </w:tc>
        <w:tc>
          <w:tcPr>
            <w:tcW w:w="2409" w:type="dxa"/>
            <w:shd w:val="clear" w:color="000000" w:fill="FFFFFF"/>
            <w:hideMark/>
          </w:tcPr>
          <w:p w:rsidR="00D32565" w:rsidRPr="00D32565" w:rsidRDefault="003265CB" w:rsidP="002C64DC">
            <w:pPr>
              <w:spacing w:after="0"/>
              <w:jc w:val="center"/>
              <w:rPr>
                <w:rFonts w:ascii="StobiSerif Regular" w:hAnsi="StobiSerif Regular" w:cs="Arial"/>
                <w:sz w:val="16"/>
                <w:szCs w:val="16"/>
                <w:lang w:val="en-US"/>
              </w:rPr>
            </w:pPr>
            <w:r w:rsidRPr="003265CB">
              <w:rPr>
                <w:rFonts w:ascii="StobiSerif Regular" w:hAnsi="StobiSerif Regular" w:cs="Arial"/>
                <w:sz w:val="16"/>
                <w:szCs w:val="16"/>
                <w:lang w:val="en-US"/>
              </w:rPr>
              <w:t>Воспоставување и надградба на не-земјоделски производствени активности во руралните области</w:t>
            </w:r>
          </w:p>
        </w:tc>
        <w:tc>
          <w:tcPr>
            <w:tcW w:w="907"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29%</w:t>
            </w:r>
          </w:p>
        </w:tc>
        <w:tc>
          <w:tcPr>
            <w:tcW w:w="1253"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431.602</w:t>
            </w:r>
          </w:p>
        </w:tc>
        <w:tc>
          <w:tcPr>
            <w:tcW w:w="1384" w:type="dxa"/>
            <w:shd w:val="clear" w:color="000000" w:fill="FFFFFF"/>
            <w:vAlign w:val="center"/>
          </w:tcPr>
          <w:p w:rsidR="00D32565" w:rsidRPr="00D32565" w:rsidRDefault="00530ECD" w:rsidP="0093353F">
            <w:pPr>
              <w:spacing w:after="0"/>
              <w:jc w:val="right"/>
              <w:rPr>
                <w:rFonts w:ascii="StobiSerif Regular" w:hAnsi="StobiSerif Regular" w:cs="Arial"/>
                <w:sz w:val="16"/>
                <w:szCs w:val="16"/>
                <w:lang w:val="en-US"/>
              </w:rPr>
            </w:pPr>
            <w:r>
              <w:rPr>
                <w:rFonts w:ascii="StobiSerif Regular" w:hAnsi="StobiSerif Regular" w:cs="Arial"/>
                <w:sz w:val="16"/>
                <w:szCs w:val="16"/>
                <w:lang w:val="en-US"/>
              </w:rPr>
              <w:t>1.318.</w:t>
            </w:r>
            <w:r w:rsidR="0093353F">
              <w:rPr>
                <w:rFonts w:ascii="StobiSerif Regular" w:hAnsi="StobiSerif Regular" w:cs="Arial"/>
                <w:sz w:val="16"/>
                <w:szCs w:val="16"/>
                <w:lang w:val="en-US"/>
              </w:rPr>
              <w:t>393</w:t>
            </w:r>
          </w:p>
        </w:tc>
        <w:tc>
          <w:tcPr>
            <w:tcW w:w="1134" w:type="dxa"/>
            <w:shd w:val="clear" w:color="000000" w:fill="FFFFFF"/>
            <w:vAlign w:val="center"/>
          </w:tcPr>
          <w:p w:rsidR="00D32565" w:rsidRPr="00D32565" w:rsidRDefault="00D32565" w:rsidP="00D32565">
            <w:pPr>
              <w:spacing w:after="0"/>
              <w:jc w:val="center"/>
              <w:rPr>
                <w:rFonts w:ascii="StobiSerif Regular" w:hAnsi="StobiSerif Regular" w:cs="Arial"/>
                <w:sz w:val="16"/>
                <w:szCs w:val="16"/>
                <w:lang w:val="en-US"/>
              </w:rPr>
            </w:pPr>
            <w:r>
              <w:rPr>
                <w:rFonts w:ascii="StobiSerif Regular" w:hAnsi="StobiSerif Regular" w:cs="Arial"/>
                <w:sz w:val="16"/>
                <w:szCs w:val="16"/>
                <w:lang w:val="en-US"/>
              </w:rPr>
              <w:t>252.307</w:t>
            </w:r>
          </w:p>
        </w:tc>
        <w:tc>
          <w:tcPr>
            <w:tcW w:w="1134"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189.230</w:t>
            </w:r>
          </w:p>
        </w:tc>
        <w:tc>
          <w:tcPr>
            <w:tcW w:w="992"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eastAsia="mk-MK"/>
              </w:rPr>
            </w:pPr>
            <w:r w:rsidRPr="00D32565">
              <w:rPr>
                <w:rFonts w:ascii="StobiSerif Regular" w:hAnsi="StobiSerif Regular" w:cs="Arial"/>
                <w:sz w:val="16"/>
                <w:szCs w:val="16"/>
                <w:lang w:val="en-US" w:eastAsia="mk-MK"/>
              </w:rPr>
              <w:t>43.8</w:t>
            </w:r>
          </w:p>
        </w:tc>
      </w:tr>
      <w:tr w:rsidR="00D32565" w:rsidRPr="00D32565" w:rsidTr="00D32565">
        <w:trPr>
          <w:trHeight w:val="357"/>
        </w:trPr>
        <w:tc>
          <w:tcPr>
            <w:tcW w:w="441" w:type="dxa"/>
            <w:shd w:val="clear" w:color="000000" w:fill="FFFFFF"/>
            <w:noWrap/>
            <w:hideMark/>
          </w:tcPr>
          <w:p w:rsidR="00D32565" w:rsidRPr="00D32565" w:rsidRDefault="00D32565" w:rsidP="001D673B">
            <w:pPr>
              <w:spacing w:after="0"/>
              <w:ind w:left="-93" w:right="-108"/>
              <w:jc w:val="center"/>
              <w:rPr>
                <w:rFonts w:ascii="StobiSerif Regular" w:hAnsi="StobiSerif Regular" w:cs="Arial"/>
                <w:bCs/>
                <w:sz w:val="16"/>
                <w:szCs w:val="16"/>
                <w:lang w:val="en-US" w:eastAsia="mk-MK"/>
              </w:rPr>
            </w:pPr>
            <w:r w:rsidRPr="00D32565">
              <w:rPr>
                <w:rFonts w:ascii="StobiSerif Regular" w:hAnsi="StobiSerif Regular" w:cs="Arial"/>
                <w:bCs/>
                <w:sz w:val="16"/>
                <w:szCs w:val="16"/>
                <w:lang w:val="en-US" w:eastAsia="mk-MK"/>
              </w:rPr>
              <w:t>3022</w:t>
            </w:r>
          </w:p>
        </w:tc>
        <w:tc>
          <w:tcPr>
            <w:tcW w:w="2409" w:type="dxa"/>
            <w:shd w:val="clear" w:color="000000" w:fill="FFFFFF"/>
            <w:hideMark/>
          </w:tcPr>
          <w:p w:rsidR="00D32565" w:rsidRPr="00D32565" w:rsidRDefault="003265CB" w:rsidP="002C64DC">
            <w:pPr>
              <w:spacing w:after="0"/>
              <w:jc w:val="center"/>
              <w:rPr>
                <w:rFonts w:ascii="StobiSerif Regular" w:hAnsi="StobiSerif Regular" w:cs="Arial"/>
                <w:sz w:val="16"/>
                <w:szCs w:val="16"/>
                <w:lang w:val="en-US"/>
              </w:rPr>
            </w:pPr>
            <w:r w:rsidRPr="003265CB">
              <w:rPr>
                <w:rFonts w:ascii="StobiSerif Regular" w:hAnsi="StobiSerif Regular" w:cs="Arial"/>
                <w:sz w:val="16"/>
                <w:szCs w:val="16"/>
                <w:lang w:val="en-US"/>
              </w:rPr>
              <w:t>Диверзификација на приходите од земјоделството и обезбедување на земјоделски услуги во руралните области</w:t>
            </w:r>
          </w:p>
        </w:tc>
        <w:tc>
          <w:tcPr>
            <w:tcW w:w="907"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20%</w:t>
            </w:r>
          </w:p>
        </w:tc>
        <w:tc>
          <w:tcPr>
            <w:tcW w:w="1253"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297.656</w:t>
            </w:r>
          </w:p>
        </w:tc>
        <w:tc>
          <w:tcPr>
            <w:tcW w:w="1384" w:type="dxa"/>
            <w:shd w:val="clear" w:color="000000" w:fill="FFFFFF"/>
            <w:vAlign w:val="center"/>
          </w:tcPr>
          <w:p w:rsidR="00D32565" w:rsidRPr="00D32565" w:rsidRDefault="00D32565" w:rsidP="00A8490F">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108.2</w:t>
            </w:r>
            <w:r w:rsidR="003A70A0">
              <w:rPr>
                <w:rFonts w:ascii="StobiSerif Regular" w:hAnsi="StobiSerif Regular" w:cs="Arial"/>
                <w:sz w:val="16"/>
                <w:szCs w:val="16"/>
                <w:lang w:val="en-US"/>
              </w:rPr>
              <w:t>8</w:t>
            </w:r>
            <w:r w:rsidR="00A8490F">
              <w:rPr>
                <w:rFonts w:ascii="StobiSerif Regular" w:hAnsi="StobiSerif Regular" w:cs="Arial"/>
                <w:sz w:val="16"/>
                <w:szCs w:val="16"/>
                <w:lang w:val="en-US"/>
              </w:rPr>
              <w:t>1</w:t>
            </w:r>
          </w:p>
        </w:tc>
        <w:tc>
          <w:tcPr>
            <w:tcW w:w="1134" w:type="dxa"/>
            <w:shd w:val="clear" w:color="000000" w:fill="FFFFFF"/>
            <w:vAlign w:val="center"/>
          </w:tcPr>
          <w:p w:rsidR="00D32565" w:rsidRPr="00D32565" w:rsidRDefault="00D32565" w:rsidP="00D32565">
            <w:pPr>
              <w:spacing w:after="0"/>
              <w:jc w:val="center"/>
              <w:rPr>
                <w:rFonts w:ascii="StobiSerif Regular" w:hAnsi="StobiSerif Regular" w:cs="Arial"/>
                <w:sz w:val="16"/>
                <w:szCs w:val="16"/>
                <w:lang w:val="en-US"/>
              </w:rPr>
            </w:pPr>
            <w:r>
              <w:rPr>
                <w:rFonts w:ascii="StobiSerif Regular" w:hAnsi="StobiSerif Regular" w:cs="Arial"/>
                <w:sz w:val="16"/>
                <w:szCs w:val="16"/>
                <w:lang w:val="en-US"/>
              </w:rPr>
              <w:t>114.680</w:t>
            </w:r>
          </w:p>
        </w:tc>
        <w:tc>
          <w:tcPr>
            <w:tcW w:w="1134"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86.011</w:t>
            </w:r>
          </w:p>
        </w:tc>
        <w:tc>
          <w:tcPr>
            <w:tcW w:w="992"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eastAsia="mk-MK"/>
              </w:rPr>
            </w:pPr>
            <w:r w:rsidRPr="00D32565">
              <w:rPr>
                <w:rFonts w:ascii="StobiSerif Regular" w:hAnsi="StobiSerif Regular" w:cs="Arial"/>
                <w:sz w:val="16"/>
                <w:szCs w:val="16"/>
                <w:lang w:val="en-US" w:eastAsia="mk-MK"/>
              </w:rPr>
              <w:t>28.8</w:t>
            </w:r>
          </w:p>
        </w:tc>
      </w:tr>
      <w:tr w:rsidR="00D32565" w:rsidRPr="00D32565" w:rsidTr="00D32565">
        <w:trPr>
          <w:trHeight w:val="357"/>
        </w:trPr>
        <w:tc>
          <w:tcPr>
            <w:tcW w:w="441" w:type="dxa"/>
            <w:shd w:val="clear" w:color="000000" w:fill="FFFFFF"/>
            <w:noWrap/>
          </w:tcPr>
          <w:p w:rsidR="00D32565" w:rsidRPr="00D32565" w:rsidRDefault="00D32565" w:rsidP="001D673B">
            <w:pPr>
              <w:spacing w:after="0"/>
              <w:ind w:left="-93" w:right="-108"/>
              <w:jc w:val="center"/>
              <w:rPr>
                <w:rFonts w:ascii="StobiSerif Regular" w:hAnsi="StobiSerif Regular" w:cs="Arial"/>
                <w:bCs/>
                <w:sz w:val="16"/>
                <w:szCs w:val="16"/>
                <w:lang w:val="en-US" w:eastAsia="mk-MK"/>
              </w:rPr>
            </w:pPr>
            <w:r w:rsidRPr="00D32565">
              <w:rPr>
                <w:rFonts w:ascii="StobiSerif Regular" w:hAnsi="StobiSerif Regular" w:cs="Arial"/>
                <w:bCs/>
                <w:sz w:val="16"/>
                <w:szCs w:val="16"/>
                <w:lang w:val="en-US" w:eastAsia="mk-MK"/>
              </w:rPr>
              <w:t>3023</w:t>
            </w:r>
          </w:p>
        </w:tc>
        <w:tc>
          <w:tcPr>
            <w:tcW w:w="2409" w:type="dxa"/>
            <w:shd w:val="clear" w:color="000000" w:fill="FFFFFF"/>
          </w:tcPr>
          <w:p w:rsidR="00D32565" w:rsidRPr="00D32565" w:rsidRDefault="003265CB" w:rsidP="002C64DC">
            <w:pPr>
              <w:spacing w:after="0"/>
              <w:jc w:val="center"/>
              <w:rPr>
                <w:rFonts w:ascii="StobiSerif Regular" w:hAnsi="StobiSerif Regular" w:cs="Arial"/>
                <w:sz w:val="16"/>
                <w:szCs w:val="16"/>
                <w:lang w:val="en-US"/>
              </w:rPr>
            </w:pPr>
            <w:r w:rsidRPr="003265CB">
              <w:rPr>
                <w:rFonts w:ascii="StobiSerif Regular" w:hAnsi="StobiSerif Regular" w:cs="Arial"/>
                <w:sz w:val="16"/>
                <w:szCs w:val="16"/>
                <w:lang w:val="en-US"/>
              </w:rPr>
              <w:t>Група инвестиции за обезбедување земјоделски услуги во руралните области</w:t>
            </w:r>
          </w:p>
        </w:tc>
        <w:tc>
          <w:tcPr>
            <w:tcW w:w="907"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15%</w:t>
            </w:r>
          </w:p>
        </w:tc>
        <w:tc>
          <w:tcPr>
            <w:tcW w:w="1253"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223.242</w:t>
            </w:r>
          </w:p>
        </w:tc>
        <w:tc>
          <w:tcPr>
            <w:tcW w:w="1384"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87.784</w:t>
            </w:r>
          </w:p>
        </w:tc>
        <w:tc>
          <w:tcPr>
            <w:tcW w:w="1134" w:type="dxa"/>
            <w:shd w:val="clear" w:color="000000" w:fill="FFFFFF"/>
          </w:tcPr>
          <w:p w:rsidR="00D32565" w:rsidRPr="00D32565" w:rsidRDefault="00D32565" w:rsidP="004C12B4">
            <w:pPr>
              <w:spacing w:after="0"/>
              <w:jc w:val="right"/>
              <w:rPr>
                <w:rFonts w:ascii="StobiSerif Regular" w:hAnsi="StobiSerif Regular" w:cs="Arial"/>
                <w:sz w:val="16"/>
                <w:szCs w:val="16"/>
                <w:lang w:val="en-US"/>
              </w:rPr>
            </w:pPr>
            <w:r>
              <w:rPr>
                <w:rFonts w:ascii="StobiSerif Regular" w:hAnsi="StobiSerif Regular" w:cs="Arial"/>
                <w:sz w:val="16"/>
                <w:szCs w:val="16"/>
                <w:lang w:val="en-US"/>
              </w:rPr>
              <w:t>0</w:t>
            </w:r>
          </w:p>
        </w:tc>
        <w:tc>
          <w:tcPr>
            <w:tcW w:w="1134"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0</w:t>
            </w:r>
          </w:p>
        </w:tc>
        <w:tc>
          <w:tcPr>
            <w:tcW w:w="992"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eastAsia="mk-MK"/>
              </w:rPr>
            </w:pPr>
            <w:r w:rsidRPr="00D32565">
              <w:rPr>
                <w:rFonts w:ascii="StobiSerif Regular" w:hAnsi="StobiSerif Regular" w:cs="Arial"/>
                <w:sz w:val="16"/>
                <w:szCs w:val="16"/>
                <w:lang w:val="en-US" w:eastAsia="mk-MK"/>
              </w:rPr>
              <w:t>0</w:t>
            </w:r>
          </w:p>
        </w:tc>
      </w:tr>
      <w:tr w:rsidR="00D32565" w:rsidRPr="00D32565" w:rsidTr="00D32565">
        <w:trPr>
          <w:trHeight w:val="357"/>
        </w:trPr>
        <w:tc>
          <w:tcPr>
            <w:tcW w:w="441" w:type="dxa"/>
            <w:shd w:val="clear" w:color="000000" w:fill="FFFFFF"/>
            <w:noWrap/>
            <w:hideMark/>
          </w:tcPr>
          <w:p w:rsidR="00D32565" w:rsidRPr="00D32565" w:rsidRDefault="00D32565" w:rsidP="001D673B">
            <w:pPr>
              <w:spacing w:after="0"/>
              <w:ind w:left="-93" w:right="-108"/>
              <w:jc w:val="center"/>
              <w:rPr>
                <w:rFonts w:ascii="StobiSerif Regular" w:hAnsi="StobiSerif Regular" w:cs="Arial"/>
                <w:bCs/>
                <w:sz w:val="16"/>
                <w:szCs w:val="16"/>
                <w:lang w:val="en-US" w:eastAsia="mk-MK"/>
              </w:rPr>
            </w:pPr>
            <w:r w:rsidRPr="00D32565">
              <w:rPr>
                <w:rFonts w:ascii="StobiSerif Regular" w:hAnsi="StobiSerif Regular" w:cs="Arial"/>
                <w:bCs/>
                <w:sz w:val="16"/>
                <w:szCs w:val="16"/>
                <w:lang w:val="en-US" w:eastAsia="mk-MK"/>
              </w:rPr>
              <w:t>3024</w:t>
            </w:r>
          </w:p>
        </w:tc>
        <w:tc>
          <w:tcPr>
            <w:tcW w:w="2409" w:type="dxa"/>
            <w:shd w:val="clear" w:color="000000" w:fill="FFFFFF"/>
            <w:hideMark/>
          </w:tcPr>
          <w:p w:rsidR="00D32565" w:rsidRPr="00D32565" w:rsidRDefault="003265CB" w:rsidP="002C64DC">
            <w:pPr>
              <w:spacing w:after="0"/>
              <w:jc w:val="center"/>
              <w:rPr>
                <w:rFonts w:ascii="StobiSerif Regular" w:hAnsi="StobiSerif Regular" w:cs="Arial"/>
                <w:sz w:val="16"/>
                <w:szCs w:val="16"/>
                <w:lang w:val="en-US"/>
              </w:rPr>
            </w:pPr>
            <w:r w:rsidRPr="003265CB">
              <w:rPr>
                <w:rFonts w:ascii="StobiSerif Regular" w:hAnsi="StobiSerif Regular" w:cs="Arial"/>
                <w:sz w:val="16"/>
                <w:szCs w:val="16"/>
                <w:lang w:val="en-US"/>
              </w:rPr>
              <w:t>Промовирање активности за рурален туризам во руралните области</w:t>
            </w:r>
          </w:p>
        </w:tc>
        <w:tc>
          <w:tcPr>
            <w:tcW w:w="907"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36%</w:t>
            </w:r>
          </w:p>
        </w:tc>
        <w:tc>
          <w:tcPr>
            <w:tcW w:w="1253"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535.781</w:t>
            </w:r>
          </w:p>
        </w:tc>
        <w:tc>
          <w:tcPr>
            <w:tcW w:w="1384"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481.249</w:t>
            </w:r>
          </w:p>
        </w:tc>
        <w:tc>
          <w:tcPr>
            <w:tcW w:w="1134" w:type="dxa"/>
            <w:shd w:val="clear" w:color="000000" w:fill="FFFFFF"/>
          </w:tcPr>
          <w:p w:rsidR="00D32565" w:rsidRPr="00D32565" w:rsidRDefault="00D32565" w:rsidP="004C12B4">
            <w:pPr>
              <w:spacing w:after="0"/>
              <w:jc w:val="right"/>
              <w:rPr>
                <w:rFonts w:ascii="StobiSerif Regular" w:hAnsi="StobiSerif Regular" w:cs="Arial"/>
                <w:sz w:val="16"/>
                <w:szCs w:val="16"/>
                <w:lang w:val="en-US"/>
              </w:rPr>
            </w:pPr>
            <w:r>
              <w:rPr>
                <w:rFonts w:ascii="StobiSerif Regular" w:hAnsi="StobiSerif Regular" w:cs="Arial"/>
                <w:sz w:val="16"/>
                <w:szCs w:val="16"/>
                <w:lang w:val="en-US"/>
              </w:rPr>
              <w:t>0</w:t>
            </w:r>
          </w:p>
        </w:tc>
        <w:tc>
          <w:tcPr>
            <w:tcW w:w="1134"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rPr>
            </w:pPr>
            <w:r w:rsidRPr="00D32565">
              <w:rPr>
                <w:rFonts w:ascii="StobiSerif Regular" w:hAnsi="StobiSerif Regular" w:cs="Arial"/>
                <w:sz w:val="16"/>
                <w:szCs w:val="16"/>
                <w:lang w:val="en-US"/>
              </w:rPr>
              <w:t>0</w:t>
            </w:r>
          </w:p>
        </w:tc>
        <w:tc>
          <w:tcPr>
            <w:tcW w:w="992" w:type="dxa"/>
            <w:shd w:val="clear" w:color="000000" w:fill="FFFFFF"/>
            <w:vAlign w:val="center"/>
          </w:tcPr>
          <w:p w:rsidR="00D32565" w:rsidRPr="00D32565" w:rsidRDefault="00D32565" w:rsidP="004C12B4">
            <w:pPr>
              <w:spacing w:after="0"/>
              <w:jc w:val="right"/>
              <w:rPr>
                <w:rFonts w:ascii="StobiSerif Regular" w:hAnsi="StobiSerif Regular" w:cs="Arial"/>
                <w:sz w:val="16"/>
                <w:szCs w:val="16"/>
                <w:lang w:val="en-US" w:eastAsia="mk-MK"/>
              </w:rPr>
            </w:pPr>
            <w:r w:rsidRPr="00D32565">
              <w:rPr>
                <w:rFonts w:ascii="StobiSerif Regular" w:hAnsi="StobiSerif Regular" w:cs="Arial"/>
                <w:sz w:val="16"/>
                <w:szCs w:val="16"/>
                <w:lang w:val="en-US" w:eastAsia="mk-MK"/>
              </w:rPr>
              <w:t>0</w:t>
            </w:r>
          </w:p>
        </w:tc>
      </w:tr>
      <w:tr w:rsidR="00D32565" w:rsidRPr="00D32565" w:rsidTr="003265CB">
        <w:trPr>
          <w:trHeight w:val="357"/>
        </w:trPr>
        <w:tc>
          <w:tcPr>
            <w:tcW w:w="441" w:type="dxa"/>
            <w:shd w:val="clear" w:color="000000" w:fill="FFFFFF"/>
            <w:noWrap/>
            <w:hideMark/>
          </w:tcPr>
          <w:p w:rsidR="00D32565" w:rsidRPr="00D32565" w:rsidRDefault="00D32565" w:rsidP="009D2D7D">
            <w:pPr>
              <w:spacing w:after="0"/>
              <w:jc w:val="center"/>
              <w:rPr>
                <w:rFonts w:ascii="StobiSerif Regular" w:hAnsi="StobiSerif Regular" w:cs="Arial"/>
                <w:b/>
                <w:bCs/>
                <w:sz w:val="16"/>
                <w:szCs w:val="16"/>
                <w:lang w:eastAsia="mk-MK"/>
              </w:rPr>
            </w:pPr>
          </w:p>
        </w:tc>
        <w:tc>
          <w:tcPr>
            <w:tcW w:w="2409" w:type="dxa"/>
            <w:shd w:val="clear" w:color="000000" w:fill="FFFFFF"/>
            <w:hideMark/>
          </w:tcPr>
          <w:p w:rsidR="00D32565" w:rsidRPr="003265CB" w:rsidRDefault="003265CB" w:rsidP="009D2D7D">
            <w:pPr>
              <w:spacing w:after="0"/>
              <w:jc w:val="center"/>
              <w:rPr>
                <w:rFonts w:ascii="StobiSerif Regular" w:hAnsi="StobiSerif Regular" w:cs="Arial"/>
                <w:b/>
                <w:bCs/>
                <w:sz w:val="16"/>
                <w:szCs w:val="16"/>
                <w:lang w:eastAsia="mk-MK"/>
              </w:rPr>
            </w:pPr>
            <w:r>
              <w:rPr>
                <w:rFonts w:ascii="StobiSerif Regular" w:hAnsi="StobiSerif Regular" w:cs="Arial"/>
                <w:b/>
                <w:bCs/>
                <w:sz w:val="16"/>
                <w:szCs w:val="16"/>
                <w:lang w:eastAsia="mk-MK"/>
              </w:rPr>
              <w:t xml:space="preserve">Вкупно </w:t>
            </w:r>
          </w:p>
        </w:tc>
        <w:tc>
          <w:tcPr>
            <w:tcW w:w="907" w:type="dxa"/>
            <w:shd w:val="clear" w:color="000000" w:fill="FFFFFF"/>
            <w:noWrap/>
            <w:vAlign w:val="center"/>
          </w:tcPr>
          <w:p w:rsidR="00D32565" w:rsidRPr="00D32565" w:rsidRDefault="00D32565" w:rsidP="004C12B4">
            <w:pPr>
              <w:spacing w:after="0"/>
              <w:jc w:val="right"/>
              <w:rPr>
                <w:rFonts w:ascii="StobiSerif Regular" w:hAnsi="StobiSerif Regular" w:cs="Arial"/>
                <w:b/>
                <w:sz w:val="16"/>
                <w:szCs w:val="16"/>
                <w:lang w:val="en-US"/>
              </w:rPr>
            </w:pPr>
            <w:r w:rsidRPr="00D32565">
              <w:rPr>
                <w:rFonts w:ascii="StobiSerif Regular" w:hAnsi="StobiSerif Regular" w:cs="Arial"/>
                <w:b/>
                <w:sz w:val="16"/>
                <w:szCs w:val="16"/>
                <w:lang w:val="en-US"/>
              </w:rPr>
              <w:t>100%</w:t>
            </w:r>
          </w:p>
        </w:tc>
        <w:tc>
          <w:tcPr>
            <w:tcW w:w="1253" w:type="dxa"/>
            <w:shd w:val="clear" w:color="000000" w:fill="FFFFFF"/>
            <w:noWrap/>
            <w:vAlign w:val="center"/>
          </w:tcPr>
          <w:p w:rsidR="00D32565" w:rsidRPr="00D32565" w:rsidRDefault="00D32565" w:rsidP="004C12B4">
            <w:pPr>
              <w:spacing w:after="0"/>
              <w:jc w:val="right"/>
              <w:rPr>
                <w:rFonts w:ascii="StobiSerif Regular" w:hAnsi="StobiSerif Regular" w:cs="Arial"/>
                <w:b/>
                <w:sz w:val="16"/>
                <w:szCs w:val="16"/>
                <w:lang w:val="en-US"/>
              </w:rPr>
            </w:pPr>
            <w:r w:rsidRPr="00D32565">
              <w:rPr>
                <w:rFonts w:ascii="StobiSerif Regular" w:hAnsi="StobiSerif Regular" w:cs="Arial"/>
                <w:b/>
                <w:sz w:val="16"/>
                <w:szCs w:val="16"/>
                <w:lang w:val="en-US"/>
              </w:rPr>
              <w:t>1.488.281</w:t>
            </w:r>
          </w:p>
        </w:tc>
        <w:tc>
          <w:tcPr>
            <w:tcW w:w="1384" w:type="dxa"/>
            <w:shd w:val="clear" w:color="000000" w:fill="FFFFFF"/>
            <w:noWrap/>
            <w:vAlign w:val="center"/>
          </w:tcPr>
          <w:p w:rsidR="00D32565" w:rsidRPr="00D32565" w:rsidRDefault="00D32565" w:rsidP="00A8490F">
            <w:pPr>
              <w:spacing w:after="0"/>
              <w:jc w:val="right"/>
              <w:rPr>
                <w:rFonts w:ascii="StobiSerif Regular" w:hAnsi="StobiSerif Regular" w:cs="Arial"/>
                <w:b/>
                <w:bCs/>
                <w:sz w:val="16"/>
                <w:szCs w:val="16"/>
                <w:lang w:val="en-US"/>
              </w:rPr>
            </w:pPr>
            <w:r w:rsidRPr="00D32565">
              <w:rPr>
                <w:rFonts w:ascii="StobiSerif Regular" w:hAnsi="StobiSerif Regular" w:cs="Arial"/>
                <w:b/>
                <w:bCs/>
                <w:sz w:val="16"/>
                <w:szCs w:val="16"/>
                <w:lang w:val="en-US"/>
              </w:rPr>
              <w:t>1.995.70</w:t>
            </w:r>
            <w:r w:rsidR="00A8490F">
              <w:rPr>
                <w:rFonts w:ascii="StobiSerif Regular" w:hAnsi="StobiSerif Regular" w:cs="Arial"/>
                <w:b/>
                <w:bCs/>
                <w:sz w:val="16"/>
                <w:szCs w:val="16"/>
                <w:lang w:val="en-US"/>
              </w:rPr>
              <w:t>7</w:t>
            </w:r>
          </w:p>
        </w:tc>
        <w:tc>
          <w:tcPr>
            <w:tcW w:w="1134" w:type="dxa"/>
            <w:shd w:val="clear" w:color="000000" w:fill="FFFFFF"/>
            <w:vAlign w:val="center"/>
          </w:tcPr>
          <w:p w:rsidR="00D32565" w:rsidRPr="00D32565" w:rsidRDefault="00DC3790" w:rsidP="00DC3790">
            <w:pPr>
              <w:spacing w:after="0"/>
              <w:jc w:val="center"/>
              <w:rPr>
                <w:rFonts w:ascii="StobiSerif Regular" w:hAnsi="StobiSerif Regular" w:cs="Arial"/>
                <w:b/>
                <w:bCs/>
                <w:sz w:val="16"/>
                <w:szCs w:val="16"/>
                <w:lang w:val="en-US"/>
              </w:rPr>
            </w:pPr>
            <w:r>
              <w:rPr>
                <w:rFonts w:ascii="StobiSerif Regular" w:hAnsi="StobiSerif Regular" w:cs="Arial"/>
                <w:b/>
                <w:bCs/>
                <w:sz w:val="16"/>
                <w:szCs w:val="16"/>
                <w:lang w:val="en-US"/>
              </w:rPr>
              <w:t>366.988</w:t>
            </w:r>
          </w:p>
        </w:tc>
        <w:tc>
          <w:tcPr>
            <w:tcW w:w="1134" w:type="dxa"/>
            <w:shd w:val="clear" w:color="000000" w:fill="FFFFFF"/>
            <w:noWrap/>
            <w:vAlign w:val="center"/>
          </w:tcPr>
          <w:p w:rsidR="00D32565" w:rsidRPr="00D32565" w:rsidRDefault="00D32565" w:rsidP="00DC3790">
            <w:pPr>
              <w:spacing w:after="0"/>
              <w:jc w:val="center"/>
              <w:rPr>
                <w:rFonts w:ascii="StobiSerif Regular" w:hAnsi="StobiSerif Regular" w:cs="Arial"/>
                <w:b/>
                <w:bCs/>
                <w:sz w:val="16"/>
                <w:szCs w:val="16"/>
                <w:lang w:val="en-US"/>
              </w:rPr>
            </w:pPr>
            <w:r w:rsidRPr="00D32565">
              <w:rPr>
                <w:rFonts w:ascii="StobiSerif Regular" w:hAnsi="StobiSerif Regular" w:cs="Arial"/>
                <w:b/>
                <w:bCs/>
                <w:sz w:val="16"/>
                <w:szCs w:val="16"/>
                <w:lang w:val="en-US"/>
              </w:rPr>
              <w:t>275.241</w:t>
            </w:r>
          </w:p>
        </w:tc>
        <w:tc>
          <w:tcPr>
            <w:tcW w:w="992" w:type="dxa"/>
            <w:shd w:val="clear" w:color="000000" w:fill="FFFFFF"/>
            <w:vAlign w:val="center"/>
          </w:tcPr>
          <w:p w:rsidR="00D32565" w:rsidRPr="00D32565" w:rsidRDefault="00D32565" w:rsidP="004C12B4">
            <w:pPr>
              <w:spacing w:after="0"/>
              <w:jc w:val="right"/>
              <w:rPr>
                <w:rFonts w:ascii="StobiSerif Regular" w:hAnsi="StobiSerif Regular" w:cs="Arial"/>
                <w:b/>
                <w:bCs/>
                <w:sz w:val="16"/>
                <w:szCs w:val="16"/>
                <w:lang w:val="en-US"/>
              </w:rPr>
            </w:pPr>
            <w:r w:rsidRPr="00D32565">
              <w:rPr>
                <w:rFonts w:ascii="StobiSerif Regular" w:hAnsi="StobiSerif Regular" w:cs="Arial"/>
                <w:b/>
                <w:bCs/>
                <w:sz w:val="16"/>
                <w:szCs w:val="16"/>
                <w:lang w:val="en-US"/>
              </w:rPr>
              <w:t>18.4</w:t>
            </w:r>
          </w:p>
        </w:tc>
      </w:tr>
    </w:tbl>
    <w:p w:rsidR="00784CD1" w:rsidRPr="00784CD1" w:rsidRDefault="00F021B2" w:rsidP="00784CD1">
      <w:pPr>
        <w:spacing w:after="0"/>
        <w:rPr>
          <w:rFonts w:ascii="StobiSerif Regular" w:hAnsi="StobiSerif Regular"/>
          <w:bCs/>
          <w:sz w:val="16"/>
          <w:szCs w:val="16"/>
          <w:lang w:val="en-US"/>
        </w:rPr>
      </w:pPr>
      <w:r w:rsidRPr="00F021B2">
        <w:rPr>
          <w:rFonts w:ascii="StobiSerif Regular" w:hAnsi="StobiSerif Regular"/>
          <w:sz w:val="16"/>
          <w:szCs w:val="16"/>
        </w:rPr>
        <w:t>Извор: Мониторинг систем  (2016)</w:t>
      </w:r>
    </w:p>
    <w:p w:rsidR="00784CD1" w:rsidRPr="00784CD1" w:rsidRDefault="00F021B2" w:rsidP="00B633FD">
      <w:pPr>
        <w:autoSpaceDE w:val="0"/>
        <w:autoSpaceDN w:val="0"/>
        <w:adjustRightInd w:val="0"/>
        <w:spacing w:before="120" w:after="120"/>
        <w:ind w:firstLine="284"/>
        <w:jc w:val="both"/>
        <w:rPr>
          <w:rFonts w:ascii="StobiSerif Regular" w:hAnsi="StobiSerif Regular"/>
          <w:lang w:val="en-US"/>
        </w:rPr>
      </w:pPr>
      <w:r w:rsidRPr="00F021B2">
        <w:rPr>
          <w:rFonts w:ascii="StobiSerif Regular" w:hAnsi="StobiSerif Regular"/>
          <w:lang w:val="en-US"/>
        </w:rPr>
        <w:t>О</w:t>
      </w:r>
      <w:r w:rsidR="003E2AB3">
        <w:rPr>
          <w:rFonts w:ascii="StobiSerif Regular" w:hAnsi="StobiSerif Regular"/>
          <w:lang w:val="en-US"/>
        </w:rPr>
        <w:t>д вкупно исплатениот износ, 189</w:t>
      </w:r>
      <w:r w:rsidR="003E2AB3">
        <w:rPr>
          <w:rFonts w:ascii="StobiSerif Regular" w:hAnsi="StobiSerif Regular"/>
        </w:rPr>
        <w:t>.</w:t>
      </w:r>
      <w:r w:rsidRPr="00F021B2">
        <w:rPr>
          <w:rFonts w:ascii="StobiSerif Regular" w:hAnsi="StobiSerif Regular"/>
          <w:lang w:val="en-US"/>
        </w:rPr>
        <w:t xml:space="preserve">230 евра беа </w:t>
      </w:r>
      <w:r w:rsidR="003E2AB3">
        <w:rPr>
          <w:rFonts w:ascii="StobiSerif Regular" w:hAnsi="StobiSerif Regular"/>
        </w:rPr>
        <w:t xml:space="preserve">исплатени </w:t>
      </w:r>
      <w:r w:rsidRPr="00F021B2">
        <w:rPr>
          <w:rFonts w:ascii="StobiSerif Regular" w:hAnsi="StobiSerif Regular"/>
          <w:lang w:val="en-US"/>
        </w:rPr>
        <w:t xml:space="preserve">во </w:t>
      </w:r>
      <w:r w:rsidR="003E2AB3">
        <w:rPr>
          <w:rFonts w:ascii="StobiSerif Regular" w:hAnsi="StobiSerif Regular"/>
        </w:rPr>
        <w:t xml:space="preserve">подмерката </w:t>
      </w:r>
      <w:r w:rsidRPr="00F021B2">
        <w:rPr>
          <w:rFonts w:ascii="StobiSerif Regular" w:hAnsi="StobiSerif Regular"/>
          <w:lang w:val="en-US"/>
        </w:rPr>
        <w:t xml:space="preserve">"Воспоставување и надградба на неземјоделски производствени активности </w:t>
      </w:r>
      <w:r w:rsidR="003E2AB3">
        <w:rPr>
          <w:rFonts w:ascii="StobiSerif Regular" w:hAnsi="StobiSerif Regular"/>
          <w:lang w:val="en-US"/>
        </w:rPr>
        <w:t>во руралните средини", а 86.011</w:t>
      </w:r>
      <w:r w:rsidR="003E2AB3">
        <w:rPr>
          <w:rFonts w:ascii="StobiSerif Regular" w:hAnsi="StobiSerif Regular"/>
        </w:rPr>
        <w:t xml:space="preserve"> </w:t>
      </w:r>
      <w:r w:rsidRPr="00F021B2">
        <w:rPr>
          <w:rFonts w:ascii="StobiSerif Regular" w:hAnsi="StobiSerif Regular"/>
          <w:lang w:val="en-US"/>
        </w:rPr>
        <w:t>€ беа</w:t>
      </w:r>
      <w:r w:rsidR="003E2AB3">
        <w:rPr>
          <w:rFonts w:ascii="StobiSerif Regular" w:hAnsi="StobiSerif Regular"/>
        </w:rPr>
        <w:t xml:space="preserve"> исплатени</w:t>
      </w:r>
      <w:r w:rsidRPr="00F021B2">
        <w:rPr>
          <w:rFonts w:ascii="StobiSerif Regular" w:hAnsi="StobiSerif Regular"/>
          <w:lang w:val="en-US"/>
        </w:rPr>
        <w:t xml:space="preserve"> во "Диверзификација на приходите од земјоделството и обезбедување на земјоделски услуги во руралните области", односно алтернативно земјоделство.</w:t>
      </w:r>
    </w:p>
    <w:p w:rsidR="0039347F" w:rsidRDefault="003E2AB3" w:rsidP="00B633FD">
      <w:pPr>
        <w:tabs>
          <w:tab w:val="left" w:pos="720"/>
        </w:tabs>
        <w:spacing w:after="120" w:line="240" w:lineRule="auto"/>
        <w:ind w:firstLine="284"/>
        <w:jc w:val="both"/>
        <w:rPr>
          <w:rFonts w:ascii="StobiSerif Regular" w:hAnsi="StobiSerif Regular"/>
        </w:rPr>
      </w:pPr>
      <w:bookmarkStart w:id="58" w:name="_Toc455052751"/>
      <w:r w:rsidRPr="003E2AB3">
        <w:rPr>
          <w:rFonts w:ascii="StobiSerif Regular" w:hAnsi="StobiSerif Regular"/>
          <w:lang w:val="en-US"/>
        </w:rPr>
        <w:t>Во секторот за рурален туризам се одобрени 481.249 евра, но евидентни се тешкотиите во спроведувањето на проектите.</w:t>
      </w:r>
      <w:r w:rsidR="0039347F">
        <w:rPr>
          <w:rFonts w:ascii="StobiSerif Regular" w:hAnsi="StobiSerif Regular"/>
          <w:lang w:val="en-US"/>
        </w:rPr>
        <w:t xml:space="preserve"> </w:t>
      </w:r>
    </w:p>
    <w:p w:rsidR="00F67CC9" w:rsidRPr="00374406" w:rsidRDefault="008A4251" w:rsidP="00173EFE">
      <w:pPr>
        <w:suppressAutoHyphens/>
        <w:overflowPunct w:val="0"/>
        <w:autoSpaceDE w:val="0"/>
        <w:spacing w:before="120" w:after="120"/>
        <w:jc w:val="both"/>
        <w:textAlignment w:val="baseline"/>
        <w:outlineLvl w:val="1"/>
        <w:rPr>
          <w:rFonts w:ascii="StobiSerif Regular" w:eastAsia="TimesNewRomanPS-BoldItalicMT" w:hAnsi="StobiSerif Regular" w:cs="StobiSerif Regular"/>
          <w:b/>
        </w:rPr>
      </w:pPr>
      <w:bookmarkStart w:id="59" w:name="_Toc455052752"/>
      <w:bookmarkStart w:id="60" w:name="_Toc485394814"/>
      <w:bookmarkEnd w:id="58"/>
      <w:r w:rsidRPr="003C68F4">
        <w:rPr>
          <w:rFonts w:ascii="StobiSerif Regular" w:eastAsia="TimesNewRomanPS-BoldItalicMT" w:hAnsi="StobiSerif Regular" w:cs="StobiSerif Regular"/>
          <w:b/>
          <w:lang w:val="en-US"/>
        </w:rPr>
        <w:t>2</w:t>
      </w:r>
      <w:r w:rsidR="00F67CC9" w:rsidRPr="003C68F4">
        <w:rPr>
          <w:rFonts w:ascii="StobiSerif Regular" w:eastAsia="TimesNewRomanPS-BoldItalicMT" w:hAnsi="StobiSerif Regular" w:cs="StobiSerif Regular"/>
          <w:b/>
          <w:lang w:val="en-US"/>
        </w:rPr>
        <w:t>.</w:t>
      </w:r>
      <w:r w:rsidR="00337424">
        <w:rPr>
          <w:rFonts w:ascii="StobiSerif Regular" w:eastAsia="TimesNewRomanPS-BoldItalicMT" w:hAnsi="StobiSerif Regular" w:cs="StobiSerif Regular"/>
          <w:b/>
        </w:rPr>
        <w:t>5</w:t>
      </w:r>
      <w:r w:rsidR="00F67CC9" w:rsidRPr="003C68F4">
        <w:rPr>
          <w:rFonts w:ascii="StobiSerif Regular" w:eastAsia="TimesNewRomanPS-BoldItalicMT" w:hAnsi="StobiSerif Regular" w:cs="StobiSerif Regular"/>
          <w:b/>
          <w:lang w:val="en-US"/>
        </w:rPr>
        <w:t xml:space="preserve"> </w:t>
      </w:r>
      <w:bookmarkEnd w:id="59"/>
      <w:r w:rsidR="00374406">
        <w:rPr>
          <w:rFonts w:ascii="StobiSerif Regular" w:eastAsia="TimesNewRomanPS-BoldItalicMT" w:hAnsi="StobiSerif Regular" w:cs="StobiSerif Regular"/>
          <w:b/>
        </w:rPr>
        <w:t>Географска анализа</w:t>
      </w:r>
      <w:bookmarkEnd w:id="60"/>
    </w:p>
    <w:p w:rsidR="00CD5E34" w:rsidRPr="00CD5E34" w:rsidRDefault="00CD5E34" w:rsidP="00CD5E34">
      <w:pPr>
        <w:spacing w:after="0"/>
        <w:ind w:firstLine="284"/>
        <w:jc w:val="both"/>
        <w:rPr>
          <w:rFonts w:ascii="StobiSerif Regular" w:hAnsi="StobiSerif Regular"/>
          <w:lang w:val="en-US"/>
        </w:rPr>
      </w:pPr>
      <w:r w:rsidRPr="00CD5E34">
        <w:rPr>
          <w:rFonts w:ascii="StobiSerif Regular" w:hAnsi="StobiSerif Regular"/>
          <w:lang w:val="en-US"/>
        </w:rPr>
        <w:t>Географска анализа за ИПАРД програмата и поддршка за регионален развој на Република Македонија се врши според статистичките региони (НУТС 3).</w:t>
      </w:r>
    </w:p>
    <w:p w:rsidR="00CD5E34" w:rsidRDefault="00CD5E34" w:rsidP="00872186">
      <w:pPr>
        <w:spacing w:after="0"/>
        <w:jc w:val="both"/>
        <w:rPr>
          <w:rFonts w:ascii="StobiSerif Regular" w:hAnsi="StobiSerif Regular"/>
        </w:rPr>
      </w:pPr>
      <w:r w:rsidRPr="00CD5E34">
        <w:rPr>
          <w:rFonts w:ascii="StobiSerif Regular" w:hAnsi="StobiSerif Regular"/>
          <w:lang w:val="en-US"/>
        </w:rPr>
        <w:t>За сите три мерки најго</w:t>
      </w:r>
      <w:r w:rsidR="00872186">
        <w:rPr>
          <w:rFonts w:ascii="StobiSerif Regular" w:hAnsi="StobiSerif Regular"/>
          <w:lang w:val="en-US"/>
        </w:rPr>
        <w:t>лем дел од поддржани проекти</w:t>
      </w:r>
      <w:r w:rsidRPr="00CD5E34">
        <w:rPr>
          <w:rFonts w:ascii="StobiSerif Regular" w:hAnsi="StobiSerif Regular"/>
          <w:lang w:val="en-US"/>
        </w:rPr>
        <w:t xml:space="preserve"> доаѓаат од Пелагонискиот регион (374), по што следуваат Вардарскиот регион (187), Исток (63) и Југоисток (62). </w:t>
      </w:r>
      <w:r w:rsidR="00872186">
        <w:rPr>
          <w:rFonts w:ascii="StobiSerif Regular" w:hAnsi="StobiSerif Regular"/>
        </w:rPr>
        <w:t xml:space="preserve">Освен </w:t>
      </w:r>
      <w:r w:rsidR="00872186">
        <w:rPr>
          <w:rFonts w:ascii="StobiSerif Regular" w:hAnsi="StobiSerif Regular"/>
          <w:lang w:val="en-US"/>
        </w:rPr>
        <w:t>во мерката 103</w:t>
      </w:r>
      <w:r w:rsidR="00872186">
        <w:rPr>
          <w:rFonts w:ascii="StobiSerif Regular" w:hAnsi="StobiSerif Regular"/>
        </w:rPr>
        <w:t xml:space="preserve"> каде</w:t>
      </w:r>
      <w:r w:rsidRPr="00CD5E34">
        <w:rPr>
          <w:rFonts w:ascii="StobiSerif Regular" w:hAnsi="StobiSerif Regular"/>
          <w:lang w:val="en-US"/>
        </w:rPr>
        <w:t xml:space="preserve"> најмногу поддржани проекти доаѓаат од Југоисточниот и Источниот регион, со девет во секој регион.</w:t>
      </w:r>
    </w:p>
    <w:p w:rsidR="00275996" w:rsidRPr="00A60EA9" w:rsidRDefault="00CD5E34" w:rsidP="00F67CC9">
      <w:pPr>
        <w:spacing w:after="0"/>
        <w:jc w:val="both"/>
        <w:rPr>
          <w:rFonts w:ascii="StobiSerif Regular" w:hAnsi="StobiSerif Regular"/>
          <w:b/>
        </w:rPr>
      </w:pPr>
      <w:bookmarkStart w:id="61" w:name="_Toc485394920"/>
      <w:r w:rsidRPr="00A60EA9">
        <w:rPr>
          <w:rFonts w:ascii="StobiSerif Regular" w:eastAsia="Times New Roman" w:hAnsi="StobiSerif Regular" w:cs="Times New Roman"/>
          <w:b/>
          <w:sz w:val="20"/>
          <w:szCs w:val="20"/>
          <w:lang w:eastAsia="en-GB"/>
        </w:rPr>
        <w:t xml:space="preserve">Табела </w:t>
      </w:r>
      <w:r w:rsidR="00275996" w:rsidRPr="00A60EA9">
        <w:rPr>
          <w:rFonts w:ascii="StobiSerif Regular" w:eastAsia="Times New Roman" w:hAnsi="StobiSerif Regular" w:cs="Times New Roman"/>
          <w:b/>
          <w:sz w:val="20"/>
          <w:szCs w:val="20"/>
          <w:lang w:val="en-GB" w:eastAsia="en-GB"/>
        </w:rPr>
        <w:fldChar w:fldCharType="begin"/>
      </w:r>
      <w:r w:rsidR="00275996" w:rsidRPr="00A60EA9">
        <w:rPr>
          <w:rFonts w:ascii="StobiSerif Regular" w:eastAsia="Times New Roman" w:hAnsi="StobiSerif Regular" w:cs="Times New Roman"/>
          <w:b/>
          <w:sz w:val="20"/>
          <w:szCs w:val="20"/>
          <w:lang w:val="en-GB" w:eastAsia="en-GB"/>
        </w:rPr>
        <w:instrText xml:space="preserve"> SEQ Table \* ARABIC </w:instrText>
      </w:r>
      <w:r w:rsidR="00275996" w:rsidRPr="00A60EA9">
        <w:rPr>
          <w:rFonts w:ascii="StobiSerif Regular" w:eastAsia="Times New Roman" w:hAnsi="StobiSerif Regular" w:cs="Times New Roman"/>
          <w:b/>
          <w:sz w:val="20"/>
          <w:szCs w:val="20"/>
          <w:lang w:val="en-GB" w:eastAsia="en-GB"/>
        </w:rPr>
        <w:fldChar w:fldCharType="separate"/>
      </w:r>
      <w:r w:rsidR="00034E81" w:rsidRPr="00A60EA9">
        <w:rPr>
          <w:rFonts w:ascii="StobiSerif Regular" w:eastAsia="Times New Roman" w:hAnsi="StobiSerif Regular" w:cs="Times New Roman"/>
          <w:b/>
          <w:noProof/>
          <w:sz w:val="20"/>
          <w:szCs w:val="20"/>
          <w:lang w:val="en-GB" w:eastAsia="en-GB"/>
        </w:rPr>
        <w:t>29</w:t>
      </w:r>
      <w:r w:rsidR="00275996" w:rsidRPr="00A60EA9">
        <w:rPr>
          <w:rFonts w:ascii="StobiSerif Regular" w:eastAsia="Times New Roman" w:hAnsi="StobiSerif Regular" w:cs="Times New Roman"/>
          <w:b/>
          <w:sz w:val="20"/>
          <w:szCs w:val="20"/>
          <w:lang w:val="en-GB" w:eastAsia="en-GB"/>
        </w:rPr>
        <w:fldChar w:fldCharType="end"/>
      </w:r>
      <w:r w:rsidR="00275996" w:rsidRPr="00A60EA9">
        <w:rPr>
          <w:rFonts w:ascii="StobiSerif Regular" w:eastAsia="Times New Roman" w:hAnsi="StobiSerif Regular" w:cs="Arial"/>
          <w:b/>
          <w:lang w:val="en-US" w:eastAsia="zh-CN"/>
        </w:rPr>
        <w:t>:</w:t>
      </w:r>
      <w:r w:rsidR="00E53655" w:rsidRPr="00A60EA9">
        <w:rPr>
          <w:rFonts w:ascii="StobiSerif Regular" w:eastAsia="Times New Roman" w:hAnsi="StobiSerif Regular" w:cs="Arial"/>
          <w:b/>
          <w:lang w:val="en-US" w:eastAsia="zh-CN"/>
        </w:rPr>
        <w:t xml:space="preserve"> </w:t>
      </w:r>
      <w:r w:rsidRPr="00A60EA9">
        <w:rPr>
          <w:rFonts w:ascii="StobiSerif Regular" w:eastAsia="Times New Roman" w:hAnsi="StobiSerif Regular" w:cs="Arial"/>
          <w:b/>
          <w:lang w:eastAsia="zh-CN"/>
        </w:rPr>
        <w:t>Број на проекти по региони и мерки</w:t>
      </w:r>
      <w:bookmarkEnd w:id="61"/>
    </w:p>
    <w:tbl>
      <w:tblPr>
        <w:tblW w:w="9923" w:type="dxa"/>
        <w:jc w:val="center"/>
        <w:tblLook w:val="04A0" w:firstRow="1" w:lastRow="0" w:firstColumn="1" w:lastColumn="0" w:noHBand="0" w:noVBand="1"/>
      </w:tblPr>
      <w:tblGrid>
        <w:gridCol w:w="874"/>
        <w:gridCol w:w="1218"/>
        <w:gridCol w:w="960"/>
        <w:gridCol w:w="1338"/>
        <w:gridCol w:w="1080"/>
        <w:gridCol w:w="802"/>
        <w:gridCol w:w="1116"/>
        <w:gridCol w:w="750"/>
        <w:gridCol w:w="810"/>
        <w:gridCol w:w="992"/>
      </w:tblGrid>
      <w:tr w:rsidR="000D70A2" w:rsidRPr="00EC154B" w:rsidTr="00B518DD">
        <w:trPr>
          <w:trHeight w:val="600"/>
          <w:jc w:val="center"/>
        </w:trPr>
        <w:tc>
          <w:tcPr>
            <w:tcW w:w="857" w:type="dxa"/>
            <w:tcBorders>
              <w:top w:val="single" w:sz="12" w:space="0" w:color="auto"/>
              <w:left w:val="single" w:sz="12" w:space="0" w:color="auto"/>
              <w:bottom w:val="single" w:sz="6" w:space="0" w:color="auto"/>
              <w:right w:val="single" w:sz="6" w:space="0" w:color="auto"/>
            </w:tcBorders>
            <w:shd w:val="clear" w:color="auto" w:fill="auto"/>
            <w:noWrap/>
            <w:vAlign w:val="bottom"/>
            <w:hideMark/>
          </w:tcPr>
          <w:p w:rsidR="00F67CC9" w:rsidRPr="00F67CC9" w:rsidRDefault="00F67CC9" w:rsidP="00F67CC9">
            <w:pPr>
              <w:spacing w:after="0" w:line="240" w:lineRule="auto"/>
              <w:jc w:val="center"/>
              <w:rPr>
                <w:rFonts w:ascii="StobiSerif Regular" w:eastAsia="Times New Roman" w:hAnsi="StobiSerif Regular" w:cs="Times New Roman"/>
                <w:color w:val="000000"/>
                <w:sz w:val="18"/>
                <w:szCs w:val="18"/>
                <w:lang w:eastAsia="mk-MK"/>
              </w:rPr>
            </w:pPr>
            <w:r w:rsidRPr="00F67CC9">
              <w:rPr>
                <w:rFonts w:ascii="StobiSerif Regular" w:eastAsia="Times New Roman" w:hAnsi="StobiSerif Regular" w:cs="Times New Roman"/>
                <w:color w:val="000000"/>
                <w:sz w:val="18"/>
                <w:szCs w:val="18"/>
                <w:lang w:eastAsia="mk-MK"/>
              </w:rPr>
              <w:t> </w:t>
            </w:r>
          </w:p>
        </w:tc>
        <w:tc>
          <w:tcPr>
            <w:tcW w:w="1218"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F67CC9" w:rsidRPr="00F67CC9" w:rsidRDefault="001564C7"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 xml:space="preserve">Пелагонија </w:t>
            </w:r>
          </w:p>
        </w:tc>
        <w:tc>
          <w:tcPr>
            <w:tcW w:w="960"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F67CC9" w:rsidRPr="00F67CC9" w:rsidRDefault="001564C7"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Вардар</w:t>
            </w:r>
          </w:p>
        </w:tc>
        <w:tc>
          <w:tcPr>
            <w:tcW w:w="1338" w:type="dxa"/>
            <w:tcBorders>
              <w:top w:val="single" w:sz="12" w:space="0" w:color="auto"/>
              <w:left w:val="single" w:sz="6" w:space="0" w:color="auto"/>
              <w:bottom w:val="single" w:sz="6" w:space="0" w:color="auto"/>
              <w:right w:val="single" w:sz="6" w:space="0" w:color="auto"/>
            </w:tcBorders>
            <w:shd w:val="clear" w:color="auto" w:fill="auto"/>
            <w:vAlign w:val="bottom"/>
            <w:hideMark/>
          </w:tcPr>
          <w:p w:rsidR="00F67CC9" w:rsidRPr="00F67CC9" w:rsidRDefault="001564C7"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 xml:space="preserve">Североисток </w:t>
            </w:r>
          </w:p>
        </w:tc>
        <w:tc>
          <w:tcPr>
            <w:tcW w:w="1080" w:type="dxa"/>
            <w:tcBorders>
              <w:top w:val="single" w:sz="12" w:space="0" w:color="auto"/>
              <w:left w:val="single" w:sz="6" w:space="0" w:color="auto"/>
              <w:bottom w:val="single" w:sz="6" w:space="0" w:color="auto"/>
              <w:right w:val="single" w:sz="6" w:space="0" w:color="auto"/>
            </w:tcBorders>
            <w:shd w:val="clear" w:color="auto" w:fill="auto"/>
            <w:vAlign w:val="bottom"/>
            <w:hideMark/>
          </w:tcPr>
          <w:p w:rsidR="00F67CC9" w:rsidRPr="00F67CC9" w:rsidRDefault="001564C7"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Југозапад</w:t>
            </w:r>
          </w:p>
        </w:tc>
        <w:tc>
          <w:tcPr>
            <w:tcW w:w="802"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F67CC9" w:rsidRPr="00F67CC9" w:rsidRDefault="001564C7"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 xml:space="preserve">Скопје </w:t>
            </w:r>
          </w:p>
        </w:tc>
        <w:tc>
          <w:tcPr>
            <w:tcW w:w="1116" w:type="dxa"/>
            <w:tcBorders>
              <w:top w:val="single" w:sz="12" w:space="0" w:color="auto"/>
              <w:left w:val="single" w:sz="6" w:space="0" w:color="auto"/>
              <w:bottom w:val="single" w:sz="6" w:space="0" w:color="auto"/>
              <w:right w:val="single" w:sz="6" w:space="0" w:color="auto"/>
            </w:tcBorders>
            <w:shd w:val="clear" w:color="auto" w:fill="auto"/>
            <w:vAlign w:val="bottom"/>
            <w:hideMark/>
          </w:tcPr>
          <w:p w:rsidR="00F67CC9" w:rsidRPr="00F67CC9" w:rsidRDefault="001564C7"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 xml:space="preserve">Југоисток </w:t>
            </w:r>
          </w:p>
        </w:tc>
        <w:tc>
          <w:tcPr>
            <w:tcW w:w="750"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F67CC9" w:rsidRPr="00F67CC9" w:rsidRDefault="001564C7"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 xml:space="preserve">Полог </w:t>
            </w:r>
          </w:p>
        </w:tc>
        <w:tc>
          <w:tcPr>
            <w:tcW w:w="810"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F67CC9" w:rsidRPr="00F67CC9" w:rsidRDefault="001564C7"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Исток</w:t>
            </w:r>
          </w:p>
        </w:tc>
        <w:tc>
          <w:tcPr>
            <w:tcW w:w="992" w:type="dxa"/>
            <w:tcBorders>
              <w:top w:val="single" w:sz="12" w:space="0" w:color="auto"/>
              <w:left w:val="single" w:sz="6" w:space="0" w:color="auto"/>
              <w:bottom w:val="single" w:sz="6" w:space="0" w:color="auto"/>
              <w:right w:val="single" w:sz="12" w:space="0" w:color="auto"/>
            </w:tcBorders>
            <w:shd w:val="clear" w:color="auto" w:fill="auto"/>
            <w:noWrap/>
            <w:vAlign w:val="bottom"/>
            <w:hideMark/>
          </w:tcPr>
          <w:p w:rsidR="00F67CC9" w:rsidRPr="00F67CC9" w:rsidRDefault="001564C7"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 xml:space="preserve">Вкупно </w:t>
            </w:r>
          </w:p>
        </w:tc>
      </w:tr>
      <w:tr w:rsidR="00F67CC9" w:rsidRPr="00F67CC9" w:rsidTr="00B518DD">
        <w:trPr>
          <w:trHeight w:val="300"/>
          <w:jc w:val="center"/>
        </w:trPr>
        <w:tc>
          <w:tcPr>
            <w:tcW w:w="857"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F67CC9" w:rsidRPr="00F67CC9" w:rsidRDefault="00F67CC9" w:rsidP="00F67CC9">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101</w:t>
            </w:r>
          </w:p>
        </w:tc>
        <w:tc>
          <w:tcPr>
            <w:tcW w:w="12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366</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182</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24</w:t>
            </w:r>
          </w:p>
        </w:tc>
        <w:tc>
          <w:tcPr>
            <w:tcW w:w="8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8</w:t>
            </w:r>
          </w:p>
        </w:tc>
        <w:tc>
          <w:tcPr>
            <w:tcW w:w="111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53</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2</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51</w:t>
            </w:r>
          </w:p>
        </w:tc>
        <w:tc>
          <w:tcPr>
            <w:tcW w:w="992"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693</w:t>
            </w:r>
          </w:p>
        </w:tc>
      </w:tr>
      <w:tr w:rsidR="00F67CC9" w:rsidRPr="00F67CC9" w:rsidTr="00B518DD">
        <w:trPr>
          <w:trHeight w:val="300"/>
          <w:jc w:val="center"/>
        </w:trPr>
        <w:tc>
          <w:tcPr>
            <w:tcW w:w="857"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F67CC9" w:rsidRPr="00F67CC9" w:rsidRDefault="00F67CC9" w:rsidP="00F67CC9">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103</w:t>
            </w:r>
          </w:p>
        </w:tc>
        <w:tc>
          <w:tcPr>
            <w:tcW w:w="12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6</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5</w:t>
            </w:r>
          </w:p>
        </w:tc>
        <w:tc>
          <w:tcPr>
            <w:tcW w:w="13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1</w:t>
            </w:r>
          </w:p>
        </w:tc>
        <w:tc>
          <w:tcPr>
            <w:tcW w:w="8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4</w:t>
            </w:r>
          </w:p>
        </w:tc>
        <w:tc>
          <w:tcPr>
            <w:tcW w:w="111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9</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1</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9</w:t>
            </w:r>
          </w:p>
        </w:tc>
        <w:tc>
          <w:tcPr>
            <w:tcW w:w="992"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37</w:t>
            </w:r>
          </w:p>
        </w:tc>
      </w:tr>
      <w:tr w:rsidR="00DF69E1" w:rsidRPr="00EC154B" w:rsidTr="00B518DD">
        <w:trPr>
          <w:trHeight w:val="300"/>
          <w:jc w:val="center"/>
        </w:trPr>
        <w:tc>
          <w:tcPr>
            <w:tcW w:w="857" w:type="dxa"/>
            <w:tcBorders>
              <w:top w:val="single" w:sz="6" w:space="0" w:color="auto"/>
              <w:left w:val="single" w:sz="12" w:space="0" w:color="auto"/>
              <w:bottom w:val="dashed" w:sz="12" w:space="0" w:color="00B0F0"/>
              <w:right w:val="single" w:sz="6" w:space="0" w:color="auto"/>
            </w:tcBorders>
            <w:shd w:val="clear" w:color="auto" w:fill="auto"/>
            <w:noWrap/>
            <w:vAlign w:val="center"/>
            <w:hideMark/>
          </w:tcPr>
          <w:p w:rsidR="00F67CC9" w:rsidRPr="00F67CC9" w:rsidRDefault="00F67CC9" w:rsidP="00F67CC9">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302</w:t>
            </w:r>
          </w:p>
        </w:tc>
        <w:tc>
          <w:tcPr>
            <w:tcW w:w="1218" w:type="dxa"/>
            <w:tcBorders>
              <w:top w:val="single" w:sz="6" w:space="0" w:color="auto"/>
              <w:left w:val="single" w:sz="6" w:space="0" w:color="auto"/>
              <w:bottom w:val="dashed" w:sz="12" w:space="0" w:color="00B0F0"/>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2</w:t>
            </w:r>
          </w:p>
        </w:tc>
        <w:tc>
          <w:tcPr>
            <w:tcW w:w="960" w:type="dxa"/>
            <w:tcBorders>
              <w:top w:val="single" w:sz="6" w:space="0" w:color="auto"/>
              <w:left w:val="single" w:sz="6" w:space="0" w:color="auto"/>
              <w:bottom w:val="dashed" w:sz="12" w:space="0" w:color="00B0F0"/>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0</w:t>
            </w:r>
          </w:p>
        </w:tc>
        <w:tc>
          <w:tcPr>
            <w:tcW w:w="1338" w:type="dxa"/>
            <w:tcBorders>
              <w:top w:val="single" w:sz="6" w:space="0" w:color="auto"/>
              <w:left w:val="single" w:sz="6" w:space="0" w:color="auto"/>
              <w:bottom w:val="dashed" w:sz="12" w:space="0" w:color="00B0F0"/>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0</w:t>
            </w:r>
          </w:p>
        </w:tc>
        <w:tc>
          <w:tcPr>
            <w:tcW w:w="1080" w:type="dxa"/>
            <w:tcBorders>
              <w:top w:val="single" w:sz="6" w:space="0" w:color="auto"/>
              <w:left w:val="single" w:sz="6" w:space="0" w:color="auto"/>
              <w:bottom w:val="dashed" w:sz="12" w:space="0" w:color="00B0F0"/>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1</w:t>
            </w:r>
          </w:p>
        </w:tc>
        <w:tc>
          <w:tcPr>
            <w:tcW w:w="802" w:type="dxa"/>
            <w:tcBorders>
              <w:top w:val="single" w:sz="6" w:space="0" w:color="auto"/>
              <w:left w:val="single" w:sz="6" w:space="0" w:color="auto"/>
              <w:bottom w:val="dashed" w:sz="12" w:space="0" w:color="00B0F0"/>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2</w:t>
            </w:r>
          </w:p>
        </w:tc>
        <w:tc>
          <w:tcPr>
            <w:tcW w:w="1116" w:type="dxa"/>
            <w:tcBorders>
              <w:top w:val="single" w:sz="6" w:space="0" w:color="auto"/>
              <w:left w:val="single" w:sz="6" w:space="0" w:color="auto"/>
              <w:bottom w:val="dashed" w:sz="12" w:space="0" w:color="00B0F0"/>
              <w:right w:val="single" w:sz="6" w:space="0" w:color="auto"/>
            </w:tcBorders>
            <w:shd w:val="clear" w:color="auto" w:fill="auto"/>
            <w:vAlign w:val="center"/>
            <w:hideMark/>
          </w:tcPr>
          <w:p w:rsidR="00F67CC9" w:rsidRPr="00F67CC9" w:rsidRDefault="00E9584C" w:rsidP="005B1E3B">
            <w:pPr>
              <w:spacing w:after="0" w:line="240" w:lineRule="auto"/>
              <w:jc w:val="center"/>
              <w:rPr>
                <w:rFonts w:ascii="StobiSerif Regular" w:eastAsia="Times New Roman" w:hAnsi="StobiSerif Regular" w:cs="Arial"/>
                <w:sz w:val="18"/>
                <w:szCs w:val="18"/>
                <w:lang w:val="en-US" w:eastAsia="mk-MK"/>
              </w:rPr>
            </w:pPr>
            <w:r w:rsidRPr="00EC154B">
              <w:rPr>
                <w:rFonts w:ascii="StobiSerif Regular" w:eastAsia="Times New Roman" w:hAnsi="StobiSerif Regular" w:cs="Arial"/>
                <w:sz w:val="18"/>
                <w:szCs w:val="18"/>
                <w:lang w:val="en-US" w:eastAsia="mk-MK"/>
              </w:rPr>
              <w:t>0</w:t>
            </w:r>
          </w:p>
        </w:tc>
        <w:tc>
          <w:tcPr>
            <w:tcW w:w="750" w:type="dxa"/>
            <w:tcBorders>
              <w:top w:val="single" w:sz="6" w:space="0" w:color="auto"/>
              <w:left w:val="single" w:sz="6" w:space="0" w:color="auto"/>
              <w:bottom w:val="dashed" w:sz="12" w:space="0" w:color="00B0F0"/>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0</w:t>
            </w:r>
          </w:p>
        </w:tc>
        <w:tc>
          <w:tcPr>
            <w:tcW w:w="810" w:type="dxa"/>
            <w:tcBorders>
              <w:top w:val="single" w:sz="6" w:space="0" w:color="auto"/>
              <w:left w:val="single" w:sz="6" w:space="0" w:color="auto"/>
              <w:bottom w:val="dashed" w:sz="12" w:space="0" w:color="00B0F0"/>
              <w:right w:val="single" w:sz="6" w:space="0" w:color="auto"/>
            </w:tcBorders>
            <w:shd w:val="clear" w:color="auto" w:fill="auto"/>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3</w:t>
            </w:r>
          </w:p>
        </w:tc>
        <w:tc>
          <w:tcPr>
            <w:tcW w:w="992" w:type="dxa"/>
            <w:tcBorders>
              <w:top w:val="single" w:sz="6" w:space="0" w:color="auto"/>
              <w:left w:val="single" w:sz="6" w:space="0" w:color="auto"/>
              <w:bottom w:val="dashed" w:sz="12" w:space="0" w:color="00B0F0"/>
              <w:right w:val="single" w:sz="12"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8</w:t>
            </w:r>
          </w:p>
        </w:tc>
      </w:tr>
      <w:tr w:rsidR="00DF69E1" w:rsidRPr="00EC154B" w:rsidTr="00B518DD">
        <w:trPr>
          <w:trHeight w:val="285"/>
          <w:jc w:val="center"/>
        </w:trPr>
        <w:tc>
          <w:tcPr>
            <w:tcW w:w="857" w:type="dxa"/>
            <w:tcBorders>
              <w:top w:val="dashed" w:sz="12" w:space="0" w:color="00B0F0"/>
              <w:left w:val="single" w:sz="12" w:space="0" w:color="auto"/>
              <w:bottom w:val="single" w:sz="12" w:space="0" w:color="auto"/>
              <w:right w:val="single" w:sz="6" w:space="0" w:color="auto"/>
            </w:tcBorders>
            <w:shd w:val="clear" w:color="auto" w:fill="auto"/>
            <w:vAlign w:val="bottom"/>
            <w:hideMark/>
          </w:tcPr>
          <w:p w:rsidR="00F67CC9" w:rsidRPr="00F67CC9" w:rsidRDefault="00B518DD" w:rsidP="00F67CC9">
            <w:pPr>
              <w:spacing w:after="0" w:line="240" w:lineRule="auto"/>
              <w:jc w:val="center"/>
              <w:rPr>
                <w:rFonts w:ascii="StobiSerif Regular" w:eastAsia="Times New Roman" w:hAnsi="StobiSerif Regular" w:cs="Times New Roman"/>
                <w:color w:val="000000"/>
                <w:sz w:val="18"/>
                <w:szCs w:val="18"/>
                <w:lang w:eastAsia="mk-MK"/>
              </w:rPr>
            </w:pPr>
            <w:r>
              <w:rPr>
                <w:rFonts w:ascii="StobiSerif Regular" w:eastAsia="Times New Roman" w:hAnsi="StobiSerif Regular" w:cs="Times New Roman"/>
                <w:color w:val="000000"/>
                <w:sz w:val="18"/>
                <w:szCs w:val="18"/>
                <w:lang w:eastAsia="mk-MK"/>
              </w:rPr>
              <w:t>Вкупно</w:t>
            </w:r>
          </w:p>
        </w:tc>
        <w:tc>
          <w:tcPr>
            <w:tcW w:w="1218" w:type="dxa"/>
            <w:tcBorders>
              <w:top w:val="dashed" w:sz="12" w:space="0" w:color="00B0F0"/>
              <w:left w:val="single" w:sz="6" w:space="0" w:color="auto"/>
              <w:bottom w:val="single" w:sz="12" w:space="0" w:color="auto"/>
              <w:right w:val="single" w:sz="6"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374</w:t>
            </w:r>
          </w:p>
        </w:tc>
        <w:tc>
          <w:tcPr>
            <w:tcW w:w="960" w:type="dxa"/>
            <w:tcBorders>
              <w:top w:val="dashed" w:sz="12" w:space="0" w:color="00B0F0"/>
              <w:left w:val="single" w:sz="6" w:space="0" w:color="auto"/>
              <w:bottom w:val="single" w:sz="12" w:space="0" w:color="auto"/>
              <w:right w:val="single" w:sz="6"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187</w:t>
            </w:r>
          </w:p>
        </w:tc>
        <w:tc>
          <w:tcPr>
            <w:tcW w:w="1338" w:type="dxa"/>
            <w:tcBorders>
              <w:top w:val="dashed" w:sz="12" w:space="0" w:color="00B0F0"/>
              <w:left w:val="single" w:sz="6" w:space="0" w:color="auto"/>
              <w:bottom w:val="single" w:sz="12" w:space="0" w:color="auto"/>
              <w:right w:val="single" w:sz="6"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9</w:t>
            </w:r>
          </w:p>
        </w:tc>
        <w:tc>
          <w:tcPr>
            <w:tcW w:w="1080" w:type="dxa"/>
            <w:tcBorders>
              <w:top w:val="dashed" w:sz="12" w:space="0" w:color="00B0F0"/>
              <w:left w:val="single" w:sz="6" w:space="0" w:color="auto"/>
              <w:bottom w:val="single" w:sz="12" w:space="0" w:color="auto"/>
              <w:right w:val="single" w:sz="6"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26</w:t>
            </w:r>
          </w:p>
        </w:tc>
        <w:tc>
          <w:tcPr>
            <w:tcW w:w="802" w:type="dxa"/>
            <w:tcBorders>
              <w:top w:val="dashed" w:sz="12" w:space="0" w:color="00B0F0"/>
              <w:left w:val="single" w:sz="6" w:space="0" w:color="auto"/>
              <w:bottom w:val="single" w:sz="12" w:space="0" w:color="auto"/>
              <w:right w:val="single" w:sz="6"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14</w:t>
            </w:r>
          </w:p>
        </w:tc>
        <w:tc>
          <w:tcPr>
            <w:tcW w:w="1116" w:type="dxa"/>
            <w:tcBorders>
              <w:top w:val="dashed" w:sz="12" w:space="0" w:color="00B0F0"/>
              <w:left w:val="single" w:sz="6" w:space="0" w:color="auto"/>
              <w:bottom w:val="single" w:sz="12" w:space="0" w:color="auto"/>
              <w:right w:val="single" w:sz="6"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62</w:t>
            </w:r>
          </w:p>
        </w:tc>
        <w:tc>
          <w:tcPr>
            <w:tcW w:w="750" w:type="dxa"/>
            <w:tcBorders>
              <w:top w:val="dashed" w:sz="12" w:space="0" w:color="00B0F0"/>
              <w:left w:val="single" w:sz="6" w:space="0" w:color="auto"/>
              <w:bottom w:val="single" w:sz="12" w:space="0" w:color="auto"/>
              <w:right w:val="single" w:sz="6"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3</w:t>
            </w:r>
          </w:p>
        </w:tc>
        <w:tc>
          <w:tcPr>
            <w:tcW w:w="810" w:type="dxa"/>
            <w:tcBorders>
              <w:top w:val="dashed" w:sz="12" w:space="0" w:color="00B0F0"/>
              <w:left w:val="single" w:sz="6" w:space="0" w:color="auto"/>
              <w:bottom w:val="single" w:sz="12" w:space="0" w:color="auto"/>
              <w:right w:val="single" w:sz="6"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63</w:t>
            </w:r>
          </w:p>
        </w:tc>
        <w:tc>
          <w:tcPr>
            <w:tcW w:w="992" w:type="dxa"/>
            <w:tcBorders>
              <w:top w:val="dashed" w:sz="12" w:space="0" w:color="00B0F0"/>
              <w:left w:val="single" w:sz="6" w:space="0" w:color="auto"/>
              <w:bottom w:val="single" w:sz="12" w:space="0" w:color="auto"/>
              <w:right w:val="single" w:sz="12" w:space="0" w:color="auto"/>
            </w:tcBorders>
            <w:shd w:val="clear" w:color="auto" w:fill="auto"/>
            <w:noWrap/>
            <w:vAlign w:val="center"/>
            <w:hideMark/>
          </w:tcPr>
          <w:p w:rsidR="00F67CC9" w:rsidRPr="00F67CC9" w:rsidRDefault="00F67CC9" w:rsidP="005B1E3B">
            <w:pPr>
              <w:spacing w:after="0" w:line="240" w:lineRule="auto"/>
              <w:jc w:val="center"/>
              <w:rPr>
                <w:rFonts w:ascii="StobiSerif Regular" w:eastAsia="Times New Roman" w:hAnsi="StobiSerif Regular" w:cs="Arial"/>
                <w:sz w:val="18"/>
                <w:szCs w:val="18"/>
                <w:lang w:eastAsia="mk-MK"/>
              </w:rPr>
            </w:pPr>
            <w:r w:rsidRPr="00F67CC9">
              <w:rPr>
                <w:rFonts w:ascii="StobiSerif Regular" w:eastAsia="Times New Roman" w:hAnsi="StobiSerif Regular" w:cs="Arial"/>
                <w:sz w:val="18"/>
                <w:szCs w:val="18"/>
                <w:lang w:eastAsia="mk-MK"/>
              </w:rPr>
              <w:t>738</w:t>
            </w:r>
          </w:p>
        </w:tc>
      </w:tr>
    </w:tbl>
    <w:p w:rsidR="00275996" w:rsidRDefault="00B518DD" w:rsidP="00275996">
      <w:pPr>
        <w:spacing w:after="0"/>
        <w:jc w:val="both"/>
        <w:rPr>
          <w:rFonts w:ascii="StobiSerif Regular" w:hAnsi="StobiSerif Regular"/>
          <w:sz w:val="16"/>
          <w:szCs w:val="16"/>
          <w:lang w:val="en-US"/>
        </w:rPr>
      </w:pPr>
      <w:r>
        <w:rPr>
          <w:rFonts w:ascii="StobiSerif Regular" w:hAnsi="StobiSerif Regular"/>
          <w:sz w:val="16"/>
          <w:szCs w:val="16"/>
        </w:rPr>
        <w:t>Извор: Мониторинг систем  (2016)</w:t>
      </w:r>
    </w:p>
    <w:p w:rsidR="001B2322" w:rsidRDefault="00CD5E34" w:rsidP="006D34C8">
      <w:pPr>
        <w:spacing w:before="120" w:after="120"/>
        <w:jc w:val="both"/>
        <w:rPr>
          <w:rFonts w:ascii="StobiSerif Regular" w:hAnsi="StobiSerif Regular"/>
          <w:lang w:val="en-US"/>
        </w:rPr>
      </w:pPr>
      <w:r w:rsidRPr="00CD5E34">
        <w:rPr>
          <w:rFonts w:ascii="StobiSerif Regular" w:hAnsi="StobiSerif Regular"/>
          <w:lang w:val="en-US"/>
        </w:rPr>
        <w:t>Во мерката 302, три поддржани проекти се од Источниот регион, два од Скопје и Пелагонија и еден од Југозападниот регион</w:t>
      </w:r>
      <w:r w:rsidR="00D84D46">
        <w:rPr>
          <w:rFonts w:ascii="StobiSerif Regular" w:hAnsi="StobiSerif Regular"/>
          <w:lang w:val="en-US"/>
        </w:rPr>
        <w:t>.</w:t>
      </w:r>
    </w:p>
    <w:p w:rsidR="00E502EE" w:rsidRPr="00A60EA9" w:rsidRDefault="00CD5E34" w:rsidP="00E502EE">
      <w:pPr>
        <w:spacing w:after="0"/>
        <w:jc w:val="both"/>
        <w:rPr>
          <w:rFonts w:ascii="StobiSerif Regular" w:hAnsi="StobiSerif Regular"/>
          <w:b/>
        </w:rPr>
      </w:pPr>
      <w:bookmarkStart w:id="62" w:name="_Toc485394990"/>
      <w:r w:rsidRPr="00A60EA9">
        <w:rPr>
          <w:rFonts w:ascii="StobiSerif Regular" w:hAnsi="StobiSerif Regular"/>
          <w:b/>
        </w:rPr>
        <w:t xml:space="preserve">Слика </w:t>
      </w:r>
      <w:r w:rsidR="00E502EE" w:rsidRPr="00A60EA9">
        <w:rPr>
          <w:rFonts w:ascii="StobiSerif Regular" w:hAnsi="StobiSerif Regular"/>
          <w:b/>
        </w:rPr>
        <w:fldChar w:fldCharType="begin"/>
      </w:r>
      <w:r w:rsidR="00E502EE" w:rsidRPr="00A60EA9">
        <w:rPr>
          <w:rFonts w:ascii="StobiSerif Regular" w:hAnsi="StobiSerif Regular"/>
          <w:b/>
        </w:rPr>
        <w:instrText xml:space="preserve"> SEQ Figure \* ARABIC </w:instrText>
      </w:r>
      <w:r w:rsidR="00E502EE" w:rsidRPr="00A60EA9">
        <w:rPr>
          <w:rFonts w:ascii="StobiSerif Regular" w:hAnsi="StobiSerif Regular"/>
          <w:b/>
        </w:rPr>
        <w:fldChar w:fldCharType="separate"/>
      </w:r>
      <w:r w:rsidR="00AA4CF3" w:rsidRPr="00A60EA9">
        <w:rPr>
          <w:rFonts w:ascii="StobiSerif Regular" w:hAnsi="StobiSerif Regular"/>
          <w:b/>
          <w:noProof/>
        </w:rPr>
        <w:t>6</w:t>
      </w:r>
      <w:r w:rsidR="00E502EE" w:rsidRPr="00A60EA9">
        <w:rPr>
          <w:rFonts w:ascii="StobiSerif Regular" w:hAnsi="StobiSerif Regular"/>
          <w:b/>
        </w:rPr>
        <w:fldChar w:fldCharType="end"/>
      </w:r>
      <w:r w:rsidR="00E502EE" w:rsidRPr="00A60EA9">
        <w:rPr>
          <w:rFonts w:ascii="StobiSerif Regular" w:hAnsi="StobiSerif Regular"/>
          <w:b/>
          <w:lang w:val="en-US"/>
        </w:rPr>
        <w:t>:</w:t>
      </w:r>
      <w:r w:rsidR="00464AD1" w:rsidRPr="00A60EA9">
        <w:rPr>
          <w:rFonts w:ascii="StobiSerif Regular" w:hAnsi="StobiSerif Regular"/>
          <w:b/>
          <w:lang w:val="en-US"/>
        </w:rPr>
        <w:t xml:space="preserve"> </w:t>
      </w:r>
      <w:r w:rsidR="006278AA" w:rsidRPr="00A60EA9">
        <w:rPr>
          <w:rFonts w:ascii="StobiSerif Regular" w:hAnsi="StobiSerif Regular"/>
          <w:b/>
        </w:rPr>
        <w:t>Графички приказ на проекти по региони</w:t>
      </w:r>
      <w:bookmarkEnd w:id="62"/>
    </w:p>
    <w:p w:rsidR="00E502EE" w:rsidRDefault="00E502EE" w:rsidP="00E502EE">
      <w:pPr>
        <w:spacing w:after="0"/>
        <w:jc w:val="both"/>
        <w:rPr>
          <w:rFonts w:ascii="StobiSerif Regular" w:hAnsi="StobiSerif Regular"/>
          <w:lang w:val="en-US"/>
        </w:rPr>
      </w:pPr>
      <w:r>
        <w:rPr>
          <w:noProof/>
          <w:lang w:val="en-US"/>
        </w:rPr>
        <w:drawing>
          <wp:inline distT="0" distB="0" distL="0" distR="0" wp14:anchorId="48F0A767" wp14:editId="5352EF03">
            <wp:extent cx="5782390" cy="2399639"/>
            <wp:effectExtent l="0" t="0" r="27940" b="203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3655" w:rsidRDefault="00E50C49" w:rsidP="00E502EE">
      <w:pPr>
        <w:spacing w:after="0"/>
        <w:jc w:val="both"/>
        <w:rPr>
          <w:rFonts w:ascii="StobiSerif Regular" w:hAnsi="StobiSerif Regular"/>
          <w:lang w:val="en-US"/>
        </w:rPr>
      </w:pPr>
      <w:r>
        <w:rPr>
          <w:rFonts w:ascii="StobiSerif Regular" w:hAnsi="StobiSerif Regular"/>
          <w:sz w:val="16"/>
          <w:szCs w:val="16"/>
        </w:rPr>
        <w:t>Извор: Мониторинг систем  (2016)</w:t>
      </w:r>
    </w:p>
    <w:p w:rsidR="00E53655" w:rsidRDefault="006278AA" w:rsidP="009379B5">
      <w:pPr>
        <w:spacing w:before="120" w:after="120"/>
        <w:ind w:firstLine="284"/>
        <w:jc w:val="both"/>
        <w:rPr>
          <w:rFonts w:ascii="StobiSerif Regular" w:hAnsi="StobiSerif Regular"/>
          <w:lang w:val="en-US"/>
        </w:rPr>
      </w:pPr>
      <w:r w:rsidRPr="006278AA">
        <w:rPr>
          <w:rFonts w:ascii="StobiSerif Regular" w:hAnsi="StobiSerif Regular"/>
        </w:rPr>
        <w:t>Во мерка 101 се исплатени највисокиот износ, но разликата со мерката 103 не е толку голема, ако се има предвид дека разликата во бројот на проекти е доста висока (693/37). Како што веќе беше споменато, во мерката 103 проекти</w:t>
      </w:r>
      <w:r>
        <w:rPr>
          <w:rFonts w:ascii="StobiSerif Regular" w:hAnsi="StobiSerif Regular"/>
        </w:rPr>
        <w:t>те</w:t>
      </w:r>
      <w:r w:rsidRPr="006278AA">
        <w:rPr>
          <w:rFonts w:ascii="StobiSerif Regular" w:hAnsi="StobiSerif Regular"/>
        </w:rPr>
        <w:t xml:space="preserve"> имаат повисока просечна вредност. Сепак, во мерката 103 најголем дел е </w:t>
      </w:r>
      <w:r>
        <w:rPr>
          <w:rFonts w:ascii="StobiSerif Regular" w:hAnsi="StobiSerif Regular"/>
        </w:rPr>
        <w:t>ис</w:t>
      </w:r>
      <w:r w:rsidRPr="006278AA">
        <w:rPr>
          <w:rFonts w:ascii="StobiSerif Regular" w:hAnsi="StobiSerif Regular"/>
        </w:rPr>
        <w:t>пла</w:t>
      </w:r>
      <w:r>
        <w:rPr>
          <w:rFonts w:ascii="StobiSerif Regular" w:hAnsi="StobiSerif Regular"/>
        </w:rPr>
        <w:t>тен</w:t>
      </w:r>
      <w:r w:rsidRPr="006278AA">
        <w:rPr>
          <w:rFonts w:ascii="StobiSerif Regular" w:hAnsi="StobiSerif Regular"/>
        </w:rPr>
        <w:t xml:space="preserve"> во Источниот регион, по што следуваат Вардар и Југоисточен регион</w:t>
      </w:r>
      <w:r w:rsidR="0007516D">
        <w:rPr>
          <w:rFonts w:ascii="StobiSerif Regular" w:hAnsi="StobiSerif Regular"/>
          <w:lang w:val="en-US"/>
        </w:rPr>
        <w:t>.</w:t>
      </w:r>
      <w:r w:rsidR="002A346F">
        <w:rPr>
          <w:rFonts w:ascii="StobiSerif Regular" w:hAnsi="StobiSerif Regular"/>
          <w:lang w:val="en-US"/>
        </w:rPr>
        <w:t xml:space="preserve"> </w:t>
      </w:r>
    </w:p>
    <w:p w:rsidR="001B2322" w:rsidRPr="00A60EA9" w:rsidRDefault="006278AA" w:rsidP="00E502EE">
      <w:pPr>
        <w:spacing w:after="0"/>
        <w:jc w:val="both"/>
        <w:rPr>
          <w:rFonts w:ascii="StobiSerif Regular" w:hAnsi="StobiSerif Regular"/>
          <w:b/>
        </w:rPr>
      </w:pPr>
      <w:bookmarkStart w:id="63" w:name="_Toc485394921"/>
      <w:r w:rsidRPr="00A60EA9">
        <w:rPr>
          <w:rFonts w:ascii="StobiSerif Regular" w:eastAsia="Times New Roman" w:hAnsi="StobiSerif Regular" w:cs="Times New Roman"/>
          <w:b/>
          <w:sz w:val="20"/>
          <w:szCs w:val="20"/>
          <w:lang w:eastAsia="en-GB"/>
        </w:rPr>
        <w:t>Табле</w:t>
      </w:r>
      <w:r w:rsidR="00E53655" w:rsidRPr="00A60EA9">
        <w:rPr>
          <w:rFonts w:ascii="StobiSerif Regular" w:eastAsia="Times New Roman" w:hAnsi="StobiSerif Regular" w:cs="Times New Roman"/>
          <w:b/>
          <w:sz w:val="20"/>
          <w:szCs w:val="20"/>
          <w:lang w:val="en-GB" w:eastAsia="en-GB"/>
        </w:rPr>
        <w:t xml:space="preserve"> </w:t>
      </w:r>
      <w:r w:rsidR="00E53655" w:rsidRPr="00A60EA9">
        <w:rPr>
          <w:rFonts w:ascii="StobiSerif Regular" w:eastAsia="Times New Roman" w:hAnsi="StobiSerif Regular" w:cs="Times New Roman"/>
          <w:b/>
          <w:sz w:val="20"/>
          <w:szCs w:val="20"/>
          <w:lang w:val="en-GB" w:eastAsia="en-GB"/>
        </w:rPr>
        <w:fldChar w:fldCharType="begin"/>
      </w:r>
      <w:r w:rsidR="00E53655" w:rsidRPr="00A60EA9">
        <w:rPr>
          <w:rFonts w:ascii="StobiSerif Regular" w:eastAsia="Times New Roman" w:hAnsi="StobiSerif Regular" w:cs="Times New Roman"/>
          <w:b/>
          <w:sz w:val="20"/>
          <w:szCs w:val="20"/>
          <w:lang w:val="en-GB" w:eastAsia="en-GB"/>
        </w:rPr>
        <w:instrText xml:space="preserve"> SEQ Table \* ARABIC </w:instrText>
      </w:r>
      <w:r w:rsidR="00E53655" w:rsidRPr="00A60EA9">
        <w:rPr>
          <w:rFonts w:ascii="StobiSerif Regular" w:eastAsia="Times New Roman" w:hAnsi="StobiSerif Regular" w:cs="Times New Roman"/>
          <w:b/>
          <w:sz w:val="20"/>
          <w:szCs w:val="20"/>
          <w:lang w:val="en-GB" w:eastAsia="en-GB"/>
        </w:rPr>
        <w:fldChar w:fldCharType="separate"/>
      </w:r>
      <w:r w:rsidR="00034E81" w:rsidRPr="00A60EA9">
        <w:rPr>
          <w:rFonts w:ascii="StobiSerif Regular" w:eastAsia="Times New Roman" w:hAnsi="StobiSerif Regular" w:cs="Times New Roman"/>
          <w:b/>
          <w:noProof/>
          <w:sz w:val="20"/>
          <w:szCs w:val="20"/>
          <w:lang w:val="en-GB" w:eastAsia="en-GB"/>
        </w:rPr>
        <w:t>30</w:t>
      </w:r>
      <w:r w:rsidR="00E53655" w:rsidRPr="00A60EA9">
        <w:rPr>
          <w:rFonts w:ascii="StobiSerif Regular" w:eastAsia="Times New Roman" w:hAnsi="StobiSerif Regular" w:cs="Times New Roman"/>
          <w:b/>
          <w:sz w:val="20"/>
          <w:szCs w:val="20"/>
          <w:lang w:val="en-GB" w:eastAsia="en-GB"/>
        </w:rPr>
        <w:fldChar w:fldCharType="end"/>
      </w:r>
      <w:r w:rsidR="00E53655" w:rsidRPr="00A60EA9">
        <w:rPr>
          <w:rFonts w:ascii="StobiSerif Regular" w:eastAsia="Times New Roman" w:hAnsi="StobiSerif Regular" w:cs="Arial"/>
          <w:b/>
          <w:lang w:val="en-US" w:eastAsia="zh-CN"/>
        </w:rPr>
        <w:t>:</w:t>
      </w:r>
      <w:r w:rsidR="00AB4215" w:rsidRPr="00A60EA9">
        <w:rPr>
          <w:rFonts w:ascii="StobiSerif Regular" w:eastAsia="Times New Roman" w:hAnsi="StobiSerif Regular" w:cs="Arial"/>
          <w:b/>
          <w:lang w:val="en-US" w:eastAsia="zh-CN"/>
        </w:rPr>
        <w:t xml:space="preserve"> </w:t>
      </w:r>
      <w:r w:rsidRPr="00A60EA9">
        <w:rPr>
          <w:rFonts w:ascii="StobiSerif Regular" w:eastAsia="Times New Roman" w:hAnsi="StobiSerif Regular" w:cs="Arial"/>
          <w:b/>
          <w:lang w:eastAsia="zh-CN"/>
        </w:rPr>
        <w:t>Исплатени суми по региони и мерки</w:t>
      </w:r>
      <w:bookmarkEnd w:id="63"/>
    </w:p>
    <w:tbl>
      <w:tblPr>
        <w:tblW w:w="10065" w:type="dxa"/>
        <w:jc w:val="center"/>
        <w:tblLayout w:type="fixed"/>
        <w:tblLook w:val="04A0" w:firstRow="1" w:lastRow="0" w:firstColumn="1" w:lastColumn="0" w:noHBand="0" w:noVBand="1"/>
      </w:tblPr>
      <w:tblGrid>
        <w:gridCol w:w="851"/>
        <w:gridCol w:w="1276"/>
        <w:gridCol w:w="992"/>
        <w:gridCol w:w="1276"/>
        <w:gridCol w:w="1134"/>
        <w:gridCol w:w="737"/>
        <w:gridCol w:w="114"/>
        <w:gridCol w:w="992"/>
        <w:gridCol w:w="714"/>
        <w:gridCol w:w="992"/>
        <w:gridCol w:w="987"/>
      </w:tblGrid>
      <w:tr w:rsidR="00E50C49" w:rsidRPr="00E50C49" w:rsidTr="00DB4FFF">
        <w:trPr>
          <w:trHeight w:val="381"/>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E50C49" w:rsidRPr="00E50C49" w:rsidRDefault="00E50C49" w:rsidP="00021F7E">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 </w:t>
            </w:r>
          </w:p>
        </w:tc>
        <w:tc>
          <w:tcPr>
            <w:tcW w:w="1276" w:type="dxa"/>
            <w:tcBorders>
              <w:top w:val="single" w:sz="12" w:space="0" w:color="auto"/>
              <w:left w:val="nil"/>
              <w:bottom w:val="single" w:sz="4" w:space="0" w:color="auto"/>
              <w:right w:val="single" w:sz="4" w:space="0" w:color="auto"/>
            </w:tcBorders>
            <w:shd w:val="clear" w:color="auto" w:fill="auto"/>
            <w:noWrap/>
            <w:hideMark/>
          </w:tcPr>
          <w:p w:rsidR="00E50C49" w:rsidRPr="00E50C49" w:rsidRDefault="00E50C49" w:rsidP="00E50C49">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 xml:space="preserve">Пелагонија </w:t>
            </w:r>
          </w:p>
        </w:tc>
        <w:tc>
          <w:tcPr>
            <w:tcW w:w="992" w:type="dxa"/>
            <w:tcBorders>
              <w:top w:val="single" w:sz="12" w:space="0" w:color="auto"/>
              <w:left w:val="nil"/>
              <w:bottom w:val="single" w:sz="4" w:space="0" w:color="auto"/>
              <w:right w:val="single" w:sz="4" w:space="0" w:color="auto"/>
            </w:tcBorders>
            <w:shd w:val="clear" w:color="auto" w:fill="auto"/>
            <w:noWrap/>
            <w:hideMark/>
          </w:tcPr>
          <w:p w:rsidR="00E50C49" w:rsidRPr="00E50C49" w:rsidRDefault="00E50C49" w:rsidP="00E50C49">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Вардар</w:t>
            </w:r>
          </w:p>
        </w:tc>
        <w:tc>
          <w:tcPr>
            <w:tcW w:w="1276" w:type="dxa"/>
            <w:tcBorders>
              <w:top w:val="single" w:sz="12" w:space="0" w:color="auto"/>
              <w:left w:val="nil"/>
              <w:bottom w:val="single" w:sz="4" w:space="0" w:color="auto"/>
              <w:right w:val="single" w:sz="4" w:space="0" w:color="auto"/>
            </w:tcBorders>
            <w:shd w:val="clear" w:color="auto" w:fill="auto"/>
            <w:hideMark/>
          </w:tcPr>
          <w:p w:rsidR="00E50C49" w:rsidRPr="00E50C49" w:rsidRDefault="00E50C49" w:rsidP="00E50C49">
            <w:pPr>
              <w:spacing w:after="0" w:line="240" w:lineRule="auto"/>
              <w:ind w:right="-108"/>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 xml:space="preserve">Североисток </w:t>
            </w:r>
          </w:p>
        </w:tc>
        <w:tc>
          <w:tcPr>
            <w:tcW w:w="1134" w:type="dxa"/>
            <w:tcBorders>
              <w:top w:val="single" w:sz="12" w:space="0" w:color="auto"/>
              <w:left w:val="nil"/>
              <w:bottom w:val="single" w:sz="4" w:space="0" w:color="auto"/>
              <w:right w:val="single" w:sz="4" w:space="0" w:color="auto"/>
            </w:tcBorders>
            <w:shd w:val="clear" w:color="auto" w:fill="auto"/>
            <w:hideMark/>
          </w:tcPr>
          <w:p w:rsidR="00E50C49" w:rsidRPr="00E50C49" w:rsidRDefault="00E50C49" w:rsidP="00E50C49">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Југозапад</w:t>
            </w:r>
          </w:p>
        </w:tc>
        <w:tc>
          <w:tcPr>
            <w:tcW w:w="851" w:type="dxa"/>
            <w:gridSpan w:val="2"/>
            <w:tcBorders>
              <w:top w:val="single" w:sz="12" w:space="0" w:color="auto"/>
              <w:left w:val="nil"/>
              <w:bottom w:val="single" w:sz="4" w:space="0" w:color="auto"/>
              <w:right w:val="single" w:sz="4" w:space="0" w:color="auto"/>
            </w:tcBorders>
            <w:shd w:val="clear" w:color="auto" w:fill="auto"/>
            <w:noWrap/>
            <w:hideMark/>
          </w:tcPr>
          <w:p w:rsidR="00E50C49" w:rsidRPr="00E50C49" w:rsidRDefault="00E50C49" w:rsidP="00E50C49">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 xml:space="preserve">Скопје </w:t>
            </w:r>
          </w:p>
        </w:tc>
        <w:tc>
          <w:tcPr>
            <w:tcW w:w="992" w:type="dxa"/>
            <w:tcBorders>
              <w:top w:val="single" w:sz="12" w:space="0" w:color="auto"/>
              <w:left w:val="nil"/>
              <w:bottom w:val="single" w:sz="4" w:space="0" w:color="auto"/>
              <w:right w:val="single" w:sz="4" w:space="0" w:color="auto"/>
            </w:tcBorders>
            <w:shd w:val="clear" w:color="auto" w:fill="auto"/>
            <w:hideMark/>
          </w:tcPr>
          <w:p w:rsidR="00E50C49" w:rsidRPr="00E50C49" w:rsidRDefault="00E50C49" w:rsidP="00E50C49">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 xml:space="preserve">Југоисток </w:t>
            </w:r>
          </w:p>
        </w:tc>
        <w:tc>
          <w:tcPr>
            <w:tcW w:w="714" w:type="dxa"/>
            <w:tcBorders>
              <w:top w:val="single" w:sz="12" w:space="0" w:color="auto"/>
              <w:left w:val="nil"/>
              <w:bottom w:val="single" w:sz="4" w:space="0" w:color="auto"/>
              <w:right w:val="single" w:sz="4" w:space="0" w:color="auto"/>
            </w:tcBorders>
            <w:shd w:val="clear" w:color="auto" w:fill="auto"/>
            <w:noWrap/>
            <w:hideMark/>
          </w:tcPr>
          <w:p w:rsidR="00E50C49" w:rsidRPr="00E50C49" w:rsidRDefault="00E50C49" w:rsidP="00E50C49">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 xml:space="preserve">Полог </w:t>
            </w:r>
          </w:p>
        </w:tc>
        <w:tc>
          <w:tcPr>
            <w:tcW w:w="992" w:type="dxa"/>
            <w:tcBorders>
              <w:top w:val="single" w:sz="12" w:space="0" w:color="auto"/>
              <w:left w:val="nil"/>
              <w:bottom w:val="single" w:sz="4" w:space="0" w:color="auto"/>
              <w:right w:val="single" w:sz="4" w:space="0" w:color="auto"/>
            </w:tcBorders>
            <w:shd w:val="clear" w:color="auto" w:fill="auto"/>
            <w:noWrap/>
            <w:hideMark/>
          </w:tcPr>
          <w:p w:rsidR="00E50C49" w:rsidRPr="00E50C49" w:rsidRDefault="00E50C49" w:rsidP="00E50C49">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Исток</w:t>
            </w:r>
          </w:p>
        </w:tc>
        <w:tc>
          <w:tcPr>
            <w:tcW w:w="987" w:type="dxa"/>
            <w:tcBorders>
              <w:top w:val="single" w:sz="12" w:space="0" w:color="auto"/>
              <w:left w:val="nil"/>
              <w:bottom w:val="single" w:sz="4" w:space="0" w:color="auto"/>
              <w:right w:val="single" w:sz="12" w:space="0" w:color="auto"/>
            </w:tcBorders>
            <w:shd w:val="clear" w:color="auto" w:fill="auto"/>
            <w:noWrap/>
            <w:hideMark/>
          </w:tcPr>
          <w:p w:rsidR="00E50C49" w:rsidRPr="00E50C49" w:rsidRDefault="00E50C49" w:rsidP="00E50C49">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 xml:space="preserve">Вкупно </w:t>
            </w:r>
          </w:p>
        </w:tc>
      </w:tr>
      <w:tr w:rsidR="00DF69E1" w:rsidRPr="00E50C49" w:rsidTr="00DB4FFF">
        <w:trPr>
          <w:trHeight w:val="30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021F7E" w:rsidRPr="00E50C49" w:rsidRDefault="00021F7E" w:rsidP="00021F7E">
            <w:pPr>
              <w:spacing w:after="0" w:line="240" w:lineRule="auto"/>
              <w:jc w:val="center"/>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101</w:t>
            </w:r>
          </w:p>
        </w:tc>
        <w:tc>
          <w:tcPr>
            <w:tcW w:w="1276"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2,409,679</w:t>
            </w:r>
          </w:p>
        </w:tc>
        <w:tc>
          <w:tcPr>
            <w:tcW w:w="992"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838,938</w:t>
            </w:r>
          </w:p>
        </w:tc>
        <w:tc>
          <w:tcPr>
            <w:tcW w:w="1276"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51,256</w:t>
            </w:r>
          </w:p>
        </w:tc>
        <w:tc>
          <w:tcPr>
            <w:tcW w:w="1134"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109,519</w:t>
            </w:r>
          </w:p>
        </w:tc>
        <w:tc>
          <w:tcPr>
            <w:tcW w:w="851" w:type="dxa"/>
            <w:gridSpan w:val="2"/>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62,530</w:t>
            </w:r>
          </w:p>
        </w:tc>
        <w:tc>
          <w:tcPr>
            <w:tcW w:w="992"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294,234</w:t>
            </w:r>
          </w:p>
        </w:tc>
        <w:tc>
          <w:tcPr>
            <w:tcW w:w="714"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28,416</w:t>
            </w:r>
          </w:p>
        </w:tc>
        <w:tc>
          <w:tcPr>
            <w:tcW w:w="992"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642,948</w:t>
            </w:r>
          </w:p>
        </w:tc>
        <w:tc>
          <w:tcPr>
            <w:tcW w:w="987" w:type="dxa"/>
            <w:tcBorders>
              <w:top w:val="nil"/>
              <w:left w:val="nil"/>
              <w:bottom w:val="single" w:sz="4" w:space="0" w:color="auto"/>
              <w:right w:val="single" w:sz="12"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4,437,520</w:t>
            </w:r>
          </w:p>
        </w:tc>
      </w:tr>
      <w:tr w:rsidR="00DF69E1" w:rsidRPr="00E50C49" w:rsidTr="00DB4FFF">
        <w:trPr>
          <w:trHeight w:val="30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021F7E" w:rsidRPr="00E50C49" w:rsidRDefault="00021F7E" w:rsidP="00021F7E">
            <w:pPr>
              <w:spacing w:after="0" w:line="240" w:lineRule="auto"/>
              <w:jc w:val="center"/>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103</w:t>
            </w:r>
          </w:p>
        </w:tc>
        <w:tc>
          <w:tcPr>
            <w:tcW w:w="1276"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332,529</w:t>
            </w:r>
          </w:p>
        </w:tc>
        <w:tc>
          <w:tcPr>
            <w:tcW w:w="992"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736,195</w:t>
            </w:r>
          </w:p>
        </w:tc>
        <w:tc>
          <w:tcPr>
            <w:tcW w:w="1276"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328,601</w:t>
            </w:r>
          </w:p>
        </w:tc>
        <w:tc>
          <w:tcPr>
            <w:tcW w:w="1134"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46,015</w:t>
            </w:r>
          </w:p>
        </w:tc>
        <w:tc>
          <w:tcPr>
            <w:tcW w:w="851" w:type="dxa"/>
            <w:gridSpan w:val="2"/>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351,244</w:t>
            </w:r>
          </w:p>
        </w:tc>
        <w:tc>
          <w:tcPr>
            <w:tcW w:w="992"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504,323</w:t>
            </w:r>
          </w:p>
        </w:tc>
        <w:tc>
          <w:tcPr>
            <w:tcW w:w="714"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29,924</w:t>
            </w:r>
          </w:p>
        </w:tc>
        <w:tc>
          <w:tcPr>
            <w:tcW w:w="992" w:type="dxa"/>
            <w:tcBorders>
              <w:top w:val="nil"/>
              <w:left w:val="nil"/>
              <w:bottom w:val="single" w:sz="4" w:space="0" w:color="auto"/>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915,874</w:t>
            </w:r>
          </w:p>
        </w:tc>
        <w:tc>
          <w:tcPr>
            <w:tcW w:w="987" w:type="dxa"/>
            <w:tcBorders>
              <w:top w:val="nil"/>
              <w:left w:val="nil"/>
              <w:bottom w:val="single" w:sz="4" w:space="0" w:color="auto"/>
              <w:right w:val="single" w:sz="12"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3,244,705</w:t>
            </w:r>
          </w:p>
        </w:tc>
      </w:tr>
      <w:tr w:rsidR="00DF69E1" w:rsidRPr="00E50C49" w:rsidTr="00DB4FFF">
        <w:trPr>
          <w:trHeight w:val="300"/>
          <w:jc w:val="center"/>
        </w:trPr>
        <w:tc>
          <w:tcPr>
            <w:tcW w:w="851" w:type="dxa"/>
            <w:tcBorders>
              <w:top w:val="nil"/>
              <w:left w:val="single" w:sz="12" w:space="0" w:color="auto"/>
              <w:bottom w:val="dashed" w:sz="12" w:space="0" w:color="00B0F0"/>
              <w:right w:val="single" w:sz="4" w:space="0" w:color="auto"/>
            </w:tcBorders>
            <w:shd w:val="clear" w:color="auto" w:fill="auto"/>
            <w:noWrap/>
            <w:vAlign w:val="center"/>
            <w:hideMark/>
          </w:tcPr>
          <w:p w:rsidR="00021F7E" w:rsidRPr="00E50C49" w:rsidRDefault="00021F7E" w:rsidP="00021F7E">
            <w:pPr>
              <w:spacing w:after="0" w:line="240" w:lineRule="auto"/>
              <w:jc w:val="center"/>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302</w:t>
            </w:r>
          </w:p>
        </w:tc>
        <w:tc>
          <w:tcPr>
            <w:tcW w:w="1276" w:type="dxa"/>
            <w:tcBorders>
              <w:top w:val="nil"/>
              <w:left w:val="nil"/>
              <w:bottom w:val="dashed" w:sz="12" w:space="0" w:color="00B0F0"/>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93,891</w:t>
            </w:r>
          </w:p>
        </w:tc>
        <w:tc>
          <w:tcPr>
            <w:tcW w:w="992" w:type="dxa"/>
            <w:tcBorders>
              <w:top w:val="nil"/>
              <w:left w:val="nil"/>
              <w:bottom w:val="dashed" w:sz="12" w:space="0" w:color="00B0F0"/>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0</w:t>
            </w:r>
          </w:p>
        </w:tc>
        <w:tc>
          <w:tcPr>
            <w:tcW w:w="1276" w:type="dxa"/>
            <w:tcBorders>
              <w:top w:val="nil"/>
              <w:left w:val="nil"/>
              <w:bottom w:val="dashed" w:sz="12" w:space="0" w:color="00B0F0"/>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0</w:t>
            </w:r>
          </w:p>
        </w:tc>
        <w:tc>
          <w:tcPr>
            <w:tcW w:w="1134" w:type="dxa"/>
            <w:tcBorders>
              <w:top w:val="nil"/>
              <w:left w:val="nil"/>
              <w:bottom w:val="dashed" w:sz="12" w:space="0" w:color="00B0F0"/>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2,707</w:t>
            </w:r>
          </w:p>
        </w:tc>
        <w:tc>
          <w:tcPr>
            <w:tcW w:w="851" w:type="dxa"/>
            <w:gridSpan w:val="2"/>
            <w:tcBorders>
              <w:top w:val="nil"/>
              <w:left w:val="nil"/>
              <w:bottom w:val="dashed" w:sz="12" w:space="0" w:color="00B0F0"/>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116,032</w:t>
            </w:r>
          </w:p>
        </w:tc>
        <w:tc>
          <w:tcPr>
            <w:tcW w:w="992" w:type="dxa"/>
            <w:tcBorders>
              <w:top w:val="nil"/>
              <w:left w:val="nil"/>
              <w:bottom w:val="dashed" w:sz="12" w:space="0" w:color="00B0F0"/>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0</w:t>
            </w:r>
          </w:p>
        </w:tc>
        <w:tc>
          <w:tcPr>
            <w:tcW w:w="714" w:type="dxa"/>
            <w:tcBorders>
              <w:top w:val="nil"/>
              <w:left w:val="nil"/>
              <w:bottom w:val="dashed" w:sz="12" w:space="0" w:color="00B0F0"/>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0</w:t>
            </w:r>
          </w:p>
        </w:tc>
        <w:tc>
          <w:tcPr>
            <w:tcW w:w="992" w:type="dxa"/>
            <w:tcBorders>
              <w:top w:val="nil"/>
              <w:left w:val="nil"/>
              <w:bottom w:val="dashed" w:sz="12" w:space="0" w:color="00B0F0"/>
              <w:right w:val="single" w:sz="4" w:space="0" w:color="auto"/>
            </w:tcBorders>
            <w:shd w:val="clear" w:color="auto" w:fill="auto"/>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62,611</w:t>
            </w:r>
          </w:p>
        </w:tc>
        <w:tc>
          <w:tcPr>
            <w:tcW w:w="987" w:type="dxa"/>
            <w:tcBorders>
              <w:top w:val="nil"/>
              <w:left w:val="nil"/>
              <w:bottom w:val="dashed" w:sz="12" w:space="0" w:color="00B0F0"/>
              <w:right w:val="single" w:sz="12"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275,241</w:t>
            </w:r>
          </w:p>
        </w:tc>
      </w:tr>
      <w:tr w:rsidR="00EC154B" w:rsidRPr="00E50C49" w:rsidTr="00E50C49">
        <w:trPr>
          <w:trHeight w:val="291"/>
          <w:jc w:val="center"/>
        </w:trPr>
        <w:tc>
          <w:tcPr>
            <w:tcW w:w="851" w:type="dxa"/>
            <w:tcBorders>
              <w:top w:val="dashed" w:sz="12" w:space="0" w:color="00B0F0"/>
              <w:left w:val="single" w:sz="12" w:space="0" w:color="auto"/>
              <w:bottom w:val="single" w:sz="12" w:space="0" w:color="auto"/>
              <w:right w:val="single" w:sz="4" w:space="0" w:color="auto"/>
            </w:tcBorders>
            <w:shd w:val="clear" w:color="auto" w:fill="auto"/>
            <w:vAlign w:val="bottom"/>
            <w:hideMark/>
          </w:tcPr>
          <w:p w:rsidR="00021F7E" w:rsidRPr="00E50C49" w:rsidRDefault="00E50C49" w:rsidP="00021F7E">
            <w:pPr>
              <w:spacing w:after="0" w:line="240" w:lineRule="auto"/>
              <w:jc w:val="center"/>
              <w:rPr>
                <w:rFonts w:ascii="StobiSerif Regular" w:eastAsia="Times New Roman" w:hAnsi="StobiSerif Regular" w:cs="Times New Roman"/>
                <w:color w:val="000000"/>
                <w:sz w:val="16"/>
                <w:szCs w:val="16"/>
                <w:lang w:eastAsia="mk-MK"/>
              </w:rPr>
            </w:pPr>
            <w:r w:rsidRPr="00E50C49">
              <w:rPr>
                <w:rFonts w:ascii="StobiSerif Regular" w:eastAsia="Times New Roman" w:hAnsi="StobiSerif Regular" w:cs="Times New Roman"/>
                <w:color w:val="000000"/>
                <w:sz w:val="16"/>
                <w:szCs w:val="16"/>
                <w:lang w:eastAsia="mk-MK"/>
              </w:rPr>
              <w:t>Вкупно</w:t>
            </w:r>
          </w:p>
        </w:tc>
        <w:tc>
          <w:tcPr>
            <w:tcW w:w="1276" w:type="dxa"/>
            <w:tcBorders>
              <w:top w:val="dashed" w:sz="12" w:space="0" w:color="00B0F0"/>
              <w:left w:val="nil"/>
              <w:bottom w:val="single" w:sz="12" w:space="0" w:color="auto"/>
              <w:right w:val="single" w:sz="4"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2,836,099</w:t>
            </w:r>
          </w:p>
        </w:tc>
        <w:tc>
          <w:tcPr>
            <w:tcW w:w="992" w:type="dxa"/>
            <w:tcBorders>
              <w:top w:val="dashed" w:sz="12" w:space="0" w:color="00B0F0"/>
              <w:left w:val="nil"/>
              <w:bottom w:val="single" w:sz="12" w:space="0" w:color="auto"/>
              <w:right w:val="single" w:sz="4"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1,575,133</w:t>
            </w:r>
          </w:p>
        </w:tc>
        <w:tc>
          <w:tcPr>
            <w:tcW w:w="1276" w:type="dxa"/>
            <w:tcBorders>
              <w:top w:val="dashed" w:sz="12" w:space="0" w:color="00B0F0"/>
              <w:left w:val="nil"/>
              <w:bottom w:val="single" w:sz="12" w:space="0" w:color="auto"/>
              <w:right w:val="single" w:sz="4"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379,857</w:t>
            </w:r>
          </w:p>
        </w:tc>
        <w:tc>
          <w:tcPr>
            <w:tcW w:w="1134" w:type="dxa"/>
            <w:tcBorders>
              <w:top w:val="dashed" w:sz="12" w:space="0" w:color="00B0F0"/>
              <w:left w:val="nil"/>
              <w:bottom w:val="single" w:sz="12" w:space="0" w:color="auto"/>
              <w:right w:val="single" w:sz="4"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158,241</w:t>
            </w:r>
          </w:p>
        </w:tc>
        <w:tc>
          <w:tcPr>
            <w:tcW w:w="737" w:type="dxa"/>
            <w:tcBorders>
              <w:top w:val="dashed" w:sz="12" w:space="0" w:color="00B0F0"/>
              <w:left w:val="nil"/>
              <w:bottom w:val="single" w:sz="12" w:space="0" w:color="auto"/>
              <w:right w:val="single" w:sz="4"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529,806</w:t>
            </w:r>
          </w:p>
        </w:tc>
        <w:tc>
          <w:tcPr>
            <w:tcW w:w="1106" w:type="dxa"/>
            <w:gridSpan w:val="2"/>
            <w:tcBorders>
              <w:top w:val="dashed" w:sz="12" w:space="0" w:color="00B0F0"/>
              <w:left w:val="nil"/>
              <w:bottom w:val="single" w:sz="12" w:space="0" w:color="auto"/>
              <w:right w:val="single" w:sz="4"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798,557</w:t>
            </w:r>
          </w:p>
        </w:tc>
        <w:tc>
          <w:tcPr>
            <w:tcW w:w="714" w:type="dxa"/>
            <w:tcBorders>
              <w:top w:val="dashed" w:sz="12" w:space="0" w:color="00B0F0"/>
              <w:left w:val="nil"/>
              <w:bottom w:val="single" w:sz="12" w:space="0" w:color="auto"/>
              <w:right w:val="single" w:sz="4"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58,340</w:t>
            </w:r>
          </w:p>
        </w:tc>
        <w:tc>
          <w:tcPr>
            <w:tcW w:w="992" w:type="dxa"/>
            <w:tcBorders>
              <w:top w:val="dashed" w:sz="12" w:space="0" w:color="00B0F0"/>
              <w:left w:val="nil"/>
              <w:bottom w:val="single" w:sz="12" w:space="0" w:color="auto"/>
              <w:right w:val="single" w:sz="4" w:space="0" w:color="auto"/>
            </w:tcBorders>
            <w:shd w:val="clear" w:color="auto" w:fill="auto"/>
            <w:noWrap/>
            <w:vAlign w:val="center"/>
            <w:hideMark/>
          </w:tcPr>
          <w:p w:rsidR="00021F7E" w:rsidRPr="00E50C49" w:rsidRDefault="00021F7E" w:rsidP="00EC154B">
            <w:pPr>
              <w:spacing w:after="0" w:line="240" w:lineRule="auto"/>
              <w:ind w:left="-108" w:right="-108"/>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1,621,433</w:t>
            </w:r>
          </w:p>
        </w:tc>
        <w:tc>
          <w:tcPr>
            <w:tcW w:w="987" w:type="dxa"/>
            <w:tcBorders>
              <w:top w:val="dashed" w:sz="12" w:space="0" w:color="00B0F0"/>
              <w:left w:val="nil"/>
              <w:bottom w:val="single" w:sz="12" w:space="0" w:color="auto"/>
              <w:right w:val="single" w:sz="12" w:space="0" w:color="auto"/>
            </w:tcBorders>
            <w:shd w:val="clear" w:color="auto" w:fill="auto"/>
            <w:noWrap/>
            <w:vAlign w:val="center"/>
            <w:hideMark/>
          </w:tcPr>
          <w:p w:rsidR="00021F7E" w:rsidRPr="00E50C49" w:rsidRDefault="00021F7E" w:rsidP="00DF69E1">
            <w:pPr>
              <w:spacing w:after="0" w:line="240" w:lineRule="auto"/>
              <w:jc w:val="right"/>
              <w:rPr>
                <w:rFonts w:ascii="StobiSerif Regular" w:eastAsia="Times New Roman" w:hAnsi="StobiSerif Regular" w:cs="Arial"/>
                <w:sz w:val="16"/>
                <w:szCs w:val="16"/>
                <w:lang w:eastAsia="mk-MK"/>
              </w:rPr>
            </w:pPr>
            <w:r w:rsidRPr="00E50C49">
              <w:rPr>
                <w:rFonts w:ascii="StobiSerif Regular" w:eastAsia="Times New Roman" w:hAnsi="StobiSerif Regular" w:cs="Arial"/>
                <w:sz w:val="16"/>
                <w:szCs w:val="16"/>
                <w:lang w:eastAsia="mk-MK"/>
              </w:rPr>
              <w:t>7,957,466</w:t>
            </w:r>
          </w:p>
        </w:tc>
      </w:tr>
    </w:tbl>
    <w:p w:rsidR="0074035B" w:rsidRDefault="00E50C49" w:rsidP="002A346F">
      <w:pPr>
        <w:spacing w:after="0"/>
        <w:jc w:val="both"/>
        <w:rPr>
          <w:rFonts w:ascii="StobiSerif Regular" w:hAnsi="StobiSerif Regular"/>
          <w:lang w:val="en-US"/>
        </w:rPr>
      </w:pPr>
      <w:r>
        <w:rPr>
          <w:rFonts w:ascii="StobiSerif Regular" w:hAnsi="StobiSerif Regular"/>
          <w:sz w:val="16"/>
          <w:szCs w:val="16"/>
        </w:rPr>
        <w:t>Извор: Мониторинг систем  (2016)</w:t>
      </w:r>
    </w:p>
    <w:p w:rsidR="0074035B" w:rsidRDefault="00084720" w:rsidP="00B633FD">
      <w:pPr>
        <w:spacing w:before="120" w:after="120"/>
        <w:ind w:firstLine="284"/>
        <w:jc w:val="both"/>
        <w:rPr>
          <w:rFonts w:ascii="StobiSerif Regular" w:hAnsi="StobiSerif Regular"/>
        </w:rPr>
      </w:pPr>
      <w:r w:rsidRPr="00084720">
        <w:rPr>
          <w:rFonts w:ascii="StobiSerif Regular" w:hAnsi="StobiSerif Regular"/>
          <w:lang w:val="en-US"/>
        </w:rPr>
        <w:t>Во мерката 302, два проекти од скопскиот регион се со поголема просечна вредност од 3 во источниот регион</w:t>
      </w:r>
      <w:r w:rsidR="00DF47B2">
        <w:rPr>
          <w:rFonts w:ascii="StobiSerif Regular" w:hAnsi="StobiSerif Regular"/>
          <w:lang w:val="en-US"/>
        </w:rPr>
        <w:t>.</w:t>
      </w:r>
    </w:p>
    <w:p w:rsidR="00464AD1" w:rsidRPr="00A60EA9" w:rsidRDefault="00AA4CF3" w:rsidP="00DB4FFF">
      <w:pPr>
        <w:spacing w:after="0"/>
        <w:jc w:val="both"/>
        <w:rPr>
          <w:rFonts w:ascii="StobiSerif Regular" w:hAnsi="StobiSerif Regular"/>
          <w:b/>
        </w:rPr>
      </w:pPr>
      <w:bookmarkStart w:id="64" w:name="_Toc485394991"/>
      <w:r w:rsidRPr="00A60EA9">
        <w:rPr>
          <w:rFonts w:ascii="StobiSerif Regular" w:hAnsi="StobiSerif Regular"/>
          <w:b/>
        </w:rPr>
        <w:t>Слика</w:t>
      </w:r>
      <w:r w:rsidR="00464AD1" w:rsidRPr="00A60EA9">
        <w:rPr>
          <w:rFonts w:ascii="StobiSerif Regular" w:hAnsi="StobiSerif Regular"/>
          <w:b/>
        </w:rPr>
        <w:t xml:space="preserve"> </w:t>
      </w:r>
      <w:r w:rsidR="00464AD1" w:rsidRPr="00A60EA9">
        <w:rPr>
          <w:rFonts w:ascii="StobiSerif Regular" w:hAnsi="StobiSerif Regular"/>
          <w:b/>
        </w:rPr>
        <w:fldChar w:fldCharType="begin"/>
      </w:r>
      <w:r w:rsidR="00464AD1" w:rsidRPr="00A60EA9">
        <w:rPr>
          <w:rFonts w:ascii="StobiSerif Regular" w:hAnsi="StobiSerif Regular"/>
          <w:b/>
        </w:rPr>
        <w:instrText xml:space="preserve"> SEQ Figure \* ARABIC </w:instrText>
      </w:r>
      <w:r w:rsidR="00464AD1" w:rsidRPr="00A60EA9">
        <w:rPr>
          <w:rFonts w:ascii="StobiSerif Regular" w:hAnsi="StobiSerif Regular"/>
          <w:b/>
        </w:rPr>
        <w:fldChar w:fldCharType="separate"/>
      </w:r>
      <w:r w:rsidR="00464AD1" w:rsidRPr="00A60EA9">
        <w:rPr>
          <w:rFonts w:ascii="StobiSerif Regular" w:hAnsi="StobiSerif Regular"/>
          <w:b/>
          <w:noProof/>
        </w:rPr>
        <w:t>8</w:t>
      </w:r>
      <w:r w:rsidR="00464AD1" w:rsidRPr="00A60EA9">
        <w:rPr>
          <w:rFonts w:ascii="StobiSerif Regular" w:hAnsi="StobiSerif Regular"/>
          <w:b/>
        </w:rPr>
        <w:fldChar w:fldCharType="end"/>
      </w:r>
      <w:r w:rsidR="00464AD1" w:rsidRPr="00A60EA9">
        <w:rPr>
          <w:rFonts w:ascii="StobiSerif Regular" w:hAnsi="StobiSerif Regular"/>
          <w:b/>
          <w:lang w:val="en-US"/>
        </w:rPr>
        <w:t xml:space="preserve">: </w:t>
      </w:r>
      <w:r w:rsidRPr="00A60EA9">
        <w:rPr>
          <w:rFonts w:ascii="StobiSerif Regular" w:hAnsi="StobiSerif Regular"/>
          <w:b/>
        </w:rPr>
        <w:t>Вредност на исплатени проекти по региони</w:t>
      </w:r>
      <w:bookmarkEnd w:id="64"/>
    </w:p>
    <w:p w:rsidR="00DB4FFF" w:rsidRDefault="00DB4FFF" w:rsidP="0078269B">
      <w:pPr>
        <w:spacing w:after="0"/>
        <w:jc w:val="both"/>
        <w:rPr>
          <w:noProof/>
          <w:lang w:eastAsia="mk-MK"/>
        </w:rPr>
      </w:pPr>
      <w:r>
        <w:rPr>
          <w:noProof/>
          <w:lang w:val="en-US"/>
        </w:rPr>
        <w:drawing>
          <wp:inline distT="0" distB="0" distL="0" distR="0" wp14:anchorId="5E8C86B7" wp14:editId="68F458DD">
            <wp:extent cx="5782390" cy="2262215"/>
            <wp:effectExtent l="0" t="0" r="27940" b="241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035B" w:rsidRDefault="00DB4FFF" w:rsidP="0078269B">
      <w:pPr>
        <w:spacing w:after="120"/>
        <w:jc w:val="both"/>
        <w:rPr>
          <w:rFonts w:ascii="StobiSerif Regular" w:hAnsi="StobiSerif Regular"/>
          <w:lang w:val="en-US"/>
        </w:rPr>
      </w:pPr>
      <w:r>
        <w:rPr>
          <w:rFonts w:ascii="StobiSerif Regular" w:hAnsi="StobiSerif Regular"/>
          <w:sz w:val="16"/>
          <w:szCs w:val="16"/>
        </w:rPr>
        <w:t>Извор: Мониторинг систем  (2016)</w:t>
      </w:r>
    </w:p>
    <w:p w:rsidR="006D34C8" w:rsidRPr="00F71769" w:rsidRDefault="00394B69" w:rsidP="006D34C8">
      <w:pPr>
        <w:jc w:val="both"/>
        <w:outlineLvl w:val="0"/>
        <w:rPr>
          <w:rFonts w:ascii="StobiSerif Regular" w:hAnsi="StobiSerif Regular"/>
          <w:b/>
          <w:bCs/>
          <w:sz w:val="28"/>
          <w:szCs w:val="28"/>
          <w:lang w:val="en-US"/>
        </w:rPr>
      </w:pPr>
      <w:bookmarkStart w:id="65" w:name="_Toc485394815"/>
      <w:bookmarkStart w:id="66" w:name="_Toc455052754"/>
      <w:bookmarkStart w:id="67" w:name="_Toc355868948"/>
      <w:r>
        <w:rPr>
          <w:rFonts w:ascii="StobiSerif Regular" w:hAnsi="StobiSerif Regular"/>
          <w:b/>
          <w:sz w:val="28"/>
          <w:szCs w:val="28"/>
        </w:rPr>
        <w:t>3</w:t>
      </w:r>
      <w:r w:rsidR="00A60EA9">
        <w:rPr>
          <w:rFonts w:ascii="StobiSerif Regular" w:hAnsi="StobiSerif Regular"/>
          <w:b/>
          <w:sz w:val="28"/>
          <w:szCs w:val="28"/>
        </w:rPr>
        <w:t>.</w:t>
      </w:r>
      <w:r w:rsidRPr="00BC433D">
        <w:rPr>
          <w:rFonts w:ascii="StobiSerif Regular" w:hAnsi="StobiSerif Regular"/>
          <w:b/>
          <w:sz w:val="28"/>
          <w:szCs w:val="28"/>
          <w:lang w:val="en-US"/>
        </w:rPr>
        <w:t xml:space="preserve"> </w:t>
      </w:r>
      <w:r w:rsidR="006D34C8">
        <w:rPr>
          <w:rFonts w:ascii="StobiSerif Regular" w:hAnsi="StobiSerif Regular"/>
          <w:b/>
          <w:bCs/>
          <w:sz w:val="28"/>
          <w:szCs w:val="28"/>
        </w:rPr>
        <w:t>Aктивности за гаранација на квалитет и спроведување</w:t>
      </w:r>
      <w:bookmarkEnd w:id="65"/>
      <w:r w:rsidR="006D34C8">
        <w:rPr>
          <w:rFonts w:ascii="StobiSerif Regular" w:hAnsi="StobiSerif Regular"/>
          <w:b/>
          <w:bCs/>
          <w:sz w:val="28"/>
          <w:szCs w:val="28"/>
        </w:rPr>
        <w:t xml:space="preserve"> </w:t>
      </w:r>
    </w:p>
    <w:p w:rsidR="004926AC" w:rsidRPr="00394B69" w:rsidRDefault="008A4251" w:rsidP="004926AC">
      <w:pPr>
        <w:spacing w:before="100" w:beforeAutospacing="1" w:after="100" w:afterAutospacing="1" w:line="240" w:lineRule="auto"/>
        <w:outlineLvl w:val="1"/>
        <w:rPr>
          <w:rFonts w:ascii="StobiSerif Regular" w:eastAsia="Times New Roman" w:hAnsi="StobiSerif Regular" w:cs="Times New Roman"/>
          <w:b/>
          <w:bCs/>
          <w:lang w:eastAsia="mk-MK"/>
        </w:rPr>
      </w:pPr>
      <w:bookmarkStart w:id="68" w:name="_Toc485394816"/>
      <w:r w:rsidRPr="00263962">
        <w:rPr>
          <w:rFonts w:ascii="StobiSerif Regular" w:eastAsia="Times New Roman" w:hAnsi="StobiSerif Regular" w:cs="Times New Roman"/>
          <w:b/>
          <w:bCs/>
          <w:lang w:val="en-US" w:eastAsia="mk-MK"/>
        </w:rPr>
        <w:t>3</w:t>
      </w:r>
      <w:r w:rsidR="004926AC" w:rsidRPr="00263962">
        <w:rPr>
          <w:rFonts w:ascii="StobiSerif Regular" w:eastAsia="Times New Roman" w:hAnsi="StobiSerif Regular" w:cs="Times New Roman"/>
          <w:b/>
          <w:bCs/>
          <w:lang w:val="en-US" w:eastAsia="mk-MK"/>
        </w:rPr>
        <w:t xml:space="preserve">.1 </w:t>
      </w:r>
      <w:bookmarkEnd w:id="66"/>
      <w:r w:rsidR="00394B69" w:rsidRPr="00394B69">
        <w:rPr>
          <w:rFonts w:ascii="StobiSerif Regular" w:eastAsia="Times New Roman" w:hAnsi="StobiSerif Regular" w:cs="Times New Roman"/>
          <w:b/>
          <w:bCs/>
          <w:lang w:eastAsia="mk-MK"/>
        </w:rPr>
        <w:t>Мониторинг,програмирање и евалуација</w:t>
      </w:r>
      <w:bookmarkEnd w:id="68"/>
    </w:p>
    <w:p w:rsidR="004926AC" w:rsidRPr="00394B69" w:rsidRDefault="008A4251" w:rsidP="004926AC">
      <w:pPr>
        <w:tabs>
          <w:tab w:val="left" w:pos="720"/>
        </w:tabs>
        <w:spacing w:after="120" w:line="240" w:lineRule="auto"/>
        <w:jc w:val="both"/>
        <w:outlineLvl w:val="2"/>
        <w:rPr>
          <w:rFonts w:ascii="StobiSerif Regular" w:eastAsia="Times New Roman" w:hAnsi="StobiSerif Regular" w:cs="Times New Roman"/>
          <w:b/>
          <w:lang w:eastAsia="zh-CN"/>
        </w:rPr>
      </w:pPr>
      <w:bookmarkStart w:id="69" w:name="_Toc455052755"/>
      <w:bookmarkStart w:id="70" w:name="_Toc485394817"/>
      <w:r w:rsidRPr="00263962">
        <w:rPr>
          <w:rFonts w:ascii="StobiSerif Regular" w:eastAsia="Times New Roman" w:hAnsi="StobiSerif Regular" w:cs="Times New Roman"/>
          <w:b/>
          <w:lang w:val="en-US" w:eastAsia="zh-CN"/>
        </w:rPr>
        <w:t>3</w:t>
      </w:r>
      <w:r w:rsidR="004926AC" w:rsidRPr="00263962">
        <w:rPr>
          <w:rFonts w:ascii="StobiSerif Regular" w:eastAsia="Times New Roman" w:hAnsi="StobiSerif Regular" w:cs="Times New Roman"/>
          <w:b/>
          <w:lang w:val="en-US" w:eastAsia="zh-CN"/>
        </w:rPr>
        <w:t xml:space="preserve">.1.1 </w:t>
      </w:r>
      <w:bookmarkEnd w:id="69"/>
      <w:r w:rsidR="00394B69">
        <w:rPr>
          <w:rFonts w:ascii="StobiSerif Regular" w:eastAsia="Times New Roman" w:hAnsi="StobiSerif Regular" w:cs="Times New Roman"/>
          <w:b/>
          <w:lang w:eastAsia="zh-CN"/>
        </w:rPr>
        <w:t>Активности во системот за следење</w:t>
      </w:r>
      <w:bookmarkEnd w:id="70"/>
    </w:p>
    <w:p w:rsidR="00394B69" w:rsidRPr="006D34C8" w:rsidRDefault="00394B69" w:rsidP="006D34C8">
      <w:pPr>
        <w:spacing w:before="120" w:after="120"/>
        <w:ind w:firstLine="284"/>
        <w:jc w:val="both"/>
        <w:rPr>
          <w:lang w:val="en-US"/>
        </w:rPr>
      </w:pPr>
      <w:r w:rsidRPr="00394B69">
        <w:rPr>
          <w:rFonts w:ascii="StobiSerif Regular" w:eastAsia="Calibri" w:hAnsi="StobiSerif Regular" w:cs="Arial"/>
          <w:lang w:val="en-US"/>
        </w:rPr>
        <w:t xml:space="preserve">Во согласност со одговорностите преземени од Договорот за имплементација помеѓу </w:t>
      </w:r>
      <w:r w:rsidR="00C624B5">
        <w:rPr>
          <w:rFonts w:ascii="StobiSerif Regular" w:eastAsia="Calibri" w:hAnsi="StobiSerif Regular" w:cs="Arial"/>
        </w:rPr>
        <w:t>ТУ</w:t>
      </w:r>
      <w:r w:rsidRPr="00394B69">
        <w:rPr>
          <w:rFonts w:ascii="StobiSerif Regular" w:eastAsia="Calibri" w:hAnsi="StobiSerif Regular" w:cs="Arial"/>
          <w:lang w:val="en-US"/>
        </w:rPr>
        <w:t xml:space="preserve"> и </w:t>
      </w:r>
      <w:r w:rsidR="00C624B5" w:rsidRPr="00394B69">
        <w:rPr>
          <w:rFonts w:ascii="StobiSerif Regular" w:eastAsia="Calibri" w:hAnsi="StobiSerif Regular" w:cs="Arial"/>
          <w:lang w:val="en-US"/>
        </w:rPr>
        <w:t xml:space="preserve">ИПАРД </w:t>
      </w:r>
      <w:r w:rsidRPr="00394B69">
        <w:rPr>
          <w:rFonts w:ascii="StobiSerif Regular" w:eastAsia="Calibri" w:hAnsi="StobiSerif Regular" w:cs="Arial"/>
          <w:lang w:val="en-US"/>
        </w:rPr>
        <w:t xml:space="preserve">Агенцијата, ИПАРД </w:t>
      </w:r>
      <w:r w:rsidR="00C624B5" w:rsidRPr="00394B69">
        <w:rPr>
          <w:rFonts w:ascii="StobiSerif Regular" w:eastAsia="Calibri" w:hAnsi="StobiSerif Regular" w:cs="Arial"/>
          <w:lang w:val="en-US"/>
        </w:rPr>
        <w:t xml:space="preserve">Агенцијата </w:t>
      </w:r>
      <w:r w:rsidR="00C624B5">
        <w:rPr>
          <w:rFonts w:ascii="StobiSerif Regular" w:eastAsia="Calibri" w:hAnsi="StobiSerif Regular" w:cs="Arial"/>
          <w:lang w:val="en-US"/>
        </w:rPr>
        <w:t>редовно извест</w:t>
      </w:r>
      <w:r w:rsidR="00C624B5">
        <w:rPr>
          <w:rFonts w:ascii="StobiSerif Regular" w:eastAsia="Calibri" w:hAnsi="StobiSerif Regular" w:cs="Arial"/>
        </w:rPr>
        <w:t>ува</w:t>
      </w:r>
      <w:r w:rsidRPr="00394B69">
        <w:rPr>
          <w:rFonts w:ascii="StobiSerif Regular" w:eastAsia="Calibri" w:hAnsi="StobiSerif Regular" w:cs="Arial"/>
          <w:lang w:val="en-US"/>
        </w:rPr>
        <w:t xml:space="preserve"> за </w:t>
      </w:r>
      <w:r w:rsidR="00C624B5">
        <w:rPr>
          <w:rFonts w:ascii="StobiSerif Regular" w:eastAsia="Calibri" w:hAnsi="StobiSerif Regular" w:cs="Arial"/>
        </w:rPr>
        <w:t>спроведувањето</w:t>
      </w:r>
      <w:r w:rsidRPr="00394B69">
        <w:rPr>
          <w:rFonts w:ascii="StobiSerif Regular" w:eastAsia="Calibri" w:hAnsi="StobiSerif Regular" w:cs="Arial"/>
          <w:lang w:val="en-US"/>
        </w:rPr>
        <w:t xml:space="preserve"> на ИПАРД Програмата</w:t>
      </w:r>
      <w:r w:rsidR="00C624B5">
        <w:rPr>
          <w:rFonts w:ascii="StobiSerif Regular" w:eastAsia="Calibri" w:hAnsi="StobiSerif Regular" w:cs="Arial"/>
        </w:rPr>
        <w:t>.</w:t>
      </w:r>
      <w:r w:rsidR="00C624B5" w:rsidRPr="00C624B5">
        <w:t xml:space="preserve"> </w:t>
      </w:r>
      <w:r w:rsidR="00C624B5" w:rsidRPr="00C624B5">
        <w:rPr>
          <w:rFonts w:ascii="StobiSerif Regular" w:eastAsia="Calibri" w:hAnsi="StobiSerif Regular" w:cs="Arial"/>
        </w:rPr>
        <w:t xml:space="preserve">Размената на податоци </w:t>
      </w:r>
      <w:r w:rsidR="00C624B5">
        <w:rPr>
          <w:rFonts w:ascii="StobiSerif Regular" w:eastAsia="Calibri" w:hAnsi="StobiSerif Regular" w:cs="Arial"/>
        </w:rPr>
        <w:t>с</w:t>
      </w:r>
      <w:r w:rsidR="00C624B5" w:rsidRPr="00C624B5">
        <w:rPr>
          <w:rFonts w:ascii="StobiSerif Regular" w:eastAsia="Calibri" w:hAnsi="StobiSerif Regular" w:cs="Arial"/>
        </w:rPr>
        <w:t xml:space="preserve">е </w:t>
      </w:r>
      <w:r w:rsidR="00C624B5">
        <w:rPr>
          <w:rFonts w:ascii="StobiSerif Regular" w:eastAsia="Calibri" w:hAnsi="StobiSerif Regular" w:cs="Arial"/>
        </w:rPr>
        <w:t>одвива преку</w:t>
      </w:r>
      <w:r w:rsidR="00C624B5" w:rsidRPr="00C624B5">
        <w:rPr>
          <w:rFonts w:ascii="StobiSerif Regular" w:eastAsia="Calibri" w:hAnsi="StobiSerif Regular" w:cs="Arial"/>
        </w:rPr>
        <w:t xml:space="preserve"> табелите за мониторинг и евалуација за ИПАРД Програмата, како и со други подготвени извештаи на барање на </w:t>
      </w:r>
      <w:r w:rsidR="00C624B5">
        <w:rPr>
          <w:rFonts w:ascii="StobiSerif Regular" w:eastAsia="Calibri" w:hAnsi="StobiSerif Regular" w:cs="Arial"/>
        </w:rPr>
        <w:t>ТУ</w:t>
      </w:r>
      <w:r w:rsidR="00C624B5" w:rsidRPr="00C624B5">
        <w:rPr>
          <w:rFonts w:ascii="StobiSerif Regular" w:eastAsia="Calibri" w:hAnsi="StobiSerif Regular" w:cs="Arial"/>
        </w:rPr>
        <w:t>, во ко</w:t>
      </w:r>
      <w:r w:rsidR="00C624B5">
        <w:rPr>
          <w:rFonts w:ascii="StobiSerif Regular" w:eastAsia="Calibri" w:hAnsi="StobiSerif Regular" w:cs="Arial"/>
        </w:rPr>
        <w:t>и</w:t>
      </w:r>
      <w:r w:rsidR="00C624B5" w:rsidRPr="00C624B5">
        <w:rPr>
          <w:rFonts w:ascii="StobiSerif Regular" w:eastAsia="Calibri" w:hAnsi="StobiSerif Regular" w:cs="Arial"/>
        </w:rPr>
        <w:t xml:space="preserve"> </w:t>
      </w:r>
      <w:r w:rsidR="00C624B5">
        <w:rPr>
          <w:rFonts w:ascii="StobiSerif Regular" w:eastAsia="Calibri" w:hAnsi="StobiSerif Regular" w:cs="Arial"/>
        </w:rPr>
        <w:t>се</w:t>
      </w:r>
      <w:r w:rsidR="00C624B5" w:rsidRPr="00C624B5">
        <w:rPr>
          <w:rFonts w:ascii="StobiSerif Regular" w:eastAsia="Calibri" w:hAnsi="StobiSerif Regular" w:cs="Arial"/>
        </w:rPr>
        <w:t xml:space="preserve"> содржа</w:t>
      </w:r>
      <w:r w:rsidR="00C624B5">
        <w:rPr>
          <w:rFonts w:ascii="StobiSerif Regular" w:eastAsia="Calibri" w:hAnsi="StobiSerif Regular" w:cs="Arial"/>
        </w:rPr>
        <w:t>т</w:t>
      </w:r>
      <w:r w:rsidR="00C624B5" w:rsidRPr="00C624B5">
        <w:rPr>
          <w:rFonts w:ascii="StobiSerif Regular" w:eastAsia="Calibri" w:hAnsi="StobiSerif Regular" w:cs="Arial"/>
        </w:rPr>
        <w:t xml:space="preserve"> податоци кои не </w:t>
      </w:r>
      <w:r w:rsidR="00C624B5">
        <w:rPr>
          <w:rFonts w:ascii="StobiSerif Regular" w:eastAsia="Calibri" w:hAnsi="StobiSerif Regular" w:cs="Arial"/>
        </w:rPr>
        <w:t>се</w:t>
      </w:r>
      <w:r w:rsidR="00C624B5" w:rsidRPr="00C624B5">
        <w:rPr>
          <w:rFonts w:ascii="StobiSerif Regular" w:eastAsia="Calibri" w:hAnsi="StobiSerif Regular" w:cs="Arial"/>
        </w:rPr>
        <w:t xml:space="preserve"> вклучени во табелите, но </w:t>
      </w:r>
      <w:r w:rsidR="00C624B5">
        <w:rPr>
          <w:rFonts w:ascii="StobiSerif Regular" w:eastAsia="Calibri" w:hAnsi="StobiSerif Regular" w:cs="Arial"/>
        </w:rPr>
        <w:t>се</w:t>
      </w:r>
      <w:r w:rsidR="00C624B5" w:rsidRPr="00C624B5">
        <w:rPr>
          <w:rFonts w:ascii="StobiSerif Regular" w:eastAsia="Calibri" w:hAnsi="StobiSerif Regular" w:cs="Arial"/>
        </w:rPr>
        <w:t xml:space="preserve"> релевантни за извршување на Програмата.</w:t>
      </w:r>
    </w:p>
    <w:p w:rsidR="00C124A8" w:rsidRPr="00C124A8" w:rsidRDefault="00DF23CA" w:rsidP="006D34C8">
      <w:pPr>
        <w:spacing w:before="120" w:after="120"/>
        <w:ind w:firstLine="284"/>
        <w:jc w:val="both"/>
        <w:rPr>
          <w:rFonts w:ascii="StobiSerif Regular" w:eastAsia="Calibri" w:hAnsi="StobiSerif Regular" w:cs="Arial"/>
        </w:rPr>
      </w:pPr>
      <w:r w:rsidRPr="00DF23CA">
        <w:rPr>
          <w:rFonts w:ascii="StobiSerif Regular" w:eastAsia="Calibri" w:hAnsi="StobiSerif Regular" w:cs="Arial"/>
          <w:lang w:val="en-US"/>
        </w:rPr>
        <w:t xml:space="preserve"> </w:t>
      </w:r>
      <w:r w:rsidR="00C624B5" w:rsidRPr="00C624B5">
        <w:rPr>
          <w:rFonts w:ascii="StobiSerif Regular" w:eastAsia="Calibri" w:hAnsi="StobiSerif Regular" w:cs="Arial"/>
          <w:lang w:val="en-US"/>
        </w:rPr>
        <w:t xml:space="preserve">Во 2016 година, </w:t>
      </w:r>
      <w:r w:rsidR="00C124A8" w:rsidRPr="00C624B5">
        <w:rPr>
          <w:rFonts w:ascii="StobiSerif Regular" w:eastAsia="Calibri" w:hAnsi="StobiSerif Regular" w:cs="Arial"/>
          <w:lang w:val="en-US"/>
        </w:rPr>
        <w:t xml:space="preserve">ИПАРД </w:t>
      </w:r>
      <w:r w:rsidR="00C624B5" w:rsidRPr="00C624B5">
        <w:rPr>
          <w:rFonts w:ascii="StobiSerif Regular" w:eastAsia="Calibri" w:hAnsi="StobiSerif Regular" w:cs="Arial"/>
          <w:lang w:val="en-US"/>
        </w:rPr>
        <w:t xml:space="preserve">Агенцијата </w:t>
      </w:r>
      <w:r w:rsidR="00C124A8">
        <w:rPr>
          <w:rFonts w:ascii="StobiSerif Regular" w:eastAsia="Calibri" w:hAnsi="StobiSerif Regular" w:cs="Arial"/>
        </w:rPr>
        <w:t>в</w:t>
      </w:r>
      <w:r w:rsidR="00C624B5" w:rsidRPr="00C624B5">
        <w:rPr>
          <w:rFonts w:ascii="StobiSerif Regular" w:eastAsia="Calibri" w:hAnsi="StobiSerif Regular" w:cs="Arial"/>
          <w:lang w:val="en-US"/>
        </w:rPr>
        <w:t xml:space="preserve">о утврдениот рок редовно доставува до ТУ табели за следење </w:t>
      </w:r>
      <w:r w:rsidR="00C124A8">
        <w:rPr>
          <w:rFonts w:ascii="StobiSerif Regular" w:eastAsia="Calibri" w:hAnsi="StobiSerif Regular" w:cs="Arial"/>
        </w:rPr>
        <w:t>н</w:t>
      </w:r>
      <w:r w:rsidR="00C624B5" w:rsidRPr="00C624B5">
        <w:rPr>
          <w:rFonts w:ascii="StobiSerif Regular" w:eastAsia="Calibri" w:hAnsi="StobiSerif Regular" w:cs="Arial"/>
          <w:lang w:val="en-US"/>
        </w:rPr>
        <w:t xml:space="preserve">а спроведување на ИПАРД Програмата, кои вклучуваат информации за физички и финансиски индикатори, извештаи од извршените контроли, утврдени неправилности и дополнителни барања за извештаи , </w:t>
      </w:r>
      <w:r w:rsidR="00C124A8">
        <w:rPr>
          <w:rFonts w:ascii="StobiSerif Regular" w:eastAsia="Calibri" w:hAnsi="StobiSerif Regular" w:cs="Arial"/>
        </w:rPr>
        <w:t>д</w:t>
      </w:r>
      <w:r w:rsidR="00C624B5" w:rsidRPr="00C624B5">
        <w:rPr>
          <w:rFonts w:ascii="StobiSerif Regular" w:eastAsia="Calibri" w:hAnsi="StobiSerif Regular" w:cs="Arial"/>
          <w:lang w:val="en-US"/>
        </w:rPr>
        <w:t>ефинирани во Договорот за спроведување</w:t>
      </w:r>
      <w:r w:rsidR="00C124A8">
        <w:rPr>
          <w:rFonts w:ascii="StobiSerif Regular" w:eastAsia="Calibri" w:hAnsi="StobiSerif Regular" w:cs="Arial"/>
        </w:rPr>
        <w:t>.</w:t>
      </w:r>
      <w:r w:rsidR="006D34C8">
        <w:rPr>
          <w:rFonts w:ascii="StobiSerif Regular" w:eastAsia="Calibri" w:hAnsi="StobiSerif Regular" w:cs="Arial"/>
        </w:rPr>
        <w:t xml:space="preserve"> </w:t>
      </w:r>
      <w:r w:rsidR="00C124A8" w:rsidRPr="00C124A8">
        <w:rPr>
          <w:rFonts w:ascii="StobiSerif Regular" w:eastAsia="Calibri" w:hAnsi="StobiSerif Regular" w:cs="Arial"/>
        </w:rPr>
        <w:t>Собирањето на податоците и подготовката на извештаи се од</w:t>
      </w:r>
      <w:r w:rsidR="00C124A8">
        <w:rPr>
          <w:rFonts w:ascii="StobiSerif Regular" w:eastAsia="Calibri" w:hAnsi="StobiSerif Regular" w:cs="Arial"/>
        </w:rPr>
        <w:t>ви</w:t>
      </w:r>
      <w:r w:rsidR="00C124A8" w:rsidRPr="00C124A8">
        <w:rPr>
          <w:rFonts w:ascii="StobiSerif Regular" w:eastAsia="Calibri" w:hAnsi="StobiSerif Regular" w:cs="Arial"/>
        </w:rPr>
        <w:t>ва рачно во ексел.</w:t>
      </w:r>
    </w:p>
    <w:p w:rsidR="00B037A4" w:rsidRPr="00B037A4" w:rsidRDefault="006D34C8" w:rsidP="006D34C8">
      <w:pPr>
        <w:spacing w:before="120" w:after="120"/>
        <w:jc w:val="both"/>
        <w:rPr>
          <w:rFonts w:ascii="StobiSerif Regular" w:eastAsia="Calibri" w:hAnsi="StobiSerif Regular" w:cs="Arial"/>
        </w:rPr>
      </w:pPr>
      <w:r>
        <w:rPr>
          <w:rFonts w:ascii="StobiSerif Regular" w:eastAsia="Calibri" w:hAnsi="StobiSerif Regular" w:cs="Arial"/>
        </w:rPr>
        <w:t>Во тек</w:t>
      </w:r>
      <w:r w:rsidR="00B037A4" w:rsidRPr="00B037A4">
        <w:rPr>
          <w:rFonts w:ascii="StobiSerif Regular" w:eastAsia="Calibri" w:hAnsi="StobiSerif Regular" w:cs="Arial"/>
        </w:rPr>
        <w:t xml:space="preserve"> на 201</w:t>
      </w:r>
      <w:r w:rsidR="00B037A4">
        <w:rPr>
          <w:rFonts w:ascii="StobiSerif Regular" w:eastAsia="Calibri" w:hAnsi="StobiSerif Regular" w:cs="Arial"/>
        </w:rPr>
        <w:t>6</w:t>
      </w:r>
      <w:r w:rsidR="00B037A4" w:rsidRPr="00B037A4">
        <w:rPr>
          <w:rFonts w:ascii="StobiSerif Regular" w:eastAsia="Calibri" w:hAnsi="StobiSerif Regular" w:cs="Arial"/>
        </w:rPr>
        <w:t xml:space="preserve"> година, ИПАРД Агенцијата ги евидентира сите трансакции, паралелно во Excel и SAP софтверот и во хартиена форма исто така. SAP софтвер е во фаза на испитување и ќе подлежи на процес на акредитација.Веднаш штом ќе се утврди дека сите извештаи произлезени од  SAP софтверот се релевантни и точни и истиот се акредитира, SAP софтвер ќе биде главна алатка за сметководство во ИПАРД Агенцијата и сите финансиски показатели ќе бидат повлечени од системот.</w:t>
      </w:r>
    </w:p>
    <w:p w:rsidR="004926AC" w:rsidRPr="00B037A4" w:rsidRDefault="001216EE" w:rsidP="004926AC">
      <w:pPr>
        <w:tabs>
          <w:tab w:val="left" w:pos="720"/>
        </w:tabs>
        <w:spacing w:after="120" w:line="240" w:lineRule="auto"/>
        <w:jc w:val="both"/>
        <w:outlineLvl w:val="2"/>
        <w:rPr>
          <w:rFonts w:ascii="StobiSerif Regular" w:eastAsia="Times New Roman" w:hAnsi="StobiSerif Regular" w:cs="Times New Roman"/>
          <w:b/>
          <w:lang w:eastAsia="zh-CN"/>
        </w:rPr>
      </w:pPr>
      <w:bookmarkStart w:id="71" w:name="_Toc455052756"/>
      <w:bookmarkStart w:id="72" w:name="_Toc485394818"/>
      <w:r w:rsidRPr="00CF0BD1">
        <w:rPr>
          <w:rFonts w:ascii="StobiSerif Regular" w:eastAsia="Times New Roman" w:hAnsi="StobiSerif Regular" w:cs="Times New Roman"/>
          <w:b/>
          <w:lang w:val="en-US" w:eastAsia="zh-CN"/>
        </w:rPr>
        <w:t xml:space="preserve">3.1.2 </w:t>
      </w:r>
      <w:bookmarkEnd w:id="71"/>
      <w:r w:rsidR="00B037A4">
        <w:rPr>
          <w:rFonts w:ascii="StobiSerif Regular" w:eastAsia="Times New Roman" w:hAnsi="StobiSerif Regular" w:cs="Times New Roman"/>
          <w:b/>
          <w:lang w:eastAsia="zh-CN"/>
        </w:rPr>
        <w:t>Програмски измени</w:t>
      </w:r>
      <w:bookmarkEnd w:id="72"/>
    </w:p>
    <w:bookmarkEnd w:id="67"/>
    <w:p w:rsidR="00E30E81" w:rsidRDefault="00A87A8F" w:rsidP="009379B5">
      <w:pPr>
        <w:spacing w:before="120" w:after="120"/>
        <w:ind w:firstLine="284"/>
        <w:jc w:val="both"/>
        <w:rPr>
          <w:rFonts w:ascii="StobiSerif Regular" w:hAnsi="StobiSerif Regular"/>
          <w:lang w:val="en-US"/>
        </w:rPr>
      </w:pPr>
      <w:r>
        <w:rPr>
          <w:rFonts w:ascii="StobiSerif Regular" w:hAnsi="StobiSerif Regular"/>
        </w:rPr>
        <w:t>Осмата</w:t>
      </w:r>
      <w:r w:rsidRPr="00A87A8F">
        <w:rPr>
          <w:rFonts w:ascii="StobiSerif Regular" w:hAnsi="StobiSerif Regular"/>
        </w:rPr>
        <w:t xml:space="preserve"> модификаци</w:t>
      </w:r>
      <w:r>
        <w:rPr>
          <w:rFonts w:ascii="StobiSerif Regular" w:hAnsi="StobiSerif Regular"/>
        </w:rPr>
        <w:t>ја</w:t>
      </w:r>
      <w:r w:rsidRPr="00A87A8F">
        <w:rPr>
          <w:rFonts w:ascii="StobiSerif Regular" w:hAnsi="StobiSerif Regular"/>
        </w:rPr>
        <w:t xml:space="preserve"> на ИПАРД Програмата 2007-2013 бе</w:t>
      </w:r>
      <w:r>
        <w:rPr>
          <w:rFonts w:ascii="StobiSerif Regular" w:hAnsi="StobiSerif Regular"/>
        </w:rPr>
        <w:t>ше</w:t>
      </w:r>
      <w:r w:rsidRPr="00A87A8F">
        <w:rPr>
          <w:rFonts w:ascii="StobiSerif Regular" w:hAnsi="StobiSerif Regular"/>
        </w:rPr>
        <w:t xml:space="preserve"> </w:t>
      </w:r>
      <w:r>
        <w:rPr>
          <w:rFonts w:ascii="StobiSerif Regular" w:hAnsi="StobiSerif Regular"/>
        </w:rPr>
        <w:t>усвоена</w:t>
      </w:r>
      <w:r w:rsidRPr="00A87A8F">
        <w:rPr>
          <w:rFonts w:ascii="StobiSerif Regular" w:hAnsi="StobiSerif Regular"/>
        </w:rPr>
        <w:t xml:space="preserve"> во 2016 година. Предлогот за 8-тата модификација, </w:t>
      </w:r>
      <w:r w:rsidR="006D34C8">
        <w:rPr>
          <w:rFonts w:ascii="StobiSerif Regular" w:hAnsi="StobiSerif Regular"/>
        </w:rPr>
        <w:t>вклучув измени на</w:t>
      </w:r>
      <w:r w:rsidRPr="00A87A8F">
        <w:rPr>
          <w:rFonts w:ascii="StobiSerif Regular" w:hAnsi="StobiSerif Regular"/>
        </w:rPr>
        <w:t xml:space="preserve"> финансиските табели </w:t>
      </w:r>
      <w:r w:rsidR="006D34C8">
        <w:rPr>
          <w:rFonts w:ascii="StobiSerif Regular" w:hAnsi="StobiSerif Regular"/>
        </w:rPr>
        <w:t xml:space="preserve">со </w:t>
      </w:r>
      <w:r w:rsidRPr="00A87A8F">
        <w:rPr>
          <w:rFonts w:ascii="StobiSerif Regular" w:hAnsi="StobiSerif Regular"/>
        </w:rPr>
        <w:t xml:space="preserve">предвид </w:t>
      </w:r>
      <w:r>
        <w:rPr>
          <w:rFonts w:ascii="StobiSerif Regular" w:hAnsi="StobiSerif Regular"/>
        </w:rPr>
        <w:t>повраток</w:t>
      </w:r>
      <w:r w:rsidRPr="00A87A8F">
        <w:rPr>
          <w:rFonts w:ascii="StobiSerif Regular" w:hAnsi="StobiSerif Regular"/>
        </w:rPr>
        <w:t xml:space="preserve"> на средствата од 2015 година, како и прераспределбата </w:t>
      </w:r>
      <w:r w:rsidR="006D34C8">
        <w:rPr>
          <w:rFonts w:ascii="StobiSerif Regular" w:hAnsi="StobiSerif Regular"/>
        </w:rPr>
        <w:t>на средствата од мерката 103 – „</w:t>
      </w:r>
      <w:r w:rsidRPr="00A87A8F">
        <w:rPr>
          <w:rFonts w:ascii="StobiSerif Regular" w:hAnsi="StobiSerif Regular"/>
        </w:rPr>
        <w:t>Инвестиции во преработка и маркетинг на земјоделски производи за преструктуирање и надградба на стандарди на Зае</w:t>
      </w:r>
      <w:r w:rsidR="006D34C8">
        <w:rPr>
          <w:rFonts w:ascii="StobiSerif Regular" w:hAnsi="StobiSerif Regular"/>
        </w:rPr>
        <w:t>дницата" за да се измери 101 – „</w:t>
      </w:r>
      <w:r w:rsidRPr="00A87A8F">
        <w:rPr>
          <w:rFonts w:ascii="StobiSerif Regular" w:hAnsi="StobiSerif Regular"/>
        </w:rPr>
        <w:t>Инвестиции во земјоделски стопанства за реструктуирање и надградба на стандарди на Заедницата", беше одобрен од Комитетот ИПА II во јули 2016 година. Генералниот директорат за земјоделство и рурален развој на ЕК ја усвои официјалната одлука за одобрување на последната измена на ИПАРД 2007-2013 година во ноември 2016 година (види: C (2016) 7396 од 11 ноември 2016 година</w:t>
      </w:r>
      <w:r w:rsidR="006D34C8">
        <w:rPr>
          <w:rFonts w:ascii="StobiSerif Regular" w:hAnsi="StobiSerif Regular"/>
        </w:rPr>
        <w:t>)</w:t>
      </w:r>
      <w:r w:rsidR="00E30F74" w:rsidRPr="00E30F74">
        <w:rPr>
          <w:rFonts w:ascii="StobiSerif Regular" w:hAnsi="StobiSerif Regular"/>
          <w:lang w:val="en-US"/>
        </w:rPr>
        <w:t>.</w:t>
      </w:r>
    </w:p>
    <w:p w:rsidR="001216EE" w:rsidRPr="006D34C8" w:rsidRDefault="001216EE" w:rsidP="009379B5">
      <w:pPr>
        <w:pStyle w:val="ListNumberLevel2"/>
        <w:numPr>
          <w:ilvl w:val="0"/>
          <w:numId w:val="0"/>
        </w:numPr>
        <w:tabs>
          <w:tab w:val="left" w:pos="720"/>
        </w:tabs>
        <w:spacing w:before="120"/>
        <w:outlineLvl w:val="2"/>
        <w:rPr>
          <w:rFonts w:ascii="StobiSerif Regular" w:hAnsi="StobiSerif Regular"/>
          <w:b/>
          <w:sz w:val="22"/>
          <w:szCs w:val="22"/>
          <w:lang w:val="mk-MK"/>
        </w:rPr>
      </w:pPr>
      <w:bookmarkStart w:id="73" w:name="_Toc455052757"/>
      <w:bookmarkStart w:id="74" w:name="_Toc485394819"/>
      <w:r w:rsidRPr="00244550">
        <w:rPr>
          <w:rFonts w:ascii="StobiSerif Regular" w:hAnsi="StobiSerif Regular"/>
          <w:b/>
          <w:sz w:val="22"/>
          <w:szCs w:val="22"/>
          <w:lang w:val="en-US"/>
        </w:rPr>
        <w:t xml:space="preserve">3.1.3 </w:t>
      </w:r>
      <w:bookmarkEnd w:id="73"/>
      <w:r w:rsidR="006D34C8">
        <w:rPr>
          <w:rFonts w:ascii="StobiSerif Regular" w:hAnsi="StobiSerif Regular"/>
          <w:b/>
          <w:sz w:val="22"/>
          <w:szCs w:val="22"/>
          <w:lang w:val="mk-MK"/>
        </w:rPr>
        <w:t>Активности за евалу</w:t>
      </w:r>
      <w:r w:rsidR="00C95D3B">
        <w:rPr>
          <w:rFonts w:ascii="StobiSerif Regular" w:hAnsi="StobiSerif Regular"/>
          <w:b/>
          <w:sz w:val="22"/>
          <w:szCs w:val="22"/>
          <w:lang w:val="mk-MK"/>
        </w:rPr>
        <w:t>ација</w:t>
      </w:r>
      <w:r w:rsidRPr="00CF0BD1">
        <w:rPr>
          <w:rFonts w:ascii="StobiSerif Regular" w:hAnsi="StobiSerif Regular"/>
          <w:b/>
          <w:sz w:val="22"/>
          <w:szCs w:val="22"/>
          <w:lang w:val="en-US"/>
        </w:rPr>
        <w:t xml:space="preserve"> </w:t>
      </w:r>
      <w:r w:rsidR="006D34C8">
        <w:rPr>
          <w:rFonts w:ascii="StobiSerif Regular" w:hAnsi="StobiSerif Regular"/>
          <w:b/>
          <w:sz w:val="22"/>
          <w:szCs w:val="22"/>
          <w:lang w:val="mk-MK"/>
        </w:rPr>
        <w:t>( проценка)</w:t>
      </w:r>
      <w:bookmarkEnd w:id="74"/>
    </w:p>
    <w:p w:rsidR="00FF4B20" w:rsidRDefault="00C95D3B" w:rsidP="009379B5">
      <w:pPr>
        <w:pStyle w:val="ListNumberLevel2"/>
        <w:numPr>
          <w:ilvl w:val="0"/>
          <w:numId w:val="0"/>
        </w:numPr>
        <w:tabs>
          <w:tab w:val="left" w:pos="720"/>
        </w:tabs>
        <w:spacing w:before="120"/>
        <w:ind w:firstLine="284"/>
        <w:rPr>
          <w:rFonts w:ascii="StobiSerif Regular" w:hAnsi="StobiSerif Regular"/>
          <w:sz w:val="22"/>
          <w:szCs w:val="22"/>
          <w:lang w:val="en-US"/>
        </w:rPr>
      </w:pPr>
      <w:bookmarkStart w:id="75" w:name="_Toc455052758"/>
      <w:r w:rsidRPr="00C95D3B">
        <w:rPr>
          <w:rFonts w:ascii="StobiSerif Regular" w:hAnsi="StobiSerif Regular"/>
          <w:sz w:val="22"/>
          <w:szCs w:val="22"/>
          <w:lang w:val="en-US"/>
        </w:rPr>
        <w:t xml:space="preserve">Во тек е изработка на тендерска документација за набавка на услуги за </w:t>
      </w:r>
      <w:r w:rsidR="00843933">
        <w:rPr>
          <w:rFonts w:ascii="StobiSerif Regular" w:hAnsi="StobiSerif Regular"/>
          <w:sz w:val="22"/>
          <w:szCs w:val="22"/>
          <w:lang w:val="mk-MK"/>
        </w:rPr>
        <w:t xml:space="preserve">последователн </w:t>
      </w:r>
      <w:r w:rsidRPr="00C95D3B">
        <w:rPr>
          <w:rFonts w:ascii="StobiSerif Regular" w:hAnsi="StobiSerif Regular"/>
          <w:sz w:val="22"/>
          <w:szCs w:val="22"/>
          <w:lang w:val="en-US"/>
        </w:rPr>
        <w:t>проценка</w:t>
      </w:r>
      <w:r w:rsidR="00843933">
        <w:rPr>
          <w:rFonts w:ascii="StobiSerif Regular" w:hAnsi="StobiSerif Regular"/>
          <w:sz w:val="22"/>
          <w:szCs w:val="22"/>
          <w:lang w:val="mk-MK"/>
        </w:rPr>
        <w:t xml:space="preserve"> (евалуација)</w:t>
      </w:r>
      <w:r w:rsidRPr="00C95D3B">
        <w:rPr>
          <w:rFonts w:ascii="StobiSerif Regular" w:hAnsi="StobiSerif Regular"/>
          <w:sz w:val="22"/>
          <w:szCs w:val="22"/>
          <w:lang w:val="en-US"/>
        </w:rPr>
        <w:t xml:space="preserve"> на ИПАРД 2007-2013 година. Оваа активност беше предвидена во Акциониот план за мерка за техничка помош за 2016 година (АПТА), кој беше усвоен во Комитетот за следењ</w:t>
      </w:r>
      <w:r w:rsidR="00E77713">
        <w:rPr>
          <w:rFonts w:ascii="StobiSerif Regular" w:hAnsi="StobiSerif Regular"/>
          <w:sz w:val="22"/>
          <w:szCs w:val="22"/>
          <w:lang w:val="en-US"/>
        </w:rPr>
        <w:t>е на ИПАРД на 17.02.2016 година</w:t>
      </w:r>
      <w:r w:rsidR="00E77713">
        <w:rPr>
          <w:rFonts w:ascii="StobiSerif Regular" w:hAnsi="StobiSerif Regular"/>
          <w:sz w:val="22"/>
          <w:szCs w:val="22"/>
          <w:lang w:val="mk-MK"/>
        </w:rPr>
        <w:t>, н</w:t>
      </w:r>
      <w:r w:rsidR="00843933">
        <w:rPr>
          <w:rFonts w:ascii="StobiSerif Regular" w:hAnsi="StobiSerif Regular"/>
          <w:sz w:val="22"/>
          <w:szCs w:val="22"/>
          <w:lang w:val="en-US"/>
        </w:rPr>
        <w:t xml:space="preserve">о истата не </w:t>
      </w:r>
      <w:r w:rsidR="00843933">
        <w:rPr>
          <w:rFonts w:ascii="StobiSerif Regular" w:hAnsi="StobiSerif Regular"/>
          <w:sz w:val="22"/>
          <w:szCs w:val="22"/>
          <w:lang w:val="mk-MK"/>
        </w:rPr>
        <w:t>е</w:t>
      </w:r>
      <w:r w:rsidR="00E77713" w:rsidRPr="00E77713">
        <w:rPr>
          <w:rFonts w:ascii="StobiSerif Regular" w:hAnsi="StobiSerif Regular"/>
          <w:sz w:val="22"/>
          <w:szCs w:val="22"/>
          <w:lang w:val="en-US"/>
        </w:rPr>
        <w:t xml:space="preserve"> реализирана </w:t>
      </w:r>
      <w:r w:rsidR="00E77713">
        <w:rPr>
          <w:rFonts w:ascii="StobiSerif Regular" w:hAnsi="StobiSerif Regular"/>
          <w:sz w:val="22"/>
          <w:szCs w:val="22"/>
          <w:lang w:val="mk-MK"/>
        </w:rPr>
        <w:t>бидејќи</w:t>
      </w:r>
      <w:r w:rsidR="00E77713" w:rsidRPr="00E77713">
        <w:rPr>
          <w:rFonts w:ascii="StobiSerif Regular" w:hAnsi="StobiSerif Regular"/>
          <w:sz w:val="22"/>
          <w:szCs w:val="22"/>
          <w:lang w:val="en-US"/>
        </w:rPr>
        <w:t xml:space="preserve"> во ИПАРД Програмата 20017-2013 во финансиските табели за ТП,</w:t>
      </w:r>
      <w:r w:rsidR="00E77713">
        <w:rPr>
          <w:rFonts w:ascii="StobiSerif Regular" w:hAnsi="StobiSerif Regular"/>
          <w:sz w:val="22"/>
          <w:szCs w:val="22"/>
          <w:lang w:val="mk-MK"/>
        </w:rPr>
        <w:t xml:space="preserve"> не беа предвидени срества </w:t>
      </w:r>
      <w:r w:rsidR="00486012">
        <w:rPr>
          <w:rFonts w:ascii="StobiSerif Regular" w:hAnsi="StobiSerif Regular"/>
          <w:sz w:val="22"/>
          <w:szCs w:val="22"/>
          <w:lang w:val="mk-MK"/>
        </w:rPr>
        <w:t>за е</w:t>
      </w:r>
      <w:r w:rsidR="00843933">
        <w:rPr>
          <w:rFonts w:ascii="StobiSerif Regular" w:hAnsi="StobiSerif Regular"/>
          <w:sz w:val="22"/>
          <w:szCs w:val="22"/>
          <w:lang w:val="mk-MK"/>
        </w:rPr>
        <w:t>валуација</w:t>
      </w:r>
      <w:r w:rsidR="00486012">
        <w:rPr>
          <w:rFonts w:ascii="StobiSerif Regular" w:hAnsi="StobiSerif Regular"/>
          <w:sz w:val="22"/>
          <w:szCs w:val="22"/>
          <w:lang w:val="mk-MK"/>
        </w:rPr>
        <w:t>, кои беа</w:t>
      </w:r>
      <w:r w:rsidR="00486012" w:rsidRPr="00486012">
        <w:rPr>
          <w:rFonts w:ascii="StobiSerif Regular" w:hAnsi="StobiSerif Regular"/>
          <w:sz w:val="22"/>
          <w:szCs w:val="22"/>
          <w:lang w:val="en-US"/>
        </w:rPr>
        <w:t xml:space="preserve"> вклучени подоцна со 8-тата модификација на Програмата која беше усвоена кон крајот на есента 2016 година.</w:t>
      </w:r>
    </w:p>
    <w:p w:rsidR="00C95D3B" w:rsidRDefault="00C95D3B" w:rsidP="009379B5">
      <w:pPr>
        <w:pStyle w:val="ListNumberLevel2"/>
        <w:numPr>
          <w:ilvl w:val="0"/>
          <w:numId w:val="0"/>
        </w:numPr>
        <w:tabs>
          <w:tab w:val="left" w:pos="720"/>
        </w:tabs>
        <w:spacing w:before="120"/>
        <w:ind w:firstLine="284"/>
        <w:rPr>
          <w:rFonts w:ascii="StobiSerif Regular" w:hAnsi="StobiSerif Regular"/>
          <w:sz w:val="22"/>
          <w:szCs w:val="22"/>
          <w:lang w:val="mk-MK"/>
        </w:rPr>
      </w:pPr>
      <w:r w:rsidRPr="00C95D3B">
        <w:rPr>
          <w:rFonts w:ascii="StobiSerif Regular" w:hAnsi="StobiSerif Regular"/>
          <w:sz w:val="22"/>
          <w:szCs w:val="22"/>
          <w:lang w:val="mk-MK"/>
        </w:rPr>
        <w:t>Врз основа на резултатите од евалуацијата што се веќе достапни, како и прашањата за евалуација рел</w:t>
      </w:r>
      <w:r>
        <w:rPr>
          <w:rFonts w:ascii="StobiSerif Regular" w:hAnsi="StobiSerif Regular"/>
          <w:sz w:val="22"/>
          <w:szCs w:val="22"/>
          <w:lang w:val="mk-MK"/>
        </w:rPr>
        <w:t>евантни за ИПАРД програмата, ex-</w:t>
      </w:r>
      <w:r w:rsidRPr="00C95D3B">
        <w:rPr>
          <w:rFonts w:ascii="StobiSerif Regular" w:hAnsi="StobiSerif Regular"/>
          <w:sz w:val="22"/>
          <w:szCs w:val="22"/>
          <w:lang w:val="mk-MK"/>
        </w:rPr>
        <w:t xml:space="preserve">post оценувањето опфаќа користење на ресурсите </w:t>
      </w:r>
      <w:r>
        <w:rPr>
          <w:rFonts w:ascii="StobiSerif Regular" w:hAnsi="StobiSerif Regular"/>
          <w:sz w:val="22"/>
          <w:szCs w:val="22"/>
          <w:lang w:val="mk-MK"/>
        </w:rPr>
        <w:t xml:space="preserve">как </w:t>
      </w:r>
      <w:r w:rsidRPr="00C95D3B">
        <w:rPr>
          <w:rFonts w:ascii="StobiSerif Regular" w:hAnsi="StobiSerif Regular"/>
          <w:sz w:val="22"/>
          <w:szCs w:val="22"/>
          <w:lang w:val="mk-MK"/>
        </w:rPr>
        <w:t>и ефективноста и ефикасноста на ИПАРД програмата, нејзиното влијание и нејзината конзистентност со е</w:t>
      </w:r>
      <w:r>
        <w:rPr>
          <w:rFonts w:ascii="StobiSerif Regular" w:hAnsi="StobiSerif Regular"/>
          <w:sz w:val="22"/>
          <w:szCs w:val="22"/>
          <w:lang w:val="mk-MK"/>
        </w:rPr>
        <w:t>х-а</w:t>
      </w:r>
      <w:r w:rsidRPr="00C95D3B">
        <w:rPr>
          <w:rFonts w:ascii="StobiSerif Regular" w:hAnsi="StobiSerif Regular"/>
          <w:sz w:val="22"/>
          <w:szCs w:val="22"/>
          <w:lang w:val="mk-MK"/>
        </w:rPr>
        <w:t xml:space="preserve">nte евалуација. </w:t>
      </w:r>
      <w:r w:rsidR="00FB4EAC">
        <w:rPr>
          <w:rFonts w:ascii="StobiSerif Regular" w:hAnsi="StobiSerif Regular"/>
          <w:sz w:val="22"/>
          <w:szCs w:val="22"/>
          <w:lang w:val="mk-MK"/>
        </w:rPr>
        <w:t>Тоа ќ</w:t>
      </w:r>
      <w:r w:rsidRPr="00C95D3B">
        <w:rPr>
          <w:rFonts w:ascii="StobiSerif Regular" w:hAnsi="StobiSerif Regular"/>
          <w:sz w:val="22"/>
          <w:szCs w:val="22"/>
          <w:lang w:val="mk-MK"/>
        </w:rPr>
        <w:t>е ги опфати факторите кои придонесуваат за успех или неуспех во спроведувањето, достигнувањата на ИПАРД Програмата и резултатите, вклучувајќи ја и нивната одржливост. Ќе донесе заклучоци релевантни за ИПАРД Програмата и за процесот на проширување.</w:t>
      </w:r>
    </w:p>
    <w:p w:rsidR="00066375" w:rsidRPr="00C24510" w:rsidRDefault="00DE592C" w:rsidP="009379B5">
      <w:pPr>
        <w:pStyle w:val="ListNumberLevel2"/>
        <w:numPr>
          <w:ilvl w:val="0"/>
          <w:numId w:val="0"/>
        </w:numPr>
        <w:tabs>
          <w:tab w:val="left" w:pos="720"/>
        </w:tabs>
        <w:spacing w:before="120"/>
        <w:ind w:firstLine="284"/>
        <w:rPr>
          <w:rFonts w:ascii="StobiSerif Regular" w:hAnsi="StobiSerif Regular"/>
          <w:sz w:val="22"/>
          <w:szCs w:val="22"/>
          <w:lang w:val="en-US"/>
        </w:rPr>
      </w:pPr>
      <w:r>
        <w:rPr>
          <w:rFonts w:ascii="StobiSerif Regular" w:hAnsi="StobiSerif Regular"/>
          <w:sz w:val="22"/>
          <w:szCs w:val="22"/>
          <w:lang w:val="en-US"/>
        </w:rPr>
        <w:t xml:space="preserve"> </w:t>
      </w:r>
      <w:r w:rsidR="00E05A16">
        <w:rPr>
          <w:rFonts w:ascii="StobiSerif Regular" w:hAnsi="StobiSerif Regular"/>
          <w:sz w:val="22"/>
          <w:szCs w:val="22"/>
          <w:lang w:val="mk-MK"/>
        </w:rPr>
        <w:t>Последователното</w:t>
      </w:r>
      <w:r w:rsidR="004F02C2" w:rsidRPr="004F02C2">
        <w:rPr>
          <w:rFonts w:ascii="StobiSerif Regular" w:hAnsi="StobiSerif Regular"/>
          <w:sz w:val="22"/>
          <w:szCs w:val="22"/>
          <w:lang w:val="en-US"/>
        </w:rPr>
        <w:t xml:space="preserve"> оценување на ИПАРД</w:t>
      </w:r>
      <w:r w:rsidR="00E05A16">
        <w:rPr>
          <w:rFonts w:ascii="StobiSerif Regular" w:hAnsi="StobiSerif Regular"/>
          <w:sz w:val="22"/>
          <w:szCs w:val="22"/>
          <w:lang w:val="mk-MK"/>
        </w:rPr>
        <w:t xml:space="preserve"> Програмата </w:t>
      </w:r>
      <w:r w:rsidR="004F02C2" w:rsidRPr="004F02C2">
        <w:rPr>
          <w:rFonts w:ascii="StobiSerif Regular" w:hAnsi="StobiSerif Regular"/>
          <w:sz w:val="22"/>
          <w:szCs w:val="22"/>
          <w:lang w:val="en-US"/>
        </w:rPr>
        <w:t>2007 - 2013 вклучува активности за анализа и презентирање на следното</w:t>
      </w:r>
      <w:r w:rsidR="00066375" w:rsidRPr="00C24510">
        <w:rPr>
          <w:rFonts w:ascii="StobiSerif Regular" w:hAnsi="StobiSerif Regular"/>
          <w:sz w:val="22"/>
          <w:szCs w:val="22"/>
          <w:lang w:val="en-US"/>
        </w:rPr>
        <w:t>:</w:t>
      </w:r>
    </w:p>
    <w:p w:rsidR="00E05A16" w:rsidRPr="00E05A16" w:rsidRDefault="00066375" w:rsidP="00E05A16">
      <w:pPr>
        <w:pStyle w:val="ListNumberLevel2"/>
        <w:numPr>
          <w:ilvl w:val="0"/>
          <w:numId w:val="0"/>
        </w:numPr>
        <w:tabs>
          <w:tab w:val="left" w:pos="720"/>
        </w:tabs>
        <w:spacing w:before="120"/>
        <w:ind w:left="2149"/>
        <w:rPr>
          <w:rFonts w:ascii="StobiSerif Regular" w:hAnsi="StobiSerif Regular"/>
          <w:sz w:val="22"/>
          <w:szCs w:val="22"/>
          <w:lang w:val="en-US"/>
        </w:rPr>
      </w:pPr>
      <w:r w:rsidRPr="00C24510">
        <w:rPr>
          <w:rFonts w:ascii="StobiSerif Regular" w:hAnsi="StobiSerif Regular"/>
          <w:sz w:val="22"/>
          <w:szCs w:val="22"/>
          <w:lang w:val="en-US"/>
        </w:rPr>
        <w:t xml:space="preserve">- </w:t>
      </w:r>
      <w:r w:rsidR="00E05A16" w:rsidRPr="00E05A16">
        <w:rPr>
          <w:rFonts w:ascii="StobiSerif Regular" w:hAnsi="StobiSerif Regular"/>
          <w:sz w:val="22"/>
          <w:szCs w:val="22"/>
          <w:lang w:val="en-US"/>
        </w:rPr>
        <w:t>Степен на искористеност на ресурсите;</w:t>
      </w:r>
    </w:p>
    <w:p w:rsidR="00E05A16" w:rsidRPr="00E05A16" w:rsidRDefault="00E05A16" w:rsidP="00E05A16">
      <w:pPr>
        <w:pStyle w:val="ListNumberLevel2"/>
        <w:numPr>
          <w:ilvl w:val="0"/>
          <w:numId w:val="0"/>
        </w:numPr>
        <w:tabs>
          <w:tab w:val="left" w:pos="720"/>
        </w:tabs>
        <w:spacing w:before="120"/>
        <w:ind w:left="2149"/>
        <w:rPr>
          <w:rFonts w:ascii="StobiSerif Regular" w:hAnsi="StobiSerif Regular"/>
          <w:sz w:val="22"/>
          <w:szCs w:val="22"/>
          <w:lang w:val="en-US"/>
        </w:rPr>
      </w:pPr>
      <w:r w:rsidRPr="00E05A16">
        <w:rPr>
          <w:rFonts w:ascii="StobiSerif Regular" w:hAnsi="StobiSerif Regular"/>
          <w:sz w:val="22"/>
          <w:szCs w:val="22"/>
          <w:lang w:val="en-US"/>
        </w:rPr>
        <w:t>- Ефективност на програмата;</w:t>
      </w:r>
    </w:p>
    <w:p w:rsidR="00E05A16" w:rsidRPr="00E05A16" w:rsidRDefault="00E05A16" w:rsidP="00E05A16">
      <w:pPr>
        <w:pStyle w:val="ListNumberLevel2"/>
        <w:numPr>
          <w:ilvl w:val="0"/>
          <w:numId w:val="0"/>
        </w:numPr>
        <w:tabs>
          <w:tab w:val="left" w:pos="720"/>
        </w:tabs>
        <w:spacing w:before="120"/>
        <w:ind w:left="2149"/>
        <w:rPr>
          <w:rFonts w:ascii="StobiSerif Regular" w:hAnsi="StobiSerif Regular"/>
          <w:sz w:val="22"/>
          <w:szCs w:val="22"/>
          <w:lang w:val="en-US"/>
        </w:rPr>
      </w:pPr>
      <w:r w:rsidRPr="00E05A16">
        <w:rPr>
          <w:rFonts w:ascii="StobiSerif Regular" w:hAnsi="StobiSerif Regular"/>
          <w:sz w:val="22"/>
          <w:szCs w:val="22"/>
          <w:lang w:val="en-US"/>
        </w:rPr>
        <w:t>- Ефикасност на програмата;</w:t>
      </w:r>
    </w:p>
    <w:p w:rsidR="00E05A16" w:rsidRPr="00E05A16" w:rsidRDefault="00E05A16" w:rsidP="00E05A16">
      <w:pPr>
        <w:pStyle w:val="ListNumberLevel2"/>
        <w:numPr>
          <w:ilvl w:val="0"/>
          <w:numId w:val="0"/>
        </w:numPr>
        <w:tabs>
          <w:tab w:val="left" w:pos="720"/>
        </w:tabs>
        <w:spacing w:before="120"/>
        <w:ind w:left="2149"/>
        <w:rPr>
          <w:rFonts w:ascii="StobiSerif Regular" w:hAnsi="StobiSerif Regular"/>
          <w:sz w:val="22"/>
          <w:szCs w:val="22"/>
          <w:lang w:val="en-US"/>
        </w:rPr>
      </w:pPr>
      <w:r w:rsidRPr="00E05A16">
        <w:rPr>
          <w:rFonts w:ascii="StobiSerif Regular" w:hAnsi="StobiSerif Regular"/>
          <w:sz w:val="22"/>
          <w:szCs w:val="22"/>
          <w:lang w:val="en-US"/>
        </w:rPr>
        <w:t>- Социо-економско влијание на програмата;</w:t>
      </w:r>
    </w:p>
    <w:p w:rsidR="00E05A16" w:rsidRPr="00E05A16" w:rsidRDefault="00E05A16" w:rsidP="00E05A16">
      <w:pPr>
        <w:pStyle w:val="ListNumberLevel2"/>
        <w:numPr>
          <w:ilvl w:val="0"/>
          <w:numId w:val="0"/>
        </w:numPr>
        <w:tabs>
          <w:tab w:val="left" w:pos="720"/>
        </w:tabs>
        <w:spacing w:before="120"/>
        <w:ind w:left="2149"/>
        <w:rPr>
          <w:rFonts w:ascii="StobiSerif Regular" w:hAnsi="StobiSerif Regular"/>
          <w:sz w:val="22"/>
          <w:szCs w:val="22"/>
          <w:lang w:val="en-US"/>
        </w:rPr>
      </w:pPr>
      <w:r w:rsidRPr="00E05A16">
        <w:rPr>
          <w:rFonts w:ascii="StobiSerif Regular" w:hAnsi="StobiSerif Regular"/>
          <w:sz w:val="22"/>
          <w:szCs w:val="22"/>
          <w:lang w:val="en-US"/>
        </w:rPr>
        <w:t>- Влијанието на програмата врз приоритетите на Заедницата;</w:t>
      </w:r>
    </w:p>
    <w:p w:rsidR="00E05A16" w:rsidRDefault="00E05A16" w:rsidP="00E05A16">
      <w:pPr>
        <w:pStyle w:val="ListNumberLevel2"/>
        <w:numPr>
          <w:ilvl w:val="0"/>
          <w:numId w:val="0"/>
        </w:numPr>
        <w:tabs>
          <w:tab w:val="left" w:pos="720"/>
        </w:tabs>
        <w:spacing w:before="120"/>
        <w:ind w:left="2149"/>
        <w:rPr>
          <w:rFonts w:ascii="StobiSerif Regular" w:hAnsi="StobiSerif Regular"/>
          <w:sz w:val="22"/>
          <w:szCs w:val="22"/>
          <w:lang w:val="mk-MK"/>
        </w:rPr>
      </w:pPr>
      <w:r w:rsidRPr="00E05A16">
        <w:rPr>
          <w:rFonts w:ascii="StobiSerif Regular" w:hAnsi="StobiSerif Regular"/>
          <w:sz w:val="22"/>
          <w:szCs w:val="22"/>
          <w:lang w:val="en-US"/>
        </w:rPr>
        <w:t>- Фактори кои придонесуваат за успех или неуспех на програмата;</w:t>
      </w:r>
    </w:p>
    <w:p w:rsidR="00E05A16" w:rsidRPr="00E05A16" w:rsidRDefault="00E05A16" w:rsidP="00E05A16">
      <w:pPr>
        <w:pStyle w:val="ListNumberLevel2"/>
        <w:numPr>
          <w:ilvl w:val="0"/>
          <w:numId w:val="0"/>
        </w:numPr>
        <w:tabs>
          <w:tab w:val="left" w:pos="720"/>
        </w:tabs>
        <w:spacing w:before="120"/>
        <w:ind w:left="2149"/>
        <w:rPr>
          <w:rFonts w:ascii="StobiSerif Regular" w:hAnsi="StobiSerif Regular"/>
          <w:sz w:val="22"/>
          <w:szCs w:val="22"/>
          <w:lang w:val="mk-MK"/>
        </w:rPr>
      </w:pPr>
      <w:r>
        <w:rPr>
          <w:rFonts w:ascii="StobiSerif Regular" w:hAnsi="StobiSerif Regular"/>
          <w:sz w:val="22"/>
          <w:szCs w:val="22"/>
          <w:lang w:val="mk-MK"/>
        </w:rPr>
        <w:t>-</w:t>
      </w:r>
      <w:r w:rsidRPr="00E05A16">
        <w:rPr>
          <w:rFonts w:ascii="StobiSerif Regular" w:hAnsi="StobiSerif Regular"/>
          <w:sz w:val="22"/>
          <w:szCs w:val="22"/>
          <w:lang w:val="en-US"/>
        </w:rPr>
        <w:t xml:space="preserve"> Прашања за заедничко оценување (погоре)</w:t>
      </w:r>
    </w:p>
    <w:p w:rsidR="00E05A16" w:rsidRDefault="00E05A16" w:rsidP="00843933">
      <w:pPr>
        <w:pStyle w:val="ListNumberLevel2"/>
        <w:numPr>
          <w:ilvl w:val="0"/>
          <w:numId w:val="0"/>
        </w:numPr>
        <w:tabs>
          <w:tab w:val="left" w:pos="720"/>
        </w:tabs>
        <w:spacing w:before="120"/>
        <w:rPr>
          <w:rFonts w:ascii="StobiSerif Regular" w:hAnsi="StobiSerif Regular"/>
          <w:sz w:val="22"/>
          <w:szCs w:val="22"/>
          <w:lang w:val="mk-MK"/>
        </w:rPr>
      </w:pPr>
      <w:r w:rsidRPr="00E05A16">
        <w:rPr>
          <w:rFonts w:ascii="StobiSerif Regular" w:hAnsi="StobiSerif Regular"/>
          <w:sz w:val="22"/>
          <w:szCs w:val="22"/>
          <w:lang w:val="mk-MK"/>
        </w:rPr>
        <w:t>Сите наведени анализи и проценки треба да му овозможат на тимот за евалуација да формулира општо мислење за кохерентноста, релевантноста, ефикасноста, ефективноста, потенцијалното влијание и одржливоста на ИПАРД I</w:t>
      </w:r>
      <w:r w:rsidR="00E627B7" w:rsidRPr="00E627B7">
        <w:rPr>
          <w:rFonts w:ascii="StobiSerif Regular" w:hAnsi="StobiSerif Regular"/>
          <w:sz w:val="22"/>
          <w:szCs w:val="22"/>
          <w:lang w:val="mk-MK"/>
        </w:rPr>
        <w:t xml:space="preserve"> </w:t>
      </w:r>
      <w:r w:rsidR="00E627B7">
        <w:rPr>
          <w:rFonts w:ascii="StobiSerif Regular" w:hAnsi="StobiSerif Regular"/>
          <w:sz w:val="22"/>
          <w:szCs w:val="22"/>
          <w:lang w:val="mk-MK"/>
        </w:rPr>
        <w:t>П</w:t>
      </w:r>
      <w:r w:rsidR="00E627B7" w:rsidRPr="00E05A16">
        <w:rPr>
          <w:rFonts w:ascii="StobiSerif Regular" w:hAnsi="StobiSerif Regular"/>
          <w:sz w:val="22"/>
          <w:szCs w:val="22"/>
          <w:lang w:val="mk-MK"/>
        </w:rPr>
        <w:t>рограмата</w:t>
      </w:r>
      <w:r w:rsidRPr="00E05A16">
        <w:rPr>
          <w:rFonts w:ascii="StobiSerif Regular" w:hAnsi="StobiSerif Regular"/>
          <w:sz w:val="22"/>
          <w:szCs w:val="22"/>
          <w:lang w:val="mk-MK"/>
        </w:rPr>
        <w:t>. На евалуацискиот тим</w:t>
      </w:r>
      <w:r w:rsidR="00E627B7" w:rsidRPr="00E627B7">
        <w:rPr>
          <w:rFonts w:ascii="StobiSerif Regular" w:hAnsi="StobiSerif Regular"/>
          <w:sz w:val="22"/>
          <w:szCs w:val="22"/>
          <w:lang w:val="mk-MK"/>
        </w:rPr>
        <w:t xml:space="preserve"> </w:t>
      </w:r>
      <w:r w:rsidR="00E627B7" w:rsidRPr="00E05A16">
        <w:rPr>
          <w:rFonts w:ascii="StobiSerif Regular" w:hAnsi="StobiSerif Regular"/>
          <w:sz w:val="22"/>
          <w:szCs w:val="22"/>
          <w:lang w:val="mk-MK"/>
        </w:rPr>
        <w:t>е</w:t>
      </w:r>
      <w:r w:rsidRPr="00E05A16">
        <w:rPr>
          <w:rFonts w:ascii="StobiSerif Regular" w:hAnsi="StobiSerif Regular"/>
          <w:sz w:val="22"/>
          <w:szCs w:val="22"/>
          <w:lang w:val="mk-MK"/>
        </w:rPr>
        <w:t xml:space="preserve">, доколку се смета дека е неопходно, да се вклучат повеќе прашања / анализи / проценки за да се формулира општо мислење. </w:t>
      </w:r>
      <w:r w:rsidR="00E627B7">
        <w:rPr>
          <w:rFonts w:ascii="StobiSerif Regular" w:hAnsi="StobiSerif Regular"/>
          <w:sz w:val="22"/>
          <w:szCs w:val="22"/>
          <w:lang w:val="mk-MK"/>
        </w:rPr>
        <w:t>ТУ</w:t>
      </w:r>
      <w:r w:rsidRPr="00E05A16">
        <w:rPr>
          <w:rFonts w:ascii="StobiSerif Regular" w:hAnsi="StobiSerif Regular"/>
          <w:sz w:val="22"/>
          <w:szCs w:val="22"/>
          <w:lang w:val="mk-MK"/>
        </w:rPr>
        <w:t>, исто така, може да побара повеќе анализи / проценки за време на евалуацијата ако смета за неопходно.</w:t>
      </w:r>
    </w:p>
    <w:p w:rsidR="00066375" w:rsidRPr="00C24510" w:rsidRDefault="00066375" w:rsidP="00E05A16">
      <w:pPr>
        <w:pStyle w:val="ListNumberLevel2"/>
        <w:numPr>
          <w:ilvl w:val="0"/>
          <w:numId w:val="0"/>
        </w:numPr>
        <w:tabs>
          <w:tab w:val="left" w:pos="720"/>
        </w:tabs>
        <w:spacing w:before="120"/>
        <w:ind w:firstLine="284"/>
        <w:rPr>
          <w:rFonts w:ascii="StobiSerif Regular" w:hAnsi="StobiSerif Regular"/>
          <w:sz w:val="22"/>
          <w:szCs w:val="22"/>
          <w:lang w:val="en-US"/>
        </w:rPr>
      </w:pPr>
    </w:p>
    <w:p w:rsidR="00FA1C78" w:rsidRPr="00843933" w:rsidRDefault="00FA1C78" w:rsidP="009379B5">
      <w:pPr>
        <w:pStyle w:val="ListNumberLevel2"/>
        <w:numPr>
          <w:ilvl w:val="0"/>
          <w:numId w:val="0"/>
        </w:numPr>
        <w:tabs>
          <w:tab w:val="left" w:pos="720"/>
        </w:tabs>
        <w:spacing w:before="120"/>
        <w:outlineLvl w:val="2"/>
        <w:rPr>
          <w:rFonts w:ascii="StobiSerif Regular" w:hAnsi="StobiSerif Regular"/>
          <w:b/>
          <w:sz w:val="22"/>
          <w:szCs w:val="22"/>
          <w:lang w:val="mk-MK"/>
        </w:rPr>
      </w:pPr>
      <w:bookmarkStart w:id="76" w:name="_Toc485394820"/>
      <w:r w:rsidRPr="00CF0BD1">
        <w:rPr>
          <w:rFonts w:ascii="StobiSerif Regular" w:hAnsi="StobiSerif Regular"/>
          <w:b/>
          <w:sz w:val="22"/>
          <w:szCs w:val="22"/>
          <w:lang w:val="en-US"/>
        </w:rPr>
        <w:t xml:space="preserve">3.1.4 </w:t>
      </w:r>
      <w:bookmarkEnd w:id="75"/>
      <w:r w:rsidR="00843933">
        <w:rPr>
          <w:rFonts w:ascii="StobiSerif Regular" w:hAnsi="StobiSerif Regular"/>
          <w:b/>
          <w:sz w:val="22"/>
          <w:szCs w:val="22"/>
          <w:lang w:val="mk-MK"/>
        </w:rPr>
        <w:t>Спроведување на мерката Техничка помош</w:t>
      </w:r>
      <w:bookmarkEnd w:id="76"/>
    </w:p>
    <w:p w:rsidR="0032075F" w:rsidRDefault="002A27DE" w:rsidP="009379B5">
      <w:pPr>
        <w:spacing w:before="120" w:after="120"/>
        <w:ind w:firstLine="284"/>
        <w:jc w:val="both"/>
        <w:rPr>
          <w:rFonts w:ascii="StobiSerif Regular" w:hAnsi="StobiSerif Regular"/>
          <w:lang w:val="en-US"/>
        </w:rPr>
      </w:pPr>
      <w:r w:rsidRPr="002A27DE">
        <w:rPr>
          <w:rFonts w:ascii="StobiSerif Regular" w:hAnsi="StobiSerif Regular"/>
          <w:lang w:val="en-US"/>
        </w:rPr>
        <w:t xml:space="preserve">ТУ во јануари 2016 година </w:t>
      </w:r>
      <w:r w:rsidR="00843933">
        <w:rPr>
          <w:rFonts w:ascii="StobiSerif Regular" w:hAnsi="StobiSerif Regular"/>
          <w:lang w:val="en-US"/>
        </w:rPr>
        <w:t>достави акциски</w:t>
      </w:r>
      <w:r w:rsidRPr="002A27DE">
        <w:rPr>
          <w:rFonts w:ascii="StobiSerif Regular" w:hAnsi="StobiSerif Regular"/>
          <w:lang w:val="en-US"/>
        </w:rPr>
        <w:t xml:space="preserve"> план </w:t>
      </w:r>
      <w:r>
        <w:rPr>
          <w:rFonts w:ascii="StobiSerif Regular" w:hAnsi="StobiSerif Regular"/>
        </w:rPr>
        <w:t>до</w:t>
      </w:r>
      <w:r w:rsidRPr="002A27DE">
        <w:rPr>
          <w:rFonts w:ascii="StobiSerif Regular" w:hAnsi="StobiSerif Regular"/>
          <w:lang w:val="en-US"/>
        </w:rPr>
        <w:t xml:space="preserve"> ИПАРД А</w:t>
      </w:r>
      <w:r>
        <w:rPr>
          <w:rFonts w:ascii="StobiSerif Regular" w:hAnsi="StobiSerif Regular"/>
        </w:rPr>
        <w:t>генцијата</w:t>
      </w:r>
      <w:r w:rsidRPr="002A27DE">
        <w:rPr>
          <w:rFonts w:ascii="StobiSerif Regular" w:hAnsi="StobiSerif Regular"/>
          <w:lang w:val="en-US"/>
        </w:rPr>
        <w:t xml:space="preserve"> за активности предвидени во Техничка помош за мерка за 2016 година (АПТА). </w:t>
      </w:r>
      <w:r w:rsidR="00843933">
        <w:rPr>
          <w:rFonts w:ascii="StobiSerif Regular" w:hAnsi="StobiSerif Regular"/>
        </w:rPr>
        <w:t>Акцискиот</w:t>
      </w:r>
      <w:r w:rsidRPr="002A27DE">
        <w:rPr>
          <w:rFonts w:ascii="StobiSerif Regular" w:hAnsi="StobiSerif Regular"/>
          <w:lang w:val="en-US"/>
        </w:rPr>
        <w:t xml:space="preserve"> план беше одобрен од Комитетот за следење на ИПАРД на 17.02.2016 година и има предвидено активности за</w:t>
      </w:r>
      <w:r w:rsidR="00FF4B20" w:rsidRPr="00FF4B20">
        <w:rPr>
          <w:rFonts w:ascii="StobiSerif Regular" w:hAnsi="StobiSerif Regular"/>
          <w:lang w:val="en-US"/>
        </w:rPr>
        <w:t xml:space="preserve">: </w:t>
      </w:r>
    </w:p>
    <w:p w:rsidR="002A27DE" w:rsidRPr="002A27DE" w:rsidRDefault="002A27DE" w:rsidP="002A27DE">
      <w:pPr>
        <w:pStyle w:val="ListParagraph"/>
        <w:numPr>
          <w:ilvl w:val="0"/>
          <w:numId w:val="6"/>
        </w:numPr>
        <w:spacing w:before="120" w:after="120"/>
        <w:jc w:val="both"/>
        <w:rPr>
          <w:rFonts w:ascii="StobiSerif Regular" w:hAnsi="StobiSerif Regular"/>
          <w:lang w:val="en-US"/>
        </w:rPr>
      </w:pPr>
      <w:r w:rsidRPr="002A27DE">
        <w:rPr>
          <w:rFonts w:ascii="StobiSerif Regular" w:hAnsi="StobiSerif Regular"/>
          <w:lang w:val="en-US"/>
        </w:rPr>
        <w:t>Организирање на состаноците на Комитетот за следење на ИПАРД и</w:t>
      </w:r>
    </w:p>
    <w:p w:rsidR="00FF4B20" w:rsidRPr="00843933" w:rsidRDefault="002A27DE" w:rsidP="002A27DE">
      <w:pPr>
        <w:pStyle w:val="ListParagraph"/>
        <w:numPr>
          <w:ilvl w:val="0"/>
          <w:numId w:val="6"/>
        </w:numPr>
        <w:spacing w:before="120" w:after="120"/>
        <w:jc w:val="both"/>
        <w:rPr>
          <w:rFonts w:ascii="StobiSerif Regular" w:hAnsi="StobiSerif Regular"/>
          <w:lang w:val="en-US"/>
        </w:rPr>
      </w:pPr>
      <w:r w:rsidRPr="002A27DE">
        <w:rPr>
          <w:rFonts w:ascii="StobiSerif Regular" w:hAnsi="StobiSerif Regular"/>
          <w:lang w:val="en-US"/>
        </w:rPr>
        <w:t>Организација на кампањата за публицитет и информации за ИПАРД Програмата 2007-2013</w:t>
      </w:r>
      <w:r w:rsidR="00FF4B20" w:rsidRPr="006B3C59">
        <w:rPr>
          <w:rFonts w:ascii="StobiSerif Regular" w:hAnsi="StobiSerif Regular"/>
          <w:lang w:val="en-US"/>
        </w:rPr>
        <w:t>.</w:t>
      </w:r>
    </w:p>
    <w:p w:rsidR="00843933" w:rsidRPr="006B3C59" w:rsidRDefault="00843933" w:rsidP="002A27DE">
      <w:pPr>
        <w:pStyle w:val="ListParagraph"/>
        <w:numPr>
          <w:ilvl w:val="0"/>
          <w:numId w:val="6"/>
        </w:numPr>
        <w:spacing w:before="120" w:after="120"/>
        <w:jc w:val="both"/>
        <w:rPr>
          <w:rFonts w:ascii="StobiSerif Regular" w:hAnsi="StobiSerif Regular"/>
          <w:lang w:val="en-US"/>
        </w:rPr>
      </w:pPr>
      <w:r>
        <w:rPr>
          <w:rFonts w:ascii="StobiSerif Regular" w:hAnsi="StobiSerif Regular"/>
        </w:rPr>
        <w:t>Печатење на книга со успешни проекти од ИПАРД 2007-2013</w:t>
      </w:r>
    </w:p>
    <w:p w:rsidR="00FF4B20" w:rsidRPr="00FF4B20" w:rsidRDefault="002A27DE" w:rsidP="00843933">
      <w:pPr>
        <w:spacing w:before="120" w:after="120"/>
        <w:ind w:firstLine="284"/>
        <w:jc w:val="both"/>
        <w:rPr>
          <w:rFonts w:ascii="StobiSerif Regular" w:hAnsi="StobiSerif Regular"/>
          <w:lang w:val="en-US"/>
        </w:rPr>
      </w:pPr>
      <w:r w:rsidRPr="002A27DE">
        <w:rPr>
          <w:rFonts w:ascii="StobiSerif Regular" w:hAnsi="StobiSerif Regular"/>
          <w:lang w:val="en-US"/>
        </w:rPr>
        <w:t>Првата активност, која се однесува на Организацијата на состанокот на Комитетот за следење на ИПАРД, беше спроведена со процедура под 2 500 евра според постапките за јавни набавки на ПРАГ. Постапката резултираше со договор за финансиска поддршка потпишан со ИПАРД АГЕНЦИЈА во вредност од 1.554 €.</w:t>
      </w:r>
      <w:r w:rsidR="00843933">
        <w:rPr>
          <w:rFonts w:ascii="StobiSerif Regular" w:hAnsi="StobiSerif Regular"/>
        </w:rPr>
        <w:t xml:space="preserve"> </w:t>
      </w:r>
      <w:r w:rsidRPr="002A27DE">
        <w:rPr>
          <w:rFonts w:ascii="StobiSerif Regular" w:hAnsi="StobiSerif Regular"/>
          <w:lang w:val="en-US"/>
        </w:rPr>
        <w:t xml:space="preserve">Оваа активност не </w:t>
      </w:r>
      <w:r w:rsidR="00843933">
        <w:rPr>
          <w:rFonts w:ascii="StobiSerif Regular" w:hAnsi="StobiSerif Regular"/>
        </w:rPr>
        <w:t>беше успешна</w:t>
      </w:r>
      <w:r>
        <w:rPr>
          <w:rFonts w:ascii="StobiSerif Regular" w:hAnsi="StobiSerif Regular"/>
          <w:lang w:val="en-US"/>
        </w:rPr>
        <w:t xml:space="preserve"> поради спор</w:t>
      </w:r>
      <w:r w:rsidRPr="002A27DE">
        <w:rPr>
          <w:rFonts w:ascii="StobiSerif Regular" w:hAnsi="StobiSerif Regular"/>
          <w:lang w:val="en-US"/>
        </w:rPr>
        <w:t>ниот член 2 од Договорот потпишан со ИПАРД А</w:t>
      </w:r>
      <w:r>
        <w:rPr>
          <w:rFonts w:ascii="StobiSerif Regular" w:hAnsi="StobiSerif Regular"/>
        </w:rPr>
        <w:t>генцијата</w:t>
      </w:r>
      <w:r w:rsidRPr="002A27DE">
        <w:rPr>
          <w:rFonts w:ascii="StobiSerif Regular" w:hAnsi="StobiSerif Regular"/>
          <w:lang w:val="en-US"/>
        </w:rPr>
        <w:t xml:space="preserve">, односно крајниот рок за плаќање за спроведување на активноста е идентичен со крајниот рок за спроведување на активноста, </w:t>
      </w:r>
      <w:r w:rsidR="0098757E">
        <w:rPr>
          <w:rFonts w:ascii="StobiSerif Regular" w:hAnsi="StobiSerif Regular"/>
        </w:rPr>
        <w:t>поради што</w:t>
      </w:r>
      <w:r w:rsidRPr="002A27DE">
        <w:rPr>
          <w:rFonts w:ascii="StobiSerif Regular" w:hAnsi="StobiSerif Regular"/>
          <w:lang w:val="en-US"/>
        </w:rPr>
        <w:t xml:space="preserve"> ИПАРД </w:t>
      </w:r>
      <w:r w:rsidR="0098757E" w:rsidRPr="0098757E">
        <w:rPr>
          <w:rFonts w:ascii="StobiSerif Regular" w:hAnsi="StobiSerif Regular"/>
          <w:lang w:val="en-US"/>
        </w:rPr>
        <w:t>Агенцијата</w:t>
      </w:r>
      <w:r w:rsidRPr="002A27DE">
        <w:rPr>
          <w:rFonts w:ascii="StobiSerif Regular" w:hAnsi="StobiSerif Regular"/>
          <w:lang w:val="en-US"/>
        </w:rPr>
        <w:t xml:space="preserve"> </w:t>
      </w:r>
      <w:r w:rsidR="0098757E">
        <w:rPr>
          <w:rFonts w:ascii="StobiSerif Regular" w:hAnsi="StobiSerif Regular"/>
        </w:rPr>
        <w:t>го</w:t>
      </w:r>
      <w:r w:rsidRPr="002A27DE">
        <w:rPr>
          <w:rFonts w:ascii="StobiSerif Regular" w:hAnsi="StobiSerif Regular"/>
          <w:lang w:val="en-US"/>
        </w:rPr>
        <w:t xml:space="preserve"> одби барањето за надомест на средства </w:t>
      </w:r>
      <w:r w:rsidR="0098757E">
        <w:rPr>
          <w:rFonts w:ascii="StobiSerif Regular" w:hAnsi="StobiSerif Regular"/>
        </w:rPr>
        <w:t>з</w:t>
      </w:r>
      <w:r w:rsidRPr="002A27DE">
        <w:rPr>
          <w:rFonts w:ascii="StobiSerif Regular" w:hAnsi="StobiSerif Regular"/>
          <w:lang w:val="en-US"/>
        </w:rPr>
        <w:t xml:space="preserve">а спроведување на активностите </w:t>
      </w:r>
      <w:r w:rsidR="0098757E">
        <w:rPr>
          <w:rFonts w:ascii="StobiSerif Regular" w:hAnsi="StobiSerif Regular"/>
        </w:rPr>
        <w:t>поднесено од ТУ</w:t>
      </w:r>
      <w:r w:rsidRPr="002A27DE">
        <w:rPr>
          <w:rFonts w:ascii="StobiSerif Regular" w:hAnsi="StobiSerif Regular"/>
          <w:lang w:val="en-US"/>
        </w:rPr>
        <w:t xml:space="preserve">. По состаноците и консултациите помеѓу релевантните институции во врска со идните постапки за јавни набавки, ИПАРД </w:t>
      </w:r>
      <w:r w:rsidR="0098757E">
        <w:rPr>
          <w:rFonts w:ascii="StobiSerif Regular" w:hAnsi="StobiSerif Regular"/>
          <w:lang w:val="en-US"/>
        </w:rPr>
        <w:t>А</w:t>
      </w:r>
      <w:r w:rsidR="0098757E">
        <w:rPr>
          <w:rFonts w:ascii="StobiSerif Regular" w:hAnsi="StobiSerif Regular"/>
        </w:rPr>
        <w:t>генцијата</w:t>
      </w:r>
      <w:r w:rsidRPr="002A27DE">
        <w:rPr>
          <w:rFonts w:ascii="StobiSerif Regular" w:hAnsi="StobiSerif Regular"/>
          <w:lang w:val="en-US"/>
        </w:rPr>
        <w:t xml:space="preserve"> ја промени формата на Договорот и овој проблем е решен.</w:t>
      </w:r>
    </w:p>
    <w:p w:rsidR="00FF4B20" w:rsidRPr="00FF4B20" w:rsidRDefault="00847BE5" w:rsidP="00843933">
      <w:pPr>
        <w:spacing w:before="120" w:after="120"/>
        <w:jc w:val="both"/>
        <w:rPr>
          <w:rFonts w:ascii="StobiSerif Regular" w:hAnsi="StobiSerif Regular"/>
          <w:lang w:val="en-US"/>
        </w:rPr>
      </w:pPr>
      <w:r>
        <w:rPr>
          <w:rFonts w:ascii="StobiSerif Regular" w:hAnsi="StobiSerif Regular"/>
        </w:rPr>
        <w:t>Останати</w:t>
      </w:r>
      <w:r w:rsidR="0022679F" w:rsidRPr="0022679F">
        <w:rPr>
          <w:rFonts w:ascii="StobiSerif Regular" w:hAnsi="StobiSerif Regular"/>
          <w:lang w:val="en-US"/>
        </w:rPr>
        <w:t xml:space="preserve"> активн</w:t>
      </w:r>
      <w:r>
        <w:rPr>
          <w:rFonts w:ascii="StobiSerif Regular" w:hAnsi="StobiSerif Regular"/>
          <w:lang w:val="en-US"/>
        </w:rPr>
        <w:t>ости од АПТА</w:t>
      </w:r>
      <w:r>
        <w:rPr>
          <w:rFonts w:ascii="StobiSerif Regular" w:hAnsi="StobiSerif Regular"/>
        </w:rPr>
        <w:t xml:space="preserve"> кои</w:t>
      </w:r>
      <w:r>
        <w:rPr>
          <w:rFonts w:ascii="StobiSerif Regular" w:hAnsi="StobiSerif Regular"/>
          <w:lang w:val="en-US"/>
        </w:rPr>
        <w:t xml:space="preserve"> не беа реализирани</w:t>
      </w:r>
      <w:r>
        <w:rPr>
          <w:rFonts w:ascii="StobiSerif Regular" w:hAnsi="StobiSerif Regular"/>
        </w:rPr>
        <w:t>:</w:t>
      </w:r>
      <w:r w:rsidR="0022679F" w:rsidRPr="0022679F">
        <w:rPr>
          <w:rFonts w:ascii="StobiSerif Regular" w:hAnsi="StobiSerif Regular"/>
          <w:lang w:val="en-US"/>
        </w:rPr>
        <w:t xml:space="preserve"> печатењето книга со ИПАРД успешни проекти беше сметано како непотребен трошок </w:t>
      </w:r>
      <w:r>
        <w:rPr>
          <w:rFonts w:ascii="StobiSerif Regular" w:hAnsi="StobiSerif Regular"/>
        </w:rPr>
        <w:t xml:space="preserve">а </w:t>
      </w:r>
      <w:r w:rsidR="0022679F" w:rsidRPr="0022679F">
        <w:rPr>
          <w:rFonts w:ascii="StobiSerif Regular" w:hAnsi="StobiSerif Regular"/>
          <w:lang w:val="en-US"/>
        </w:rPr>
        <w:t>за организација</w:t>
      </w:r>
      <w:r>
        <w:rPr>
          <w:rFonts w:ascii="StobiSerif Regular" w:hAnsi="StobiSerif Regular"/>
        </w:rPr>
        <w:t>та</w:t>
      </w:r>
      <w:r w:rsidR="0022679F" w:rsidRPr="0022679F">
        <w:rPr>
          <w:rFonts w:ascii="StobiSerif Regular" w:hAnsi="StobiSerif Regular"/>
          <w:lang w:val="en-US"/>
        </w:rPr>
        <w:t xml:space="preserve"> на настан</w:t>
      </w:r>
      <w:r w:rsidR="00D679F6">
        <w:rPr>
          <w:rFonts w:ascii="StobiSerif Regular" w:hAnsi="StobiSerif Regular"/>
        </w:rPr>
        <w:t>и</w:t>
      </w:r>
      <w:r w:rsidR="0022679F" w:rsidRPr="0022679F">
        <w:rPr>
          <w:rFonts w:ascii="StobiSerif Regular" w:hAnsi="StobiSerif Regular"/>
          <w:lang w:val="en-US"/>
        </w:rPr>
        <w:t>, истражувањето на пазарот не беше успешно.</w:t>
      </w:r>
      <w:r w:rsidR="00FF4B20" w:rsidRPr="00FF4B20">
        <w:rPr>
          <w:rFonts w:ascii="StobiSerif Regular" w:hAnsi="StobiSerif Regular"/>
          <w:lang w:val="en-US"/>
        </w:rPr>
        <w:t xml:space="preserve"> </w:t>
      </w:r>
    </w:p>
    <w:p w:rsidR="00FF4B20" w:rsidRPr="00FF4B20" w:rsidRDefault="00D679F6" w:rsidP="00847BE5">
      <w:pPr>
        <w:spacing w:before="120" w:after="120"/>
        <w:jc w:val="both"/>
        <w:rPr>
          <w:rFonts w:ascii="StobiSerif Regular" w:hAnsi="StobiSerif Regular"/>
          <w:lang w:val="en-US"/>
        </w:rPr>
      </w:pPr>
      <w:r w:rsidRPr="00D679F6">
        <w:rPr>
          <w:rFonts w:ascii="StobiSerif Regular" w:hAnsi="StobiSerif Regular"/>
          <w:lang w:val="en-US"/>
        </w:rPr>
        <w:t>Одделението за техничка помош на ИПАРД-фондовите исто така работеше на подготовка на две тендерски досиеја: е</w:t>
      </w:r>
      <w:r w:rsidR="00847BE5">
        <w:rPr>
          <w:rFonts w:ascii="StobiSerif Regular" w:hAnsi="StobiSerif Regular"/>
          <w:lang w:val="en-US"/>
        </w:rPr>
        <w:t xml:space="preserve">дна за набавка на услуги за </w:t>
      </w:r>
      <w:r w:rsidR="00847BE5">
        <w:rPr>
          <w:rFonts w:ascii="StobiSerif Regular" w:hAnsi="StobiSerif Regular"/>
        </w:rPr>
        <w:t xml:space="preserve">последователна </w:t>
      </w:r>
      <w:r w:rsidRPr="00D679F6">
        <w:rPr>
          <w:rFonts w:ascii="StobiSerif Regular" w:hAnsi="StobiSerif Regular"/>
          <w:lang w:val="en-US"/>
        </w:rPr>
        <w:t>проценка на ИП</w:t>
      </w:r>
      <w:r w:rsidR="00847BE5">
        <w:rPr>
          <w:rFonts w:ascii="StobiSerif Regular" w:hAnsi="StobiSerif Regular"/>
          <w:lang w:val="en-US"/>
        </w:rPr>
        <w:t xml:space="preserve">АРД 2007-2013 година и една за </w:t>
      </w:r>
      <w:r w:rsidRPr="00D679F6">
        <w:rPr>
          <w:rFonts w:ascii="StobiSerif Regular" w:hAnsi="StobiSerif Regular"/>
          <w:lang w:val="en-US"/>
        </w:rPr>
        <w:t xml:space="preserve"> активности</w:t>
      </w:r>
      <w:r w:rsidR="00847BE5">
        <w:rPr>
          <w:rFonts w:ascii="StobiSerif Regular" w:hAnsi="StobiSerif Regular"/>
        </w:rPr>
        <w:t xml:space="preserve"> за публицитет и информирање</w:t>
      </w:r>
      <w:r w:rsidRPr="00D679F6">
        <w:rPr>
          <w:rFonts w:ascii="StobiSerif Regular" w:hAnsi="StobiSerif Regular"/>
          <w:lang w:val="en-US"/>
        </w:rPr>
        <w:t xml:space="preserve"> </w:t>
      </w:r>
      <w:r w:rsidR="00847BE5">
        <w:rPr>
          <w:rFonts w:ascii="StobiSerif Regular" w:hAnsi="StobiSerif Regular"/>
        </w:rPr>
        <w:t>за</w:t>
      </w:r>
      <w:r w:rsidRPr="00D679F6">
        <w:rPr>
          <w:rFonts w:ascii="StobiSerif Regular" w:hAnsi="StobiSerif Regular"/>
          <w:lang w:val="en-US"/>
        </w:rPr>
        <w:t xml:space="preserve"> ИПАРД 2014-2020 година.</w:t>
      </w:r>
    </w:p>
    <w:p w:rsidR="001216EE" w:rsidRDefault="00D679F6" w:rsidP="00847BE5">
      <w:pPr>
        <w:spacing w:before="120" w:after="120"/>
        <w:jc w:val="both"/>
        <w:rPr>
          <w:rFonts w:ascii="StobiSerif Regular" w:hAnsi="StobiSerif Regular"/>
        </w:rPr>
      </w:pPr>
      <w:r w:rsidRPr="00D679F6">
        <w:rPr>
          <w:rFonts w:ascii="StobiSerif Regular" w:hAnsi="StobiSerif Regular"/>
          <w:lang w:val="en-US"/>
        </w:rPr>
        <w:t xml:space="preserve">Паралелно, </w:t>
      </w:r>
      <w:r w:rsidR="002A35D2">
        <w:rPr>
          <w:rFonts w:ascii="StobiSerif Regular" w:hAnsi="StobiSerif Regular"/>
          <w:lang w:val="en-US"/>
        </w:rPr>
        <w:t xml:space="preserve"> </w:t>
      </w:r>
      <w:r w:rsidR="002A35D2">
        <w:rPr>
          <w:rFonts w:ascii="StobiSerif Regular" w:hAnsi="StobiSerif Regular"/>
        </w:rPr>
        <w:t>ТУ</w:t>
      </w:r>
      <w:r w:rsidRPr="00D679F6">
        <w:rPr>
          <w:rFonts w:ascii="StobiSerif Regular" w:hAnsi="StobiSerif Regular"/>
          <w:lang w:val="en-US"/>
        </w:rPr>
        <w:t xml:space="preserve"> подготвува активности </w:t>
      </w:r>
      <w:r w:rsidR="002A35D2">
        <w:rPr>
          <w:rFonts w:ascii="StobiSerif Regular" w:hAnsi="StobiSerif Regular"/>
        </w:rPr>
        <w:t>з</w:t>
      </w:r>
      <w:r w:rsidRPr="00D679F6">
        <w:rPr>
          <w:rFonts w:ascii="StobiSerif Regular" w:hAnsi="StobiSerif Regular"/>
          <w:lang w:val="en-US"/>
        </w:rPr>
        <w:t xml:space="preserve">а ТП во рамките на ИПАРД Програмата 2014-2020 година. Активностите кои ќе бидат финансирани од мерката се наведени во нацрт АПТА за 2017 година. Овие активности вклучуваат кампања за публицитет и комуникација, ex-post evaluation </w:t>
      </w:r>
      <w:r w:rsidR="002A35D2">
        <w:rPr>
          <w:rFonts w:ascii="StobiSerif Regular" w:hAnsi="StobiSerif Regular"/>
        </w:rPr>
        <w:t>на</w:t>
      </w:r>
      <w:r w:rsidRPr="00D679F6">
        <w:rPr>
          <w:rFonts w:ascii="StobiSerif Regular" w:hAnsi="StobiSerif Regular"/>
          <w:lang w:val="en-US"/>
        </w:rPr>
        <w:t xml:space="preserve"> ИПАРД Програмата 2007-2013 и други потреби </w:t>
      </w:r>
      <w:r w:rsidR="002A35D2">
        <w:rPr>
          <w:rFonts w:ascii="StobiSerif Regular" w:hAnsi="StobiSerif Regular"/>
        </w:rPr>
        <w:t>на</w:t>
      </w:r>
      <w:r w:rsidRPr="00D679F6">
        <w:rPr>
          <w:rFonts w:ascii="StobiSerif Regular" w:hAnsi="StobiSerif Regular"/>
          <w:lang w:val="en-US"/>
        </w:rPr>
        <w:t xml:space="preserve"> </w:t>
      </w:r>
      <w:r w:rsidR="002A35D2">
        <w:rPr>
          <w:rFonts w:ascii="StobiSerif Regular" w:hAnsi="StobiSerif Regular"/>
        </w:rPr>
        <w:t>ТУ</w:t>
      </w:r>
      <w:r w:rsidRPr="00D679F6">
        <w:rPr>
          <w:rFonts w:ascii="StobiSerif Regular" w:hAnsi="StobiSerif Regular"/>
          <w:lang w:val="en-US"/>
        </w:rPr>
        <w:t>.</w:t>
      </w:r>
    </w:p>
    <w:p w:rsidR="00194389" w:rsidRPr="00194389" w:rsidRDefault="00194389" w:rsidP="00194389">
      <w:pPr>
        <w:spacing w:before="120" w:after="120"/>
        <w:jc w:val="both"/>
        <w:outlineLvl w:val="2"/>
        <w:rPr>
          <w:rFonts w:ascii="StobiSerif Regular" w:hAnsi="StobiSerif Regular"/>
          <w:b/>
        </w:rPr>
      </w:pPr>
      <w:bookmarkStart w:id="77" w:name="_Toc455052759"/>
      <w:bookmarkStart w:id="78" w:name="_Toc483909486"/>
      <w:bookmarkStart w:id="79" w:name="_Toc485394821"/>
      <w:r w:rsidRPr="00194389">
        <w:rPr>
          <w:rFonts w:ascii="StobiSerif Regular" w:hAnsi="StobiSerif Regular"/>
          <w:b/>
          <w:lang w:val="en-US"/>
        </w:rPr>
        <w:t xml:space="preserve">3.1.5 </w:t>
      </w:r>
      <w:bookmarkEnd w:id="77"/>
      <w:bookmarkEnd w:id="78"/>
      <w:r w:rsidRPr="00194389">
        <w:rPr>
          <w:rFonts w:ascii="StobiSerif Regular" w:hAnsi="StobiSerif Regular"/>
          <w:b/>
          <w:lang w:val="en-US"/>
        </w:rPr>
        <w:t xml:space="preserve"> </w:t>
      </w:r>
      <w:r w:rsidRPr="00194389">
        <w:rPr>
          <w:rFonts w:ascii="StobiSerif Regular" w:hAnsi="StobiSerif Regular"/>
          <w:b/>
        </w:rPr>
        <w:t>ИПАРД Програма 2014- 2020</w:t>
      </w:r>
      <w:bookmarkEnd w:id="79"/>
    </w:p>
    <w:p w:rsidR="00194389" w:rsidRDefault="002A35D2" w:rsidP="00847BE5">
      <w:pPr>
        <w:spacing w:before="120" w:after="120"/>
        <w:jc w:val="both"/>
        <w:rPr>
          <w:rFonts w:ascii="StobiSerif Regular" w:hAnsi="StobiSerif Regular"/>
        </w:rPr>
      </w:pPr>
      <w:r w:rsidRPr="002A35D2">
        <w:rPr>
          <w:rFonts w:ascii="StobiSerif Regular" w:hAnsi="StobiSerif Regular"/>
          <w:lang w:val="en-US"/>
        </w:rPr>
        <w:t>Официјалниот одговор на барањето на Е</w:t>
      </w:r>
      <w:r>
        <w:rPr>
          <w:rFonts w:ascii="StobiSerif Regular" w:hAnsi="StobiSerif Regular"/>
          <w:lang w:val="en-US"/>
        </w:rPr>
        <w:t xml:space="preserve">К за прелиминарна акредитација </w:t>
      </w:r>
      <w:r w:rsidRPr="002A35D2">
        <w:rPr>
          <w:rFonts w:ascii="StobiSerif Regular" w:hAnsi="StobiSerif Regular"/>
          <w:lang w:val="en-US"/>
        </w:rPr>
        <w:t>е прим</w:t>
      </w:r>
      <w:r>
        <w:rPr>
          <w:rFonts w:ascii="StobiSerif Regular" w:hAnsi="StobiSerif Regular"/>
        </w:rPr>
        <w:t>ено</w:t>
      </w:r>
      <w:r w:rsidRPr="002A35D2">
        <w:rPr>
          <w:rFonts w:ascii="StobiSerif Regular" w:hAnsi="StobiSerif Regular"/>
          <w:lang w:val="en-US"/>
        </w:rPr>
        <w:t xml:space="preserve"> на 18.1.2016 со писмо бр. PRE / 2015/007 / </w:t>
      </w:r>
      <w:r w:rsidR="00183A67">
        <w:rPr>
          <w:rFonts w:ascii="StobiSerif Regular" w:hAnsi="StobiSerif Regular"/>
        </w:rPr>
        <w:t>со</w:t>
      </w:r>
      <w:r w:rsidRPr="002A35D2">
        <w:rPr>
          <w:rFonts w:ascii="StobiSerif Regular" w:hAnsi="StobiSerif Regular"/>
          <w:lang w:val="en-US"/>
        </w:rPr>
        <w:t xml:space="preserve"> Барање за доделување на задачи за спроведување на буџетот за конкретни мерки во рамките на ИПАРД Програмата 2014-2020, бр. (2016) 249476. Одговорот содржи наоди и препораки кои се однесуваат на поднесе</w:t>
      </w:r>
      <w:r w:rsidR="00183A67">
        <w:rPr>
          <w:rFonts w:ascii="StobiSerif Regular" w:hAnsi="StobiSerif Regular"/>
          <w:lang w:val="en-US"/>
        </w:rPr>
        <w:t xml:space="preserve">ниот пакет за ре-акредитација, </w:t>
      </w:r>
      <w:r w:rsidR="00183A67">
        <w:rPr>
          <w:rFonts w:ascii="StobiSerif Regular" w:hAnsi="StobiSerif Regular"/>
        </w:rPr>
        <w:t>в</w:t>
      </w:r>
      <w:r w:rsidRPr="002A35D2">
        <w:rPr>
          <w:rFonts w:ascii="StobiSerif Regular" w:hAnsi="StobiSerif Regular"/>
          <w:lang w:val="en-US"/>
        </w:rPr>
        <w:t>рз основа на кои структура на ИПАРД и НФ треба да дејствуваат соодветно и да ги ревидираат релевантните процедури и документи. Ревидираниот пакет со официјално барање за доделување на задачи за спроведување на буџетот беше доставен до ЕЗ од страна на НАО на 25.05. 2016 година.</w:t>
      </w:r>
      <w:r w:rsidR="00194389" w:rsidRPr="00194389">
        <w:rPr>
          <w:rFonts w:ascii="StobiSerif Regular" w:hAnsi="StobiSerif Regular"/>
          <w:lang w:val="en-US"/>
        </w:rPr>
        <w:t xml:space="preserve"> </w:t>
      </w:r>
    </w:p>
    <w:p w:rsidR="00847BE5" w:rsidRPr="002B52CD" w:rsidRDefault="00847BE5" w:rsidP="00847BE5">
      <w:pPr>
        <w:ind w:firstLine="284"/>
        <w:jc w:val="both"/>
        <w:rPr>
          <w:rFonts w:ascii="StobiSerif Regular" w:eastAsia="Calibri" w:hAnsi="StobiSerif Regular" w:cs="Times New Roman"/>
        </w:rPr>
      </w:pPr>
      <w:r w:rsidRPr="002B52CD">
        <w:rPr>
          <w:rFonts w:ascii="StobiSerif Regular" w:eastAsia="Calibri" w:hAnsi="StobiSerif Regular" w:cs="Times New Roman"/>
        </w:rPr>
        <w:t>Со писмо бр. Арес (2017</w:t>
      </w:r>
      <w:r w:rsidR="00BB4992">
        <w:rPr>
          <w:rFonts w:ascii="StobiSerif Regular" w:eastAsia="Calibri" w:hAnsi="StobiSerif Regular" w:cs="Times New Roman"/>
        </w:rPr>
        <w:t>) 499409 - од 30.01.2017 од</w:t>
      </w:r>
      <w:r w:rsidRPr="002B52CD">
        <w:rPr>
          <w:rFonts w:ascii="StobiSerif Regular" w:eastAsia="Calibri" w:hAnsi="StobiSerif Regular" w:cs="Times New Roman"/>
        </w:rPr>
        <w:t xml:space="preserve"> </w:t>
      </w:r>
      <w:r w:rsidR="00BB4992">
        <w:rPr>
          <w:rFonts w:ascii="StobiSerif Regular" w:eastAsia="Calibri" w:hAnsi="StobiSerif Regular" w:cs="Times New Roman"/>
        </w:rPr>
        <w:t xml:space="preserve">ДГ АГРИ, </w:t>
      </w:r>
      <w:r>
        <w:rPr>
          <w:rFonts w:ascii="StobiSerif Regular" w:eastAsia="Calibri" w:hAnsi="StobiSerif Regular" w:cs="Times New Roman"/>
        </w:rPr>
        <w:t xml:space="preserve"> </w:t>
      </w:r>
      <w:r w:rsidRPr="002B52CD">
        <w:rPr>
          <w:rFonts w:ascii="StobiSerif Regular" w:eastAsia="Calibri" w:hAnsi="StobiSerif Regular" w:cs="Times New Roman"/>
        </w:rPr>
        <w:t>ЕК констатира</w:t>
      </w:r>
      <w:r>
        <w:rPr>
          <w:rFonts w:ascii="StobiSerif Regular" w:eastAsia="Calibri" w:hAnsi="StobiSerif Regular" w:cs="Times New Roman"/>
        </w:rPr>
        <w:t>ше</w:t>
      </w:r>
      <w:r w:rsidRPr="002B52CD">
        <w:rPr>
          <w:rFonts w:ascii="StobiSerif Regular" w:eastAsia="Calibri" w:hAnsi="StobiSerif Regular" w:cs="Times New Roman"/>
        </w:rPr>
        <w:t xml:space="preserve"> дека </w:t>
      </w:r>
      <w:r>
        <w:rPr>
          <w:rFonts w:ascii="StobiSerif Regular" w:eastAsia="Calibri" w:hAnsi="StobiSerif Regular" w:cs="Times New Roman"/>
        </w:rPr>
        <w:t>инсистуциите</w:t>
      </w:r>
      <w:r w:rsidRPr="002B52CD">
        <w:rPr>
          <w:rFonts w:ascii="StobiSerif Regular" w:eastAsia="Calibri" w:hAnsi="StobiSerif Regular" w:cs="Times New Roman"/>
        </w:rPr>
        <w:t xml:space="preserve"> во Република Македонија задоволително се осврнале на главните прашања доставени во писмото Арес (2016) 249476 </w:t>
      </w:r>
      <w:r w:rsidR="00BB4992">
        <w:rPr>
          <w:rFonts w:ascii="StobiSerif Regular" w:eastAsia="Calibri" w:hAnsi="StobiSerif Regular" w:cs="Times New Roman"/>
        </w:rPr>
        <w:t>на 25.05</w:t>
      </w:r>
      <w:r>
        <w:rPr>
          <w:rFonts w:ascii="StobiSerif Regular" w:eastAsia="Calibri" w:hAnsi="StobiSerif Regular" w:cs="Times New Roman"/>
        </w:rPr>
        <w:t xml:space="preserve"> 2016 година </w:t>
      </w:r>
      <w:r w:rsidRPr="002B52CD">
        <w:rPr>
          <w:rFonts w:ascii="StobiSerif Regular" w:eastAsia="Calibri" w:hAnsi="StobiSerif Regular" w:cs="Times New Roman"/>
        </w:rPr>
        <w:t xml:space="preserve">и дека структурите </w:t>
      </w:r>
      <w:r>
        <w:rPr>
          <w:rFonts w:ascii="StobiSerif Regular" w:eastAsia="Calibri" w:hAnsi="StobiSerif Regular" w:cs="Times New Roman"/>
        </w:rPr>
        <w:t>и</w:t>
      </w:r>
      <w:r w:rsidRPr="002B52CD">
        <w:rPr>
          <w:rFonts w:ascii="StobiSerif Regular" w:eastAsia="Calibri" w:hAnsi="StobiSerif Regular" w:cs="Times New Roman"/>
        </w:rPr>
        <w:t xml:space="preserve"> процедурите поставени за ИПАРД II ги исполнуваат минималните услови наведени во член 13 (4) од Рамковниот договор. Следствено, доверувањето за управување со горенаведените мерки според ИПАРД II може да се додели со склучување на </w:t>
      </w:r>
      <w:r>
        <w:rPr>
          <w:rFonts w:ascii="StobiSerif Regular" w:eastAsia="Calibri" w:hAnsi="StobiSerif Regular" w:cs="Times New Roman"/>
        </w:rPr>
        <w:t>Финансиски договор</w:t>
      </w:r>
      <w:r w:rsidRPr="002B52CD">
        <w:rPr>
          <w:rFonts w:ascii="StobiSerif Regular" w:eastAsia="Calibri" w:hAnsi="StobiSerif Regular" w:cs="Times New Roman"/>
        </w:rPr>
        <w:t xml:space="preserve">. Финансискиот договор </w:t>
      </w:r>
      <w:r>
        <w:rPr>
          <w:rFonts w:ascii="StobiSerif Regular" w:eastAsia="Calibri" w:hAnsi="StobiSerif Regular" w:cs="Times New Roman"/>
        </w:rPr>
        <w:t>б</w:t>
      </w:r>
      <w:r w:rsidR="00BB4992">
        <w:rPr>
          <w:rFonts w:ascii="StobiSerif Regular" w:eastAsia="Calibri" w:hAnsi="StobiSerif Regular" w:cs="Times New Roman"/>
        </w:rPr>
        <w:t>еше</w:t>
      </w:r>
      <w:r>
        <w:rPr>
          <w:rFonts w:ascii="StobiSerif Regular" w:eastAsia="Calibri" w:hAnsi="StobiSerif Regular" w:cs="Times New Roman"/>
        </w:rPr>
        <w:t xml:space="preserve"> потпишан</w:t>
      </w:r>
      <w:r w:rsidR="00BB4992">
        <w:rPr>
          <w:rFonts w:ascii="StobiSerif Regular" w:eastAsia="Calibri" w:hAnsi="StobiSerif Regular" w:cs="Times New Roman"/>
        </w:rPr>
        <w:t xml:space="preserve"> од двете ст</w:t>
      </w:r>
      <w:r w:rsidRPr="002B52CD">
        <w:rPr>
          <w:rFonts w:ascii="StobiSerif Regular" w:eastAsia="Calibri" w:hAnsi="StobiSerif Regular" w:cs="Times New Roman"/>
        </w:rPr>
        <w:t>рани, Европската комисија и Владата на Република Македонија во март 2017 година.</w:t>
      </w:r>
    </w:p>
    <w:p w:rsidR="00194389" w:rsidRPr="00194389" w:rsidRDefault="00183A67" w:rsidP="00847BE5">
      <w:pPr>
        <w:spacing w:before="120" w:after="120"/>
        <w:jc w:val="both"/>
        <w:rPr>
          <w:rFonts w:ascii="StobiSerif Regular" w:hAnsi="StobiSerif Regular"/>
          <w:lang w:val="en-US"/>
        </w:rPr>
      </w:pPr>
      <w:r w:rsidRPr="00183A67">
        <w:rPr>
          <w:rFonts w:ascii="StobiSerif Regular" w:hAnsi="StobiSerif Regular"/>
          <w:lang w:val="en-US"/>
        </w:rPr>
        <w:t>Првиот јавен повик за финансиска поддршка од ИПАРД 2014-2020 беше објавен на 24.04.2017 година и е во тек. Повикот се о</w:t>
      </w:r>
      <w:r w:rsidR="00BB4992">
        <w:rPr>
          <w:rFonts w:ascii="StobiSerif Regular" w:hAnsi="StobiSerif Regular"/>
        </w:rPr>
        <w:t>днесува</w:t>
      </w:r>
      <w:r w:rsidRPr="00183A67">
        <w:rPr>
          <w:rFonts w:ascii="StobiSerif Regular" w:hAnsi="StobiSerif Regular"/>
          <w:lang w:val="en-US"/>
        </w:rPr>
        <w:t xml:space="preserve"> за сите три мерки на Програмата</w:t>
      </w:r>
      <w:r w:rsidR="00194389" w:rsidRPr="00194389">
        <w:rPr>
          <w:rFonts w:ascii="StobiSerif Regular" w:hAnsi="StobiSerif Regular"/>
          <w:lang w:val="en-US"/>
        </w:rPr>
        <w:t>:</w:t>
      </w:r>
    </w:p>
    <w:p w:rsidR="00183A67" w:rsidRPr="00183A67" w:rsidRDefault="00183A67" w:rsidP="00183A67">
      <w:pPr>
        <w:numPr>
          <w:ilvl w:val="1"/>
          <w:numId w:val="7"/>
        </w:numPr>
        <w:spacing w:before="120" w:after="120" w:line="259" w:lineRule="auto"/>
        <w:contextualSpacing/>
        <w:jc w:val="both"/>
        <w:rPr>
          <w:rFonts w:ascii="StobiSerif Regular" w:eastAsia="Calibri" w:hAnsi="StobiSerif Regular" w:cs="Times New Roman"/>
          <w:lang w:val="en-US"/>
        </w:rPr>
      </w:pPr>
      <w:r w:rsidRPr="00183A67">
        <w:rPr>
          <w:rFonts w:ascii="StobiSerif Regular" w:eastAsia="Calibri" w:hAnsi="StobiSerif Regular" w:cs="Times New Roman"/>
          <w:lang w:val="en-US"/>
        </w:rPr>
        <w:t xml:space="preserve">Мерка "Инвестиции во </w:t>
      </w:r>
      <w:r w:rsidR="00BB4992">
        <w:rPr>
          <w:rFonts w:ascii="StobiSerif Regular" w:eastAsia="Calibri" w:hAnsi="StobiSerif Regular" w:cs="Times New Roman"/>
        </w:rPr>
        <w:t>материјални</w:t>
      </w:r>
      <w:r w:rsidRPr="00183A67">
        <w:rPr>
          <w:rFonts w:ascii="StobiSerif Regular" w:eastAsia="Calibri" w:hAnsi="StobiSerif Regular" w:cs="Times New Roman"/>
          <w:lang w:val="en-US"/>
        </w:rPr>
        <w:t xml:space="preserve"> средства во земјоделските стопанства;</w:t>
      </w:r>
    </w:p>
    <w:p w:rsidR="00183A67" w:rsidRPr="00183A67" w:rsidRDefault="00BB4992" w:rsidP="00183A67">
      <w:pPr>
        <w:numPr>
          <w:ilvl w:val="1"/>
          <w:numId w:val="7"/>
        </w:numPr>
        <w:spacing w:before="120" w:after="120" w:line="259" w:lineRule="auto"/>
        <w:contextualSpacing/>
        <w:jc w:val="both"/>
        <w:rPr>
          <w:rFonts w:ascii="StobiSerif Regular" w:eastAsia="Calibri" w:hAnsi="StobiSerif Regular" w:cs="Times New Roman"/>
          <w:lang w:val="en-US"/>
        </w:rPr>
      </w:pPr>
      <w:r>
        <w:rPr>
          <w:rFonts w:ascii="StobiSerif Regular" w:eastAsia="Calibri" w:hAnsi="StobiSerif Regular" w:cs="Times New Roman"/>
          <w:lang w:val="en-US"/>
        </w:rPr>
        <w:t xml:space="preserve">Мерка "Инвестиции во </w:t>
      </w:r>
      <w:r>
        <w:rPr>
          <w:rFonts w:ascii="StobiSerif Regular" w:eastAsia="Calibri" w:hAnsi="StobiSerif Regular" w:cs="Times New Roman"/>
        </w:rPr>
        <w:t>материјални</w:t>
      </w:r>
      <w:r w:rsidR="00183A67" w:rsidRPr="00183A67">
        <w:rPr>
          <w:rFonts w:ascii="StobiSerif Regular" w:eastAsia="Calibri" w:hAnsi="StobiSerif Regular" w:cs="Times New Roman"/>
          <w:lang w:val="en-US"/>
        </w:rPr>
        <w:t xml:space="preserve"> средства при преработка и маркетинг на земјоделски и рибни производи";</w:t>
      </w:r>
    </w:p>
    <w:p w:rsidR="00194389" w:rsidRPr="00194389" w:rsidRDefault="00183A67" w:rsidP="00183A67">
      <w:pPr>
        <w:numPr>
          <w:ilvl w:val="1"/>
          <w:numId w:val="7"/>
        </w:numPr>
        <w:spacing w:before="120" w:after="120" w:line="259" w:lineRule="auto"/>
        <w:contextualSpacing/>
        <w:jc w:val="both"/>
        <w:rPr>
          <w:rFonts w:ascii="StobiSerif Regular" w:eastAsia="Calibri" w:hAnsi="StobiSerif Regular" w:cs="Times New Roman"/>
          <w:lang w:val="en-US"/>
        </w:rPr>
      </w:pPr>
      <w:r w:rsidRPr="00183A67">
        <w:rPr>
          <w:rFonts w:ascii="StobiSerif Regular" w:eastAsia="Calibri" w:hAnsi="StobiSerif Regular" w:cs="Times New Roman"/>
          <w:lang w:val="en-US"/>
        </w:rPr>
        <w:t>Мерка "Диверзификација на развојот на фарма и бизнисот"</w:t>
      </w:r>
      <w:r w:rsidR="00194389" w:rsidRPr="00194389">
        <w:rPr>
          <w:rFonts w:ascii="StobiSerif Regular" w:eastAsia="Calibri" w:hAnsi="StobiSerif Regular" w:cs="Times New Roman"/>
          <w:lang w:val="en-US"/>
        </w:rPr>
        <w:t>.</w:t>
      </w:r>
    </w:p>
    <w:p w:rsidR="00BB4992" w:rsidRDefault="00BB4992" w:rsidP="00BB4992">
      <w:pPr>
        <w:spacing w:before="120" w:after="120" w:line="240" w:lineRule="auto"/>
        <w:rPr>
          <w:rFonts w:ascii="StobiSerif Regular" w:eastAsia="Calibri" w:hAnsi="StobiSerif Regular" w:cs="Times New Roman"/>
        </w:rPr>
      </w:pPr>
      <w:bookmarkStart w:id="80" w:name="_Toc455052760"/>
    </w:p>
    <w:p w:rsidR="00194389" w:rsidRPr="00194389" w:rsidRDefault="00183A67" w:rsidP="00BB4992">
      <w:pPr>
        <w:spacing w:before="120" w:after="120" w:line="240" w:lineRule="auto"/>
        <w:rPr>
          <w:rFonts w:ascii="StobiSerif Regular" w:eastAsia="Calibri" w:hAnsi="StobiSerif Regular" w:cs="Times New Roman"/>
          <w:lang w:val="en-US"/>
        </w:rPr>
      </w:pPr>
      <w:r w:rsidRPr="00183A67">
        <w:rPr>
          <w:rFonts w:ascii="StobiSerif Regular" w:eastAsia="Calibri" w:hAnsi="StobiSerif Regular" w:cs="Times New Roman"/>
          <w:lang w:val="en-US"/>
        </w:rPr>
        <w:t xml:space="preserve">Во согласност со внатрешните процедури, </w:t>
      </w:r>
      <w:r>
        <w:rPr>
          <w:rFonts w:ascii="StobiSerif Regular" w:eastAsia="Calibri" w:hAnsi="StobiSerif Regular" w:cs="Times New Roman"/>
        </w:rPr>
        <w:t>ТУ</w:t>
      </w:r>
      <w:r w:rsidRPr="00183A67">
        <w:rPr>
          <w:rFonts w:ascii="StobiSerif Regular" w:eastAsia="Calibri" w:hAnsi="StobiSerif Regular" w:cs="Times New Roman"/>
          <w:lang w:val="en-US"/>
        </w:rPr>
        <w:t xml:space="preserve"> презеде низа активности за објавување на можностите за користење на средствата од ИПАРД</w:t>
      </w:r>
      <w:r w:rsidR="00194389" w:rsidRPr="00194389">
        <w:rPr>
          <w:rFonts w:ascii="StobiSerif Regular" w:eastAsia="Calibri" w:hAnsi="StobiSerif Regular" w:cs="Times New Roman"/>
          <w:lang w:val="en-US"/>
        </w:rPr>
        <w:t>.</w:t>
      </w:r>
    </w:p>
    <w:p w:rsidR="00194389" w:rsidRPr="00194389" w:rsidRDefault="00BB4992" w:rsidP="00BB4992">
      <w:pPr>
        <w:spacing w:before="120" w:after="120" w:line="240" w:lineRule="auto"/>
        <w:jc w:val="both"/>
        <w:rPr>
          <w:rFonts w:ascii="StobiSerif Regular" w:eastAsia="Calibri" w:hAnsi="StobiSerif Regular" w:cs="Times New Roman"/>
          <w:lang w:val="en-US"/>
        </w:rPr>
      </w:pPr>
      <w:r>
        <w:rPr>
          <w:rFonts w:ascii="StobiSerif Regular" w:eastAsia="Calibri" w:hAnsi="StobiSerif Regular" w:cs="Times New Roman"/>
          <w:lang w:val="en-US"/>
        </w:rPr>
        <w:t xml:space="preserve">Што се однесува до мерката </w:t>
      </w:r>
      <w:r>
        <w:rPr>
          <w:rFonts w:ascii="StobiSerif Regular" w:eastAsia="Calibri" w:hAnsi="StobiSerif Regular" w:cs="Times New Roman"/>
        </w:rPr>
        <w:t>„Инвестиции во р</w:t>
      </w:r>
      <w:r w:rsidR="001A0D81" w:rsidRPr="001A0D81">
        <w:rPr>
          <w:rFonts w:ascii="StobiSerif Regular" w:eastAsia="Calibri" w:hAnsi="StobiSerif Regular" w:cs="Times New Roman"/>
          <w:lang w:val="en-US"/>
        </w:rPr>
        <w:t>урална инфраструктура" која не беше вклучена во горенаведеното барање за задачи за спроведување на буџетот за индиректно управување, на 16.01.2016 година НАО испрати барање до ИПА Ревизорското тело за независна проценка на усогласеноста на задачите за спроведување на буџетот за индиректно управување за Мерката во согласност со Рамковниот договор, член 6 (2)</w:t>
      </w:r>
      <w:r w:rsidR="00194389" w:rsidRPr="00194389">
        <w:rPr>
          <w:rFonts w:ascii="StobiSerif Regular" w:eastAsia="Calibri" w:hAnsi="StobiSerif Regular" w:cs="Times New Roman"/>
          <w:lang w:val="en-US"/>
        </w:rPr>
        <w:t>.</w:t>
      </w:r>
    </w:p>
    <w:p w:rsidR="00194389" w:rsidRDefault="001A0D81" w:rsidP="00BB4992">
      <w:pPr>
        <w:spacing w:before="120" w:after="120" w:line="240" w:lineRule="auto"/>
        <w:jc w:val="both"/>
        <w:rPr>
          <w:rFonts w:ascii="StobiSerif Regular" w:eastAsia="Calibri" w:hAnsi="StobiSerif Regular" w:cs="Times New Roman"/>
        </w:rPr>
      </w:pPr>
      <w:r w:rsidRPr="001A0D81">
        <w:rPr>
          <w:rFonts w:ascii="StobiSerif Regular" w:eastAsia="Calibri" w:hAnsi="StobiSerif Regular" w:cs="Times New Roman"/>
          <w:lang w:val="en-US"/>
        </w:rPr>
        <w:t>Проектот "Воведување на нови ИПАРД мерки (</w:t>
      </w:r>
      <w:r>
        <w:rPr>
          <w:rFonts w:ascii="StobiSerif Regular" w:eastAsia="Calibri" w:hAnsi="StobiSerif Regular" w:cs="Times New Roman"/>
        </w:rPr>
        <w:t>ЛИДЕР</w:t>
      </w:r>
      <w:r w:rsidRPr="001A0D81">
        <w:rPr>
          <w:rFonts w:ascii="StobiSerif Regular" w:eastAsia="Calibri" w:hAnsi="StobiSerif Regular" w:cs="Times New Roman"/>
          <w:lang w:val="en-US"/>
        </w:rPr>
        <w:t xml:space="preserve"> и советодавни услуги) ко</w:t>
      </w:r>
      <w:r>
        <w:rPr>
          <w:rFonts w:ascii="StobiSerif Regular" w:eastAsia="Calibri" w:hAnsi="StobiSerif Regular" w:cs="Times New Roman"/>
        </w:rPr>
        <w:t>и</w:t>
      </w:r>
      <w:r w:rsidRPr="001A0D81">
        <w:rPr>
          <w:rFonts w:ascii="StobiSerif Regular" w:eastAsia="Calibri" w:hAnsi="StobiSerif Regular" w:cs="Times New Roman"/>
          <w:lang w:val="en-US"/>
        </w:rPr>
        <w:t xml:space="preserve"> треба да се спровед</w:t>
      </w:r>
      <w:r>
        <w:rPr>
          <w:rFonts w:ascii="StobiSerif Regular" w:eastAsia="Calibri" w:hAnsi="StobiSerif Regular" w:cs="Times New Roman"/>
        </w:rPr>
        <w:t>ат</w:t>
      </w:r>
      <w:r w:rsidRPr="001A0D81">
        <w:rPr>
          <w:rFonts w:ascii="StobiSerif Regular" w:eastAsia="Calibri" w:hAnsi="StobiSerif Regular" w:cs="Times New Roman"/>
          <w:lang w:val="en-US"/>
        </w:rPr>
        <w:t xml:space="preserve"> под ИПАРД II" беше финализиран во јули 2016 година. Траењето на проектот беше 18 месеци. </w:t>
      </w:r>
      <w:r w:rsidR="00D54678">
        <w:rPr>
          <w:rFonts w:ascii="StobiSerif Regular" w:eastAsia="Calibri" w:hAnsi="StobiSerif Regular" w:cs="Times New Roman"/>
        </w:rPr>
        <w:t>Фишеата за</w:t>
      </w:r>
      <w:r w:rsidRPr="001A0D81">
        <w:rPr>
          <w:rFonts w:ascii="StobiSerif Regular" w:eastAsia="Calibri" w:hAnsi="StobiSerif Regular" w:cs="Times New Roman"/>
          <w:lang w:val="en-US"/>
        </w:rPr>
        <w:t xml:space="preserve"> </w:t>
      </w:r>
      <w:r w:rsidR="00D54678">
        <w:rPr>
          <w:rFonts w:ascii="StobiSerif Regular" w:eastAsia="Calibri" w:hAnsi="StobiSerif Regular" w:cs="Times New Roman"/>
        </w:rPr>
        <w:t>ЛИДЕР</w:t>
      </w:r>
      <w:r w:rsidRPr="001A0D81">
        <w:rPr>
          <w:rFonts w:ascii="StobiSerif Regular" w:eastAsia="Calibri" w:hAnsi="StobiSerif Regular" w:cs="Times New Roman"/>
          <w:lang w:val="en-US"/>
        </w:rPr>
        <w:t xml:space="preserve"> и советодавни услуги </w:t>
      </w:r>
      <w:r w:rsidR="00D54678">
        <w:rPr>
          <w:rFonts w:ascii="StobiSerif Regular" w:eastAsia="Calibri" w:hAnsi="StobiSerif Regular" w:cs="Times New Roman"/>
        </w:rPr>
        <w:t xml:space="preserve">беа </w:t>
      </w:r>
      <w:r w:rsidRPr="001A0D81">
        <w:rPr>
          <w:rFonts w:ascii="StobiSerif Regular" w:eastAsia="Calibri" w:hAnsi="StobiSerif Regular" w:cs="Times New Roman"/>
          <w:lang w:val="en-US"/>
        </w:rPr>
        <w:t>подготвен</w:t>
      </w:r>
      <w:r w:rsidR="00D54678">
        <w:rPr>
          <w:rFonts w:ascii="StobiSerif Regular" w:eastAsia="Calibri" w:hAnsi="StobiSerif Regular" w:cs="Times New Roman"/>
        </w:rPr>
        <w:t xml:space="preserve">и </w:t>
      </w:r>
      <w:r w:rsidRPr="001A0D81">
        <w:rPr>
          <w:rFonts w:ascii="StobiSerif Regular" w:eastAsia="Calibri" w:hAnsi="StobiSerif Regular" w:cs="Times New Roman"/>
          <w:lang w:val="en-US"/>
        </w:rPr>
        <w:t xml:space="preserve"> и испратен од </w:t>
      </w:r>
      <w:r w:rsidR="00D54678">
        <w:rPr>
          <w:rFonts w:ascii="StobiSerif Regular" w:eastAsia="Calibri" w:hAnsi="StobiSerif Regular" w:cs="Times New Roman"/>
        </w:rPr>
        <w:t>ТУ</w:t>
      </w:r>
      <w:r w:rsidRPr="001A0D81">
        <w:rPr>
          <w:rFonts w:ascii="StobiSerif Regular" w:eastAsia="Calibri" w:hAnsi="StobiSerif Regular" w:cs="Times New Roman"/>
          <w:lang w:val="en-US"/>
        </w:rPr>
        <w:t xml:space="preserve"> </w:t>
      </w:r>
      <w:r w:rsidR="00D54678">
        <w:rPr>
          <w:rFonts w:ascii="StobiSerif Regular" w:eastAsia="Calibri" w:hAnsi="StobiSerif Regular" w:cs="Times New Roman"/>
        </w:rPr>
        <w:t>до</w:t>
      </w:r>
      <w:r w:rsidRPr="001A0D81">
        <w:rPr>
          <w:rFonts w:ascii="StobiSerif Regular" w:eastAsia="Calibri" w:hAnsi="StobiSerif Regular" w:cs="Times New Roman"/>
          <w:lang w:val="en-US"/>
        </w:rPr>
        <w:t xml:space="preserve"> Генералниот директорат за земјоделство и рурален развој (</w:t>
      </w:r>
      <w:r w:rsidR="00D54678" w:rsidRPr="001A0D81">
        <w:rPr>
          <w:rFonts w:ascii="StobiSerif Regular" w:eastAsia="Calibri" w:hAnsi="StobiSerif Regular" w:cs="Times New Roman"/>
          <w:lang w:val="en-US"/>
        </w:rPr>
        <w:t>Г</w:t>
      </w:r>
      <w:r w:rsidRPr="001A0D81">
        <w:rPr>
          <w:rFonts w:ascii="StobiSerif Regular" w:eastAsia="Calibri" w:hAnsi="StobiSerif Regular" w:cs="Times New Roman"/>
          <w:lang w:val="en-US"/>
        </w:rPr>
        <w:t>Д А</w:t>
      </w:r>
      <w:r w:rsidR="000F6173">
        <w:rPr>
          <w:rFonts w:ascii="StobiSerif Regular" w:eastAsia="Calibri" w:hAnsi="StobiSerif Regular" w:cs="Times New Roman"/>
        </w:rPr>
        <w:t>гри</w:t>
      </w:r>
      <w:r w:rsidRPr="001A0D81">
        <w:rPr>
          <w:rFonts w:ascii="StobiSerif Regular" w:eastAsia="Calibri" w:hAnsi="StobiSerif Regular" w:cs="Times New Roman"/>
          <w:lang w:val="en-US"/>
        </w:rPr>
        <w:t>) за консултации и коментирање. Изработени се</w:t>
      </w:r>
      <w:r w:rsidR="00D54678">
        <w:rPr>
          <w:rFonts w:ascii="StobiSerif Regular" w:eastAsia="Calibri" w:hAnsi="StobiSerif Regular" w:cs="Times New Roman"/>
        </w:rPr>
        <w:t xml:space="preserve"> и</w:t>
      </w:r>
      <w:r w:rsidRPr="001A0D81">
        <w:rPr>
          <w:rFonts w:ascii="StobiSerif Regular" w:eastAsia="Calibri" w:hAnsi="StobiSerif Regular" w:cs="Times New Roman"/>
          <w:lang w:val="en-US"/>
        </w:rPr>
        <w:t xml:space="preserve"> нацрт-процедури за спроведување на двете мерки. Материјалите и документацијата за упатства се финализирани за двете мерки и во случај на </w:t>
      </w:r>
      <w:r w:rsidR="000F6173">
        <w:rPr>
          <w:rFonts w:ascii="StobiSerif Regular" w:eastAsia="Calibri" w:hAnsi="StobiSerif Regular" w:cs="Times New Roman"/>
        </w:rPr>
        <w:t>С</w:t>
      </w:r>
      <w:r w:rsidRPr="001A0D81">
        <w:rPr>
          <w:rFonts w:ascii="StobiSerif Regular" w:eastAsia="Calibri" w:hAnsi="StobiSerif Regular" w:cs="Times New Roman"/>
          <w:lang w:val="en-US"/>
        </w:rPr>
        <w:t xml:space="preserve">оветодавни услуги, исто така беа подготвени посебни упатства за советниците на Националната агенција за проширување (НЕА). Во тек е комуникација со ГД </w:t>
      </w:r>
      <w:r w:rsidR="000F6173">
        <w:rPr>
          <w:rFonts w:ascii="StobiSerif Regular" w:eastAsia="Calibri" w:hAnsi="StobiSerif Regular" w:cs="Times New Roman"/>
          <w:lang w:val="en-US"/>
        </w:rPr>
        <w:t>Агри</w:t>
      </w:r>
      <w:r w:rsidRPr="001A0D81">
        <w:rPr>
          <w:rFonts w:ascii="StobiSerif Regular" w:eastAsia="Calibri" w:hAnsi="StobiSerif Regular" w:cs="Times New Roman"/>
          <w:lang w:val="en-US"/>
        </w:rPr>
        <w:t xml:space="preserve"> за мерките и материјалот за поддршка </w:t>
      </w:r>
      <w:r w:rsidR="000F6173">
        <w:rPr>
          <w:rFonts w:ascii="StobiSerif Regular" w:eastAsia="Calibri" w:hAnsi="StobiSerif Regular" w:cs="Times New Roman"/>
        </w:rPr>
        <w:t>кои</w:t>
      </w:r>
      <w:r w:rsidRPr="001A0D81">
        <w:rPr>
          <w:rFonts w:ascii="StobiSerif Regular" w:eastAsia="Calibri" w:hAnsi="StobiSerif Regular" w:cs="Times New Roman"/>
          <w:lang w:val="en-US"/>
        </w:rPr>
        <w:t xml:space="preserve"> ќе бидат вклучени со првата официјална измена на ИПАРД </w:t>
      </w:r>
      <w:r w:rsidR="000F6173">
        <w:rPr>
          <w:rFonts w:ascii="StobiSerif Regular" w:eastAsia="Calibri" w:hAnsi="StobiSerif Regular" w:cs="Times New Roman"/>
        </w:rPr>
        <w:t xml:space="preserve">Програмата </w:t>
      </w:r>
      <w:r w:rsidRPr="001A0D81">
        <w:rPr>
          <w:rFonts w:ascii="StobiSerif Regular" w:eastAsia="Calibri" w:hAnsi="StobiSerif Regular" w:cs="Times New Roman"/>
          <w:lang w:val="en-US"/>
        </w:rPr>
        <w:t>2014-2020</w:t>
      </w:r>
      <w:r w:rsidR="00194389" w:rsidRPr="00194389">
        <w:rPr>
          <w:rFonts w:ascii="StobiSerif Regular" w:eastAsia="Calibri" w:hAnsi="StobiSerif Regular" w:cs="Times New Roman"/>
          <w:lang w:val="en-US"/>
        </w:rPr>
        <w:t>.</w:t>
      </w:r>
    </w:p>
    <w:p w:rsidR="00A60EA9" w:rsidRPr="00A60EA9" w:rsidRDefault="00A60EA9" w:rsidP="00BB4992">
      <w:pPr>
        <w:spacing w:before="120" w:after="120" w:line="240" w:lineRule="auto"/>
        <w:jc w:val="both"/>
        <w:rPr>
          <w:rFonts w:ascii="StobiSerif Regular" w:eastAsia="Calibri" w:hAnsi="StobiSerif Regular" w:cs="Times New Roman"/>
        </w:rPr>
      </w:pPr>
    </w:p>
    <w:p w:rsidR="00194389" w:rsidRPr="00194389" w:rsidRDefault="00194389" w:rsidP="00194389">
      <w:pPr>
        <w:spacing w:before="120" w:after="120" w:line="240" w:lineRule="auto"/>
        <w:outlineLvl w:val="1"/>
        <w:rPr>
          <w:rFonts w:ascii="StobiSerif Regular" w:eastAsia="Times New Roman" w:hAnsi="StobiSerif Regular" w:cs="Times New Roman"/>
          <w:b/>
          <w:bCs/>
          <w:sz w:val="28"/>
          <w:szCs w:val="28"/>
          <w:lang w:val="en-US" w:eastAsia="mk-MK"/>
        </w:rPr>
      </w:pPr>
      <w:bookmarkStart w:id="81" w:name="_Toc483909487"/>
      <w:bookmarkStart w:id="82" w:name="_Toc485394822"/>
      <w:bookmarkStart w:id="83" w:name="_Toc455052761"/>
      <w:r w:rsidRPr="00194389">
        <w:rPr>
          <w:rFonts w:ascii="StobiSerif Regular" w:eastAsia="Times New Roman" w:hAnsi="StobiSerif Regular" w:cs="Times New Roman"/>
          <w:b/>
          <w:bCs/>
          <w:sz w:val="28"/>
          <w:szCs w:val="28"/>
          <w:lang w:val="en-US" w:eastAsia="mk-MK"/>
        </w:rPr>
        <w:t>3.2</w:t>
      </w:r>
      <w:r w:rsidRPr="00194389">
        <w:rPr>
          <w:rFonts w:ascii="StobiSerif Regular" w:hAnsi="StobiSerif Regular"/>
          <w:b/>
          <w:bCs/>
          <w:sz w:val="28"/>
          <w:szCs w:val="28"/>
          <w:lang w:val="en-US" w:eastAsia="mk-MK"/>
        </w:rPr>
        <w:t xml:space="preserve"> </w:t>
      </w:r>
      <w:bookmarkEnd w:id="81"/>
      <w:r w:rsidRPr="00181541">
        <w:rPr>
          <w:rFonts w:ascii="StobiSerif Regular" w:hAnsi="StobiSerif Regular"/>
          <w:b/>
          <w:sz w:val="28"/>
          <w:szCs w:val="28"/>
        </w:rPr>
        <w:t>Проблеми при имплементација и превземени активности</w:t>
      </w:r>
      <w:bookmarkEnd w:id="82"/>
    </w:p>
    <w:p w:rsidR="00194389" w:rsidRPr="00194389" w:rsidRDefault="00194389" w:rsidP="00194389">
      <w:pPr>
        <w:spacing w:before="120" w:after="120" w:line="240" w:lineRule="auto"/>
        <w:jc w:val="both"/>
        <w:outlineLvl w:val="2"/>
        <w:rPr>
          <w:rFonts w:ascii="StobiSerif Regular" w:hAnsi="StobiSerif Regular"/>
          <w:b/>
          <w:u w:val="single"/>
        </w:rPr>
      </w:pPr>
      <w:bookmarkStart w:id="84" w:name="_Toc483909488"/>
      <w:bookmarkStart w:id="85" w:name="_Toc485394823"/>
      <w:bookmarkEnd w:id="83"/>
      <w:r w:rsidRPr="00194389">
        <w:rPr>
          <w:rFonts w:ascii="StobiSerif Regular" w:hAnsi="StobiSerif Regular"/>
          <w:b/>
          <w:u w:val="single"/>
          <w:lang w:val="en-US"/>
        </w:rPr>
        <w:t xml:space="preserve">3.2.1. </w:t>
      </w:r>
      <w:bookmarkEnd w:id="84"/>
      <w:r w:rsidRPr="00194389">
        <w:rPr>
          <w:rFonts w:ascii="StobiSerif Regular" w:hAnsi="StobiSerif Regular"/>
          <w:b/>
          <w:u w:val="single"/>
        </w:rPr>
        <w:t>Преземени активности од страна на ИПАРД Агенција</w:t>
      </w:r>
      <w:bookmarkEnd w:id="85"/>
      <w:r w:rsidRPr="00194389">
        <w:rPr>
          <w:rFonts w:ascii="StobiSerif Regular" w:hAnsi="StobiSerif Regular"/>
          <w:b/>
          <w:u w:val="single"/>
        </w:rPr>
        <w:t xml:space="preserve"> </w:t>
      </w:r>
    </w:p>
    <w:p w:rsidR="00194389" w:rsidRPr="00194389" w:rsidRDefault="00194389" w:rsidP="00194389">
      <w:pPr>
        <w:spacing w:before="120" w:after="120" w:line="240" w:lineRule="auto"/>
        <w:ind w:firstLine="284"/>
        <w:jc w:val="both"/>
        <w:rPr>
          <w:rFonts w:ascii="StobiSerif Regular" w:hAnsi="StobiSerif Regular"/>
          <w:lang w:val="en-US"/>
        </w:rPr>
      </w:pPr>
      <w:r w:rsidRPr="00194389">
        <w:rPr>
          <w:rFonts w:ascii="StobiSerif Regular" w:hAnsi="StobiSerif Regular"/>
          <w:lang w:val="en-US"/>
        </w:rPr>
        <w:t xml:space="preserve">Најкритичните прашања и натаму </w:t>
      </w:r>
      <w:r w:rsidR="00BB4992" w:rsidRPr="00194389">
        <w:rPr>
          <w:rFonts w:ascii="StobiSerif Regular" w:hAnsi="StobiSerif Regular"/>
          <w:lang w:val="en-US"/>
        </w:rPr>
        <w:t>останува</w:t>
      </w:r>
      <w:r w:rsidR="00BB4992">
        <w:rPr>
          <w:rFonts w:ascii="StobiSerif Regular" w:hAnsi="StobiSerif Regular"/>
        </w:rPr>
        <w:t>т</w:t>
      </w:r>
      <w:r w:rsidR="00BB4992">
        <w:rPr>
          <w:rFonts w:ascii="StobiSerif Regular" w:hAnsi="StobiSerif Regular"/>
          <w:lang w:val="en-US"/>
        </w:rPr>
        <w:t xml:space="preserve"> капацитетот</w:t>
      </w:r>
      <w:r w:rsidRPr="00194389">
        <w:rPr>
          <w:rFonts w:ascii="StobiSerif Regular" w:hAnsi="StobiSerif Regular"/>
          <w:lang w:val="en-US"/>
        </w:rPr>
        <w:t xml:space="preserve"> на човечките ресурси и временската рамка за обработка на апликации.</w:t>
      </w:r>
    </w:p>
    <w:p w:rsidR="00194389" w:rsidRPr="00194389" w:rsidRDefault="00194389" w:rsidP="00BB4992">
      <w:pPr>
        <w:spacing w:before="120" w:after="120" w:line="240" w:lineRule="auto"/>
        <w:jc w:val="both"/>
        <w:rPr>
          <w:rFonts w:ascii="StobiSerif Regular" w:hAnsi="StobiSerif Regular"/>
          <w:lang w:val="en-US"/>
        </w:rPr>
      </w:pPr>
      <w:r w:rsidRPr="00194389">
        <w:rPr>
          <w:rFonts w:ascii="StobiSerif Regular" w:hAnsi="StobiSerif Regular"/>
        </w:rPr>
        <w:t xml:space="preserve">Во однос на проблемот </w:t>
      </w:r>
      <w:r w:rsidRPr="00194389">
        <w:rPr>
          <w:rFonts w:ascii="StobiSerif Regular" w:hAnsi="StobiSerif Regular"/>
          <w:lang w:val="en-US"/>
        </w:rPr>
        <w:t>на</w:t>
      </w:r>
      <w:r w:rsidRPr="00194389">
        <w:rPr>
          <w:rFonts w:ascii="StobiSerif Regular" w:hAnsi="StobiSerif Regular"/>
        </w:rPr>
        <w:t xml:space="preserve"> недоволен број на </w:t>
      </w:r>
      <w:r w:rsidRPr="00194389">
        <w:rPr>
          <w:rFonts w:ascii="StobiSerif Regular" w:hAnsi="StobiSerif Regular"/>
          <w:lang w:val="en-US"/>
        </w:rPr>
        <w:t xml:space="preserve"> човечките ресурси во ИПАРД Агенцијата, Агенцијата на редовна основа ја информира</w:t>
      </w:r>
      <w:r w:rsidRPr="00194389">
        <w:rPr>
          <w:rFonts w:ascii="StobiSerif Regular" w:hAnsi="StobiSerif Regular"/>
        </w:rPr>
        <w:t>ше</w:t>
      </w:r>
      <w:r w:rsidRPr="00194389">
        <w:rPr>
          <w:rFonts w:ascii="StobiSerif Regular" w:hAnsi="StobiSerif Regular"/>
          <w:lang w:val="en-US"/>
        </w:rPr>
        <w:t xml:space="preserve"> Владата на Република Македонија за потребите за нови вработувања. Последната информација е подготвен</w:t>
      </w:r>
      <w:r w:rsidRPr="00194389">
        <w:rPr>
          <w:rFonts w:ascii="StobiSerif Regular" w:hAnsi="StobiSerif Regular"/>
        </w:rPr>
        <w:t>а</w:t>
      </w:r>
      <w:r w:rsidRPr="00194389">
        <w:rPr>
          <w:rFonts w:ascii="StobiSerif Regular" w:hAnsi="StobiSerif Regular"/>
          <w:lang w:val="en-US"/>
        </w:rPr>
        <w:t xml:space="preserve"> по барање на Владата на Република Македонија во институциите надлежни за спроведување на помошта од ИПА инструментот во јули 2016 година, за потребите за нови вработувања во Агенцијата утврдени со </w:t>
      </w:r>
      <w:r w:rsidRPr="00194389">
        <w:rPr>
          <w:rFonts w:ascii="StobiSerif Regular" w:hAnsi="StobiSerif Regular"/>
        </w:rPr>
        <w:t>АОР</w:t>
      </w:r>
      <w:r w:rsidRPr="00194389">
        <w:rPr>
          <w:rFonts w:ascii="StobiSerif Regular" w:hAnsi="StobiSerif Regular"/>
          <w:lang w:val="en-US"/>
        </w:rPr>
        <w:t xml:space="preserve"> и план за вработување за 2016 година. </w:t>
      </w:r>
      <w:r w:rsidRPr="00194389">
        <w:rPr>
          <w:rFonts w:ascii="StobiSerif Regular" w:hAnsi="StobiSerif Regular"/>
        </w:rPr>
        <w:t xml:space="preserve">Во самата </w:t>
      </w:r>
      <w:r w:rsidRPr="00194389">
        <w:rPr>
          <w:rFonts w:ascii="StobiSerif Regular" w:hAnsi="StobiSerif Regular"/>
          <w:lang w:val="en-US"/>
        </w:rPr>
        <w:t xml:space="preserve">информација </w:t>
      </w:r>
      <w:r w:rsidRPr="00194389">
        <w:rPr>
          <w:rFonts w:ascii="StobiSerif Regular" w:hAnsi="StobiSerif Regular"/>
        </w:rPr>
        <w:t>е утврдено дека ИА</w:t>
      </w:r>
      <w:r w:rsidRPr="00194389">
        <w:rPr>
          <w:rFonts w:ascii="StobiSerif Regular" w:hAnsi="StobiSerif Regular"/>
          <w:lang w:val="en-US"/>
        </w:rPr>
        <w:t xml:space="preserve"> има потреба од 49 нови вработувања и 19 промоции на веќе акредитирани мерки од ИПАРД Програмата и дополнителни 17 нови вработувања за потребите за акредитација за инвестиции на мерката во јавната рурална инфраструктура од ИПАРД Програмата. Во прилог на ова, а во соработка со Владата на Република Македонија, преку Секретаријатот за спроведување на Охридскиот рамковен договор, Агенцијата е во процес на утврдување на соодветноста (образовни квалификации и вештини) на 12 државни службеници вработени во Секретаријатот , што се планира да бидат префрлени во агенцијата. Во текот на последните месеци на 2015 година и почетокот на 2016 година, сличен процес е спроведен со вработените во Генералниот секретаријат на Владата на Република Македонија и 3 државни службеници биле префрлени да работат во Агенцијата.</w:t>
      </w:r>
    </w:p>
    <w:p w:rsidR="00194389" w:rsidRPr="00194389" w:rsidRDefault="00194389" w:rsidP="00BB4992">
      <w:pPr>
        <w:spacing w:before="120" w:after="120" w:line="240" w:lineRule="auto"/>
        <w:jc w:val="both"/>
        <w:rPr>
          <w:rFonts w:ascii="StobiSerif Regular" w:hAnsi="StobiSerif Regular"/>
        </w:rPr>
      </w:pPr>
      <w:r w:rsidRPr="00194389">
        <w:rPr>
          <w:rFonts w:ascii="StobiSerif Regular" w:hAnsi="StobiSerif Regular"/>
        </w:rPr>
        <w:t>Во однос на обуките на државните службеници во Агенцијата, во соработка со експерти ангажирани од проект финансиран од ЕУ твининг проектот "Понатамошно зајакнување на ИПАРД Агенцијата и подготовка на Агенцијата за програмскиот период 2014-2020 година", беше спроведена Анализата за потреба од обуки (АПО) со раководителите на сектори / одделенија во агенцијата.</w:t>
      </w:r>
    </w:p>
    <w:p w:rsidR="00194389" w:rsidRPr="00194389" w:rsidRDefault="00194389" w:rsidP="00BB4992">
      <w:pPr>
        <w:spacing w:before="120" w:after="120" w:line="240" w:lineRule="auto"/>
        <w:jc w:val="both"/>
        <w:rPr>
          <w:rFonts w:ascii="StobiSerif Regular" w:hAnsi="StobiSerif Regular"/>
          <w:lang w:val="en-US"/>
        </w:rPr>
      </w:pPr>
      <w:r w:rsidRPr="00194389">
        <w:rPr>
          <w:rFonts w:ascii="StobiSerif Regular" w:hAnsi="StobiSerif Regular"/>
        </w:rPr>
        <w:t xml:space="preserve">Земајќи </w:t>
      </w:r>
      <w:r w:rsidRPr="00194389">
        <w:rPr>
          <w:rFonts w:ascii="StobiSerif Regular" w:hAnsi="StobiSerif Regular"/>
          <w:lang w:val="en-US"/>
        </w:rPr>
        <w:t>во предвид дека постојат значителни одложувања при обработка на апликации</w:t>
      </w:r>
      <w:r w:rsidRPr="00194389">
        <w:rPr>
          <w:rFonts w:ascii="StobiSerif Regular" w:hAnsi="StobiSerif Regular"/>
        </w:rPr>
        <w:t>те</w:t>
      </w:r>
      <w:r w:rsidRPr="00194389">
        <w:rPr>
          <w:rFonts w:ascii="StobiSerif Regular" w:hAnsi="StobiSerif Regular"/>
          <w:lang w:val="en-US"/>
        </w:rPr>
        <w:t xml:space="preserve"> и </w:t>
      </w:r>
      <w:r w:rsidRPr="00194389">
        <w:rPr>
          <w:rFonts w:ascii="StobiSerif Regular" w:hAnsi="StobiSerif Regular"/>
        </w:rPr>
        <w:t>финализирање</w:t>
      </w:r>
      <w:r w:rsidRPr="00194389">
        <w:rPr>
          <w:rFonts w:ascii="StobiSerif Regular" w:hAnsi="StobiSerif Regular"/>
          <w:lang w:val="en-US"/>
        </w:rPr>
        <w:t xml:space="preserve"> на фазата на избор и склучување договори, во споредба со предвидените процедури, се забележува дека главната причина за ова доцнење е капацитетот на Агенцијата во однос на човечките ресурси.</w:t>
      </w:r>
    </w:p>
    <w:p w:rsidR="00194389" w:rsidRPr="00194389" w:rsidRDefault="00194389" w:rsidP="00BB4992">
      <w:pPr>
        <w:spacing w:before="120" w:after="120" w:line="240" w:lineRule="auto"/>
        <w:jc w:val="both"/>
        <w:rPr>
          <w:rFonts w:ascii="StobiSerif Regular" w:hAnsi="StobiSerif Regular"/>
          <w:lang w:val="en-US"/>
        </w:rPr>
      </w:pPr>
      <w:r w:rsidRPr="00194389">
        <w:rPr>
          <w:rFonts w:ascii="StobiSerif Regular" w:hAnsi="StobiSerif Regular"/>
          <w:lang w:val="en-US"/>
        </w:rPr>
        <w:t>Во согласност со Законот за основање на Агенција за финансиска поддршка во земјоделството и руралниот развој, каде што се наведува дека Агенцијата треба да донесе одлука за распределба на средствата (или за одбивање на барањето), во период од 3 месеци, според</w:t>
      </w:r>
      <w:r w:rsidRPr="00194389">
        <w:rPr>
          <w:rFonts w:ascii="StobiSerif Regular" w:hAnsi="StobiSerif Regular"/>
        </w:rPr>
        <w:t xml:space="preserve"> направената</w:t>
      </w:r>
      <w:r w:rsidRPr="00194389">
        <w:rPr>
          <w:rFonts w:ascii="StobiSerif Regular" w:hAnsi="StobiSerif Regular"/>
          <w:lang w:val="en-US"/>
        </w:rPr>
        <w:t xml:space="preserve"> анализата, овој период не е соодветен и мора да биде продолжен на шест месеци. Оваа промена е дел од модификација на наведениот закон, кој е во владина процедура и се уште не е донесен.</w:t>
      </w:r>
    </w:p>
    <w:p w:rsidR="00194389" w:rsidRPr="00194389" w:rsidRDefault="00194389" w:rsidP="00BB4992">
      <w:pPr>
        <w:spacing w:before="120" w:after="120" w:line="240" w:lineRule="auto"/>
        <w:jc w:val="both"/>
        <w:rPr>
          <w:rFonts w:ascii="StobiSerif Regular" w:hAnsi="StobiSerif Regular"/>
          <w:lang w:val="en-US"/>
        </w:rPr>
      </w:pPr>
      <w:r w:rsidRPr="00194389">
        <w:rPr>
          <w:rFonts w:ascii="StobiSerif Regular" w:hAnsi="StobiSerif Regular"/>
          <w:lang w:val="en-US"/>
        </w:rPr>
        <w:t xml:space="preserve">ИПАРД Агенцијата постојано се обидува да се подобри и да се забрза процесот на одобрување на апликацијата - склучување на договори и овластување на плаќање преку автоматизација на процесите и е во процес на купување на нови ИТ решенија за целото претпријатие, а делot за ИПАРД ќе биде составен дел на софтвер за IACS. Техничката спецификација беше подготвенa со помош на експерти од Твининг проектот "Понатамошно зајакнување на ИПАРД Агенцијата за програмскиот период 2014-2020 година", а ќе се финансира од средства од ИПА 2015 година. </w:t>
      </w:r>
      <w:r w:rsidRPr="00194389">
        <w:rPr>
          <w:rFonts w:ascii="StobiSerif Regular" w:hAnsi="StobiSerif Regular"/>
        </w:rPr>
        <w:t xml:space="preserve">Оваа постапка </w:t>
      </w:r>
      <w:r w:rsidRPr="00194389">
        <w:rPr>
          <w:rFonts w:ascii="StobiSerif Regular" w:hAnsi="StobiSerif Regular"/>
          <w:lang w:val="en-US"/>
        </w:rPr>
        <w:t>е планирана да започне на почетокот на 2017 година . Во меѓувреме, ние сме во процес на надградба на постоечкиот софтвер</w:t>
      </w:r>
      <w:r w:rsidRPr="00194389">
        <w:rPr>
          <w:rFonts w:ascii="StobiSerif Regular" w:hAnsi="StobiSerif Regular"/>
        </w:rPr>
        <w:t xml:space="preserve"> кој што е изготвен со цел известување, </w:t>
      </w:r>
      <w:r w:rsidRPr="00194389">
        <w:rPr>
          <w:rFonts w:ascii="StobiSerif Regular" w:hAnsi="StobiSerif Regular"/>
          <w:lang w:val="en-US"/>
        </w:rPr>
        <w:t xml:space="preserve"> и во моментов се користи само од страна на Секторот за одобрување на проекти, со модули за Секторот за авторизација на плаќањата, Сектор</w:t>
      </w:r>
      <w:r w:rsidR="00CB493D">
        <w:rPr>
          <w:rFonts w:ascii="StobiSerif Regular" w:hAnsi="StobiSerif Regular"/>
        </w:rPr>
        <w:t>от</w:t>
      </w:r>
      <w:r w:rsidRPr="00194389">
        <w:rPr>
          <w:rFonts w:ascii="StobiSerif Regular" w:hAnsi="StobiSerif Regular"/>
          <w:lang w:val="en-US"/>
        </w:rPr>
        <w:t xml:space="preserve"> за контрола на самото место и Одделение</w:t>
      </w:r>
      <w:r w:rsidR="00CB493D">
        <w:rPr>
          <w:rFonts w:ascii="StobiSerif Regular" w:hAnsi="StobiSerif Regular"/>
        </w:rPr>
        <w:t>то</w:t>
      </w:r>
      <w:r w:rsidRPr="00194389">
        <w:rPr>
          <w:rFonts w:ascii="StobiSerif Regular" w:hAnsi="StobiSerif Regular"/>
          <w:lang w:val="en-US"/>
        </w:rPr>
        <w:t xml:space="preserve"> за извршување на исплата. </w:t>
      </w:r>
      <w:r w:rsidRPr="00CB493D">
        <w:rPr>
          <w:rFonts w:ascii="StobiSerif Regular" w:hAnsi="StobiSerif Regular"/>
          <w:lang w:val="en-US"/>
        </w:rPr>
        <w:t>Тој ќе остане</w:t>
      </w:r>
      <w:r w:rsidRPr="00CB493D">
        <w:rPr>
          <w:rFonts w:ascii="StobiSerif Regular" w:hAnsi="StobiSerif Regular"/>
        </w:rPr>
        <w:t xml:space="preserve"> како</w:t>
      </w:r>
      <w:r w:rsidRPr="00CB493D">
        <w:rPr>
          <w:rFonts w:ascii="StobiSerif Regular" w:hAnsi="StobiSerif Regular"/>
          <w:lang w:val="en-US"/>
        </w:rPr>
        <w:t xml:space="preserve"> процес</w:t>
      </w:r>
      <w:r w:rsidRPr="00CB493D">
        <w:rPr>
          <w:rFonts w:ascii="StobiSerif Regular" w:hAnsi="StobiSerif Regular"/>
        </w:rPr>
        <w:t xml:space="preserve"> кој се заснова</w:t>
      </w:r>
      <w:r w:rsidRPr="00CB493D">
        <w:rPr>
          <w:rFonts w:ascii="StobiSerif Regular" w:hAnsi="StobiSerif Regular"/>
          <w:lang w:val="en-US"/>
        </w:rPr>
        <w:t xml:space="preserve"> на хартија (како што е акредитиран), но откако</w:t>
      </w:r>
      <w:r w:rsidRPr="00CB493D">
        <w:rPr>
          <w:rFonts w:ascii="StobiSerif Regular" w:hAnsi="StobiSerif Regular"/>
        </w:rPr>
        <w:t xml:space="preserve"> ќе бидат внесени </w:t>
      </w:r>
      <w:r w:rsidRPr="00CB493D">
        <w:rPr>
          <w:rFonts w:ascii="StobiSerif Regular" w:hAnsi="StobiSerif Regular"/>
          <w:lang w:val="en-US"/>
        </w:rPr>
        <w:t>податоци во системот</w:t>
      </w:r>
      <w:r w:rsidRPr="00194389">
        <w:rPr>
          <w:rFonts w:ascii="StobiSerif Regular" w:hAnsi="StobiSerif Regular"/>
          <w:lang w:val="en-US"/>
        </w:rPr>
        <w:t xml:space="preserve">, </w:t>
      </w:r>
      <w:r w:rsidRPr="00194389">
        <w:rPr>
          <w:rFonts w:ascii="StobiSerif Regular" w:hAnsi="StobiSerif Regular"/>
        </w:rPr>
        <w:t xml:space="preserve">истите </w:t>
      </w:r>
      <w:r w:rsidRPr="00194389">
        <w:rPr>
          <w:rFonts w:ascii="StobiSerif Regular" w:hAnsi="StobiSerif Regular"/>
          <w:lang w:val="en-US"/>
        </w:rPr>
        <w:t>ќе се користат од страна на сите сектори кои се вклучени во обработка и проверка на апликации.</w:t>
      </w:r>
    </w:p>
    <w:p w:rsidR="00194389" w:rsidRPr="00194389" w:rsidRDefault="00194389" w:rsidP="00BB4992">
      <w:pPr>
        <w:spacing w:before="120" w:after="120" w:line="240" w:lineRule="auto"/>
        <w:jc w:val="both"/>
        <w:rPr>
          <w:rFonts w:ascii="StobiSerif Regular" w:hAnsi="StobiSerif Regular"/>
          <w:lang w:val="en-US"/>
        </w:rPr>
      </w:pPr>
      <w:r w:rsidRPr="00194389">
        <w:rPr>
          <w:rFonts w:ascii="StobiSerif Regular" w:hAnsi="StobiSerif Regular"/>
          <w:lang w:val="en-US"/>
        </w:rPr>
        <w:t>Сектор</w:t>
      </w:r>
      <w:r w:rsidRPr="00194389">
        <w:rPr>
          <w:rFonts w:ascii="StobiSerif Regular" w:hAnsi="StobiSerif Regular"/>
        </w:rPr>
        <w:t>от</w:t>
      </w:r>
      <w:r w:rsidRPr="00194389">
        <w:rPr>
          <w:rFonts w:ascii="StobiSerif Regular" w:hAnsi="StobiSerif Regular"/>
          <w:lang w:val="en-US"/>
        </w:rPr>
        <w:t xml:space="preserve"> за одобрување на проекти во однос на анализи</w:t>
      </w:r>
      <w:r w:rsidRPr="00194389">
        <w:rPr>
          <w:rFonts w:ascii="StobiSerif Regular" w:hAnsi="StobiSerif Regular"/>
        </w:rPr>
        <w:t>те</w:t>
      </w:r>
      <w:r w:rsidRPr="00194389">
        <w:rPr>
          <w:rFonts w:ascii="StobiSerif Regular" w:hAnsi="StobiSerif Regular"/>
          <w:lang w:val="en-US"/>
        </w:rPr>
        <w:t xml:space="preserve"> за одложување на ниво на проценка и склучување договор</w:t>
      </w:r>
      <w:r w:rsidRPr="00194389">
        <w:rPr>
          <w:rFonts w:ascii="StobiSerif Regular" w:hAnsi="StobiSerif Regular"/>
        </w:rPr>
        <w:t>,</w:t>
      </w:r>
      <w:r w:rsidRPr="00194389">
        <w:rPr>
          <w:rFonts w:ascii="StobiSerif Regular" w:hAnsi="StobiSerif Regular"/>
          <w:lang w:val="en-US"/>
        </w:rPr>
        <w:t xml:space="preserve"> утврди дека периодот за одобрување на апликацијата е околу 8,7 месеци. Главната причина за одложувањето е доцното започнување со отворање на апликација која е околу 2,7 месеци, поради зголемен обем на работа. Исто така, процесот на пополнување на пријавата трае околу 5,2 месеци и процесот за добивање на референтната цена е околу 3,5 месеци.</w:t>
      </w:r>
    </w:p>
    <w:p w:rsidR="00194389" w:rsidRPr="00194389" w:rsidRDefault="00194389" w:rsidP="00BB4992">
      <w:pPr>
        <w:spacing w:before="120" w:after="120" w:line="240" w:lineRule="auto"/>
        <w:jc w:val="both"/>
        <w:rPr>
          <w:rFonts w:ascii="StobiSerif Regular" w:hAnsi="StobiSerif Regular"/>
          <w:lang w:val="en-US"/>
        </w:rPr>
      </w:pPr>
      <w:r w:rsidRPr="00194389">
        <w:rPr>
          <w:rFonts w:ascii="StobiSerif Regular" w:hAnsi="StobiSerif Regular"/>
          <w:lang w:val="en-US"/>
        </w:rPr>
        <w:t>За анализа на причините за барање</w:t>
      </w:r>
      <w:r w:rsidRPr="00194389">
        <w:rPr>
          <w:rFonts w:ascii="StobiSerif Regular" w:hAnsi="StobiSerif Regular"/>
        </w:rPr>
        <w:t xml:space="preserve"> на</w:t>
      </w:r>
      <w:r w:rsidRPr="00194389">
        <w:rPr>
          <w:rFonts w:ascii="StobiSerif Regular" w:hAnsi="StobiSerif Regular"/>
          <w:lang w:val="en-US"/>
        </w:rPr>
        <w:t xml:space="preserve"> дополнителни информации во </w:t>
      </w:r>
      <w:r w:rsidRPr="00194389">
        <w:rPr>
          <w:rFonts w:ascii="StobiSerif Regular" w:hAnsi="StobiSerif Regular"/>
        </w:rPr>
        <w:t>текот</w:t>
      </w:r>
      <w:r w:rsidRPr="00194389">
        <w:rPr>
          <w:rFonts w:ascii="StobiSerif Regular" w:hAnsi="StobiSerif Regular"/>
          <w:lang w:val="en-US"/>
        </w:rPr>
        <w:t xml:space="preserve"> на </w:t>
      </w:r>
      <w:r w:rsidRPr="00194389">
        <w:rPr>
          <w:rFonts w:ascii="StobiSerif Regular" w:hAnsi="StobiSerif Regular"/>
        </w:rPr>
        <w:t xml:space="preserve">обработка на </w:t>
      </w:r>
      <w:r w:rsidRPr="00194389">
        <w:rPr>
          <w:rFonts w:ascii="StobiSerif Regular" w:hAnsi="StobiSerif Regular"/>
          <w:lang w:val="en-US"/>
        </w:rPr>
        <w:t>апликации</w:t>
      </w:r>
      <w:r w:rsidRPr="00194389">
        <w:rPr>
          <w:rFonts w:ascii="StobiSerif Regular" w:hAnsi="StobiSerif Regular"/>
        </w:rPr>
        <w:t>те</w:t>
      </w:r>
      <w:r w:rsidRPr="00194389">
        <w:rPr>
          <w:rFonts w:ascii="StobiSerif Regular" w:hAnsi="StobiSerif Regular"/>
          <w:lang w:val="en-US"/>
        </w:rPr>
        <w:t>, Агенцијата утврди дека главната причина за барање</w:t>
      </w:r>
      <w:r w:rsidRPr="00194389">
        <w:rPr>
          <w:rFonts w:ascii="StobiSerif Regular" w:hAnsi="StobiSerif Regular"/>
        </w:rPr>
        <w:t xml:space="preserve"> на</w:t>
      </w:r>
      <w:r w:rsidRPr="00194389">
        <w:rPr>
          <w:rFonts w:ascii="StobiSerif Regular" w:hAnsi="StobiSerif Regular"/>
          <w:lang w:val="en-US"/>
        </w:rPr>
        <w:t xml:space="preserve"> дополнителни информации</w:t>
      </w:r>
      <w:r w:rsidRPr="00194389">
        <w:rPr>
          <w:rFonts w:ascii="StobiSerif Regular" w:hAnsi="StobiSerif Regular"/>
        </w:rPr>
        <w:t xml:space="preserve"> е</w:t>
      </w:r>
      <w:r w:rsidRPr="00194389">
        <w:rPr>
          <w:rFonts w:ascii="StobiSerif Regular" w:hAnsi="StobiSerif Regular"/>
          <w:lang w:val="en-US"/>
        </w:rPr>
        <w:t xml:space="preserve"> во врска со понудите и добавувачи</w:t>
      </w:r>
      <w:r w:rsidRPr="00194389">
        <w:rPr>
          <w:rFonts w:ascii="StobiSerif Regular" w:hAnsi="StobiSerif Regular"/>
        </w:rPr>
        <w:t>те</w:t>
      </w:r>
      <w:r w:rsidRPr="00194389">
        <w:rPr>
          <w:rFonts w:ascii="StobiSerif Regular" w:hAnsi="StobiSerif Regular"/>
          <w:lang w:val="en-US"/>
        </w:rPr>
        <w:t>, што е приближно 40% од сите побара</w:t>
      </w:r>
      <w:r w:rsidRPr="00194389">
        <w:rPr>
          <w:rFonts w:ascii="StobiSerif Regular" w:hAnsi="StobiSerif Regular"/>
        </w:rPr>
        <w:t xml:space="preserve">ни </w:t>
      </w:r>
      <w:r w:rsidRPr="00194389">
        <w:rPr>
          <w:rFonts w:ascii="StobiSerif Regular" w:hAnsi="StobiSerif Regular"/>
          <w:lang w:val="en-US"/>
        </w:rPr>
        <w:t xml:space="preserve"> дополнителни информации.</w:t>
      </w:r>
    </w:p>
    <w:p w:rsidR="00194389" w:rsidRPr="00194389" w:rsidRDefault="00194389" w:rsidP="00BB4992">
      <w:pPr>
        <w:spacing w:before="120" w:after="120" w:line="240" w:lineRule="auto"/>
        <w:jc w:val="both"/>
        <w:rPr>
          <w:rFonts w:ascii="StobiSerif Regular" w:hAnsi="StobiSerif Regular"/>
          <w:lang w:val="en-US"/>
        </w:rPr>
      </w:pPr>
      <w:r w:rsidRPr="00194389">
        <w:rPr>
          <w:rFonts w:ascii="StobiSerif Regular" w:hAnsi="StobiSerif Regular"/>
          <w:lang w:val="en-US"/>
        </w:rPr>
        <w:t>Исто така, значително</w:t>
      </w:r>
      <w:r w:rsidRPr="00194389">
        <w:rPr>
          <w:rFonts w:ascii="StobiSerif Regular" w:hAnsi="StobiSerif Regular"/>
        </w:rPr>
        <w:t xml:space="preserve"> е да</w:t>
      </w:r>
      <w:r w:rsidRPr="00194389">
        <w:rPr>
          <w:rFonts w:ascii="StobiSerif Regular" w:hAnsi="StobiSerif Regular"/>
          <w:lang w:val="en-US"/>
        </w:rPr>
        <w:t xml:space="preserve"> се напомене дека Агенцијата побара дополнителни информации во врска со оценувањето на критериумите за право на користење на земјиштето / објектот за околу 11,3%, а за дозвола за изградба / реконструкција (вклучувајќи и </w:t>
      </w:r>
      <w:r w:rsidRPr="00194389">
        <w:rPr>
          <w:rFonts w:ascii="StobiSerif Regular" w:hAnsi="StobiSerif Regular"/>
        </w:rPr>
        <w:t>список на опрема</w:t>
      </w:r>
      <w:r w:rsidRPr="00194389">
        <w:rPr>
          <w:rFonts w:ascii="StobiSerif Regular" w:hAnsi="StobiSerif Regular"/>
          <w:lang w:val="en-US"/>
        </w:rPr>
        <w:t>) околу 8,5% од сите побарани дополнителни информации.</w:t>
      </w:r>
    </w:p>
    <w:p w:rsidR="00194389" w:rsidRPr="00194389" w:rsidRDefault="00194389" w:rsidP="00BB4992">
      <w:pPr>
        <w:spacing w:before="120" w:after="120" w:line="240" w:lineRule="auto"/>
        <w:jc w:val="both"/>
        <w:rPr>
          <w:rFonts w:ascii="StobiSerif Regular" w:hAnsi="StobiSerif Regular"/>
          <w:lang w:val="en-US"/>
        </w:rPr>
      </w:pPr>
      <w:r w:rsidRPr="00194389">
        <w:rPr>
          <w:rFonts w:ascii="StobiSerif Regular" w:hAnsi="StobiSerif Regular"/>
          <w:lang w:val="en-US"/>
        </w:rPr>
        <w:t>Анализата на причините за барање дополнителни информации покажува дека 29% од информациите се бара</w:t>
      </w:r>
      <w:r w:rsidRPr="00194389">
        <w:rPr>
          <w:rFonts w:ascii="StobiSerif Regular" w:hAnsi="StobiSerif Regular"/>
        </w:rPr>
        <w:t>ат</w:t>
      </w:r>
      <w:r w:rsidRPr="00194389">
        <w:rPr>
          <w:rFonts w:ascii="StobiSerif Regular" w:hAnsi="StobiSerif Regular"/>
          <w:lang w:val="en-US"/>
        </w:rPr>
        <w:t xml:space="preserve"> поради корекција на доставените документи, 27% се должи на појаснување на доставената документација, 26% се должи на барање на дополнително дополнување на документи и 18% како резултат на документи</w:t>
      </w:r>
      <w:r w:rsidRPr="00194389">
        <w:rPr>
          <w:rFonts w:ascii="StobiSerif Regular" w:hAnsi="StobiSerif Regular"/>
        </w:rPr>
        <w:t xml:space="preserve"> кои недостигаат</w:t>
      </w:r>
      <w:r w:rsidRPr="00194389">
        <w:rPr>
          <w:rFonts w:ascii="StobiSerif Regular" w:hAnsi="StobiSerif Regular"/>
          <w:lang w:val="en-US"/>
        </w:rPr>
        <w:t>.</w:t>
      </w:r>
    </w:p>
    <w:p w:rsidR="00194389" w:rsidRPr="00194389" w:rsidRDefault="00194389" w:rsidP="00BB4992">
      <w:pPr>
        <w:spacing w:before="120" w:after="120" w:line="240" w:lineRule="auto"/>
        <w:jc w:val="both"/>
        <w:rPr>
          <w:rFonts w:ascii="StobiSerif Regular" w:hAnsi="StobiSerif Regular"/>
          <w:lang w:val="en-US"/>
        </w:rPr>
      </w:pPr>
      <w:r w:rsidRPr="00194389">
        <w:rPr>
          <w:rFonts w:ascii="StobiSerif Regular" w:hAnsi="StobiSerif Regular"/>
          <w:lang w:val="en-US"/>
        </w:rPr>
        <w:t xml:space="preserve">Во </w:t>
      </w:r>
      <w:r w:rsidRPr="00194389">
        <w:rPr>
          <w:rFonts w:ascii="StobiSerif Regular" w:hAnsi="StobiSerif Regular"/>
        </w:rPr>
        <w:t>однос на</w:t>
      </w:r>
      <w:r w:rsidRPr="00194389">
        <w:rPr>
          <w:rFonts w:ascii="StobiSerif Regular" w:hAnsi="StobiSerif Regular"/>
          <w:lang w:val="en-US"/>
        </w:rPr>
        <w:t xml:space="preserve"> обезбедување на документи по службена должност, можеме да информираме дека Агенцијата има пристап до електронската база на податоци на Министерството и</w:t>
      </w:r>
      <w:r w:rsidRPr="00194389">
        <w:rPr>
          <w:rFonts w:ascii="StobiSerif Regular" w:hAnsi="StobiSerif Regular"/>
        </w:rPr>
        <w:t xml:space="preserve"> може </w:t>
      </w:r>
      <w:r w:rsidRPr="00194389">
        <w:rPr>
          <w:rFonts w:ascii="StobiSerif Regular" w:hAnsi="StobiSerif Regular"/>
          <w:lang w:val="en-US"/>
        </w:rPr>
        <w:t xml:space="preserve"> </w:t>
      </w:r>
      <w:r w:rsidR="003C5997">
        <w:rPr>
          <w:rFonts w:ascii="StobiSerif Regular" w:hAnsi="StobiSerif Regular"/>
        </w:rPr>
        <w:t>директно</w:t>
      </w:r>
      <w:r w:rsidRPr="00194389">
        <w:rPr>
          <w:rFonts w:ascii="StobiSerif Regular" w:hAnsi="StobiSerif Regular"/>
          <w:lang w:val="en-US"/>
        </w:rPr>
        <w:t xml:space="preserve"> да обезбеди податоци.</w:t>
      </w:r>
    </w:p>
    <w:p w:rsidR="00194389" w:rsidRPr="00194389" w:rsidRDefault="00194389" w:rsidP="00194389">
      <w:pPr>
        <w:spacing w:before="120" w:after="120" w:line="240" w:lineRule="auto"/>
        <w:jc w:val="both"/>
        <w:outlineLvl w:val="2"/>
        <w:rPr>
          <w:rFonts w:ascii="StobiSerif Regular" w:hAnsi="StobiSerif Regular"/>
          <w:b/>
          <w:u w:val="single"/>
        </w:rPr>
      </w:pPr>
      <w:bookmarkStart w:id="86" w:name="_Toc483909489"/>
      <w:bookmarkStart w:id="87" w:name="_Toc485394824"/>
      <w:r w:rsidRPr="00194389">
        <w:rPr>
          <w:rFonts w:ascii="StobiSerif Regular" w:hAnsi="StobiSerif Regular"/>
          <w:b/>
          <w:u w:val="single"/>
          <w:lang w:val="en-US"/>
        </w:rPr>
        <w:t xml:space="preserve">3.2.2. </w:t>
      </w:r>
      <w:bookmarkEnd w:id="86"/>
      <w:r w:rsidRPr="00194389">
        <w:rPr>
          <w:rFonts w:ascii="StobiSerif Regular" w:hAnsi="StobiSerif Regular"/>
          <w:b/>
          <w:u w:val="single"/>
        </w:rPr>
        <w:t>Преземени активности од страна на Телото за управување</w:t>
      </w:r>
      <w:bookmarkEnd w:id="87"/>
      <w:r w:rsidRPr="00194389">
        <w:rPr>
          <w:rFonts w:ascii="StobiSerif Regular" w:hAnsi="StobiSerif Regular"/>
          <w:b/>
          <w:u w:val="single"/>
        </w:rPr>
        <w:t xml:space="preserve"> </w:t>
      </w:r>
    </w:p>
    <w:p w:rsidR="00194389" w:rsidRPr="00194389" w:rsidRDefault="00194389" w:rsidP="00194389">
      <w:pPr>
        <w:spacing w:before="120" w:after="120" w:line="240" w:lineRule="auto"/>
        <w:ind w:firstLine="284"/>
        <w:jc w:val="both"/>
        <w:rPr>
          <w:rFonts w:ascii="StobiSerif Regular" w:hAnsi="StobiSerif Regular"/>
          <w:lang w:val="en-US"/>
        </w:rPr>
      </w:pPr>
      <w:r w:rsidRPr="00194389">
        <w:rPr>
          <w:rFonts w:ascii="StobiSerif Regular" w:hAnsi="StobiSerif Regular"/>
          <w:lang w:val="en-US"/>
        </w:rPr>
        <w:t xml:space="preserve">На крајот на 2015 година, со писмена согласност на Министерството за информатичко општество и администрација, усвоен е нов Правилник за систематизација на работните места на МЗШВ. Во врска со </w:t>
      </w:r>
      <w:r w:rsidRPr="00194389">
        <w:rPr>
          <w:rFonts w:ascii="StobiSerif Regular" w:hAnsi="StobiSerif Regular"/>
        </w:rPr>
        <w:t>Секторот</w:t>
      </w:r>
      <w:r w:rsidRPr="00194389">
        <w:rPr>
          <w:rFonts w:ascii="StobiSerif Regular" w:hAnsi="StobiSerif Regular"/>
          <w:lang w:val="en-US"/>
        </w:rPr>
        <w:t xml:space="preserve"> за управување со претпристапните фондови на ЕУ за рурален развој (ИПАРД) - </w:t>
      </w:r>
      <w:r w:rsidRPr="00194389">
        <w:rPr>
          <w:rFonts w:ascii="StobiSerif Regular" w:hAnsi="StobiSerif Regular"/>
        </w:rPr>
        <w:t>ТУ</w:t>
      </w:r>
      <w:r w:rsidRPr="00194389">
        <w:rPr>
          <w:rFonts w:ascii="StobiSerif Regular" w:hAnsi="StobiSerif Regular"/>
          <w:lang w:val="en-US"/>
        </w:rPr>
        <w:t xml:space="preserve">, имаше промена (значително намалување) на бројот на предвидените работни места, промени во називите на работни места и минимални промени во однос на обврските и </w:t>
      </w:r>
      <w:r w:rsidRPr="00194389">
        <w:rPr>
          <w:rFonts w:ascii="StobiSerif Regular" w:hAnsi="StobiSerif Regular"/>
        </w:rPr>
        <w:t xml:space="preserve">работните </w:t>
      </w:r>
      <w:r w:rsidRPr="00194389">
        <w:rPr>
          <w:rFonts w:ascii="StobiSerif Regular" w:hAnsi="StobiSerif Regular"/>
          <w:lang w:val="en-US"/>
        </w:rPr>
        <w:t>задачи во однос на работно место. Со официјален допис бр 11- 1830</w:t>
      </w:r>
      <w:r w:rsidRPr="00194389">
        <w:rPr>
          <w:rFonts w:ascii="StobiSerif Regular" w:hAnsi="StobiSerif Regular"/>
        </w:rPr>
        <w:t xml:space="preserve">/ 1 </w:t>
      </w:r>
      <w:r w:rsidRPr="00194389">
        <w:rPr>
          <w:rFonts w:ascii="StobiSerif Regular" w:hAnsi="StobiSerif Regular"/>
          <w:lang w:val="en-US"/>
        </w:rPr>
        <w:t xml:space="preserve">од 11-ти февруари 2016 година, </w:t>
      </w:r>
      <w:r w:rsidRPr="00194389">
        <w:rPr>
          <w:rFonts w:ascii="StobiSerif Regular" w:hAnsi="StobiSerif Regular"/>
        </w:rPr>
        <w:t>ТУ</w:t>
      </w:r>
      <w:r w:rsidRPr="00194389">
        <w:rPr>
          <w:rFonts w:ascii="StobiSerif Regular" w:hAnsi="StobiSerif Regular"/>
          <w:lang w:val="en-US"/>
        </w:rPr>
        <w:t xml:space="preserve"> до Националниот координатор за авторизација</w:t>
      </w:r>
      <w:r w:rsidRPr="00194389">
        <w:rPr>
          <w:rFonts w:ascii="StobiSerif Regular" w:hAnsi="StobiSerif Regular"/>
        </w:rPr>
        <w:t xml:space="preserve"> достави Анализа на </w:t>
      </w:r>
      <w:r w:rsidRPr="00194389">
        <w:rPr>
          <w:rFonts w:ascii="StobiSerif Regular" w:hAnsi="StobiSerif Regular"/>
          <w:lang w:val="en-US"/>
        </w:rPr>
        <w:t xml:space="preserve"> бем на работа </w:t>
      </w:r>
      <w:r w:rsidRPr="00194389">
        <w:rPr>
          <w:rFonts w:ascii="StobiSerif Regular" w:hAnsi="StobiSerif Regular"/>
        </w:rPr>
        <w:t xml:space="preserve">(АОР) </w:t>
      </w:r>
      <w:r w:rsidRPr="00194389">
        <w:rPr>
          <w:rFonts w:ascii="StobiSerif Regular" w:hAnsi="StobiSerif Regular"/>
          <w:lang w:val="en-US"/>
        </w:rPr>
        <w:t xml:space="preserve">за 2016 година (акционен план за вработување 2017/2018). </w:t>
      </w:r>
      <w:r w:rsidRPr="00194389">
        <w:rPr>
          <w:rFonts w:ascii="StobiSerif Regular" w:hAnsi="StobiSerif Regular"/>
        </w:rPr>
        <w:t xml:space="preserve">Истата </w:t>
      </w:r>
      <w:r w:rsidRPr="00194389">
        <w:rPr>
          <w:rFonts w:ascii="StobiSerif Regular" w:hAnsi="StobiSerif Regular"/>
          <w:lang w:val="en-US"/>
        </w:rPr>
        <w:t xml:space="preserve">покажува разлики со новата систематизација и оптималниот број на вработени потребни </w:t>
      </w:r>
      <w:r w:rsidRPr="00194389">
        <w:rPr>
          <w:rFonts w:ascii="StobiSerif Regular" w:hAnsi="StobiSerif Regular"/>
        </w:rPr>
        <w:t>на ТУ</w:t>
      </w:r>
      <w:r w:rsidRPr="00194389">
        <w:rPr>
          <w:rFonts w:ascii="StobiSerif Regular" w:hAnsi="StobiSerif Regular"/>
          <w:lang w:val="en-US"/>
        </w:rPr>
        <w:t xml:space="preserve"> за извршување на основните функции и одговорности. Разликите се во поглед на бројот на вработени и работни места односно анализата покажува дека се потребни повеќе советници.</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lang w:val="en-US"/>
        </w:rPr>
        <w:t xml:space="preserve">Во октомври 2015 година, </w:t>
      </w:r>
      <w:r w:rsidRPr="00194389">
        <w:rPr>
          <w:rFonts w:ascii="StobiSerif Regular" w:hAnsi="StobiSerif Regular"/>
        </w:rPr>
        <w:t xml:space="preserve">поднесено е </w:t>
      </w:r>
      <w:r w:rsidRPr="00194389">
        <w:rPr>
          <w:rFonts w:ascii="StobiSerif Regular" w:hAnsi="StobiSerif Regular"/>
          <w:lang w:val="en-US"/>
        </w:rPr>
        <w:t xml:space="preserve">барање за промоција / нови вработувања (Арх. </w:t>
      </w:r>
      <w:r w:rsidRPr="00194389">
        <w:rPr>
          <w:rFonts w:ascii="StobiSerif Regular" w:hAnsi="StobiSerif Regular"/>
        </w:rPr>
        <w:t xml:space="preserve">Бр. </w:t>
      </w:r>
      <w:r w:rsidRPr="00194389">
        <w:rPr>
          <w:rFonts w:ascii="StobiSerif Regular" w:hAnsi="StobiSerif Regular"/>
          <w:lang w:val="en-US"/>
        </w:rPr>
        <w:t xml:space="preserve">0401 -160 / 1) до Одделението за човечки ресурси </w:t>
      </w:r>
      <w:r w:rsidRPr="00194389">
        <w:rPr>
          <w:rFonts w:ascii="StobiSerif Regular" w:hAnsi="StobiSerif Regular"/>
        </w:rPr>
        <w:t>при</w:t>
      </w:r>
      <w:r w:rsidRPr="00194389">
        <w:rPr>
          <w:rFonts w:ascii="StobiSerif Regular" w:hAnsi="StobiSerif Regular"/>
          <w:lang w:val="en-US"/>
        </w:rPr>
        <w:t xml:space="preserve"> МЗШВ</w:t>
      </w:r>
      <w:r w:rsidRPr="00194389">
        <w:rPr>
          <w:rFonts w:ascii="StobiSerif Regular" w:hAnsi="StobiSerif Regular"/>
        </w:rPr>
        <w:t xml:space="preserve"> и</w:t>
      </w:r>
      <w:r w:rsidRPr="00194389">
        <w:rPr>
          <w:rFonts w:ascii="StobiSerif Regular" w:hAnsi="StobiSerif Regular"/>
          <w:lang w:val="en-US"/>
        </w:rPr>
        <w:t xml:space="preserve"> </w:t>
      </w:r>
      <w:r w:rsidRPr="00194389">
        <w:rPr>
          <w:rFonts w:ascii="StobiSerif Regular" w:hAnsi="StobiSerif Regular"/>
        </w:rPr>
        <w:t xml:space="preserve">беа побарани </w:t>
      </w:r>
      <w:r w:rsidRPr="00194389">
        <w:rPr>
          <w:rFonts w:ascii="StobiSerif Regular" w:hAnsi="StobiSerif Regular"/>
          <w:lang w:val="en-US"/>
        </w:rPr>
        <w:t xml:space="preserve"> следниве промоции / вработувања:</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lang w:val="en-US"/>
        </w:rPr>
        <w:t>• Раководител на Одделение за техничка помош и публицитет;</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lang w:val="en-US"/>
        </w:rPr>
        <w:t>• Советник за техничка подготовка, спроведување на јавни набавки и следење на договорите;</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lang w:val="en-US"/>
        </w:rPr>
        <w:t>• Советник за информирање и публицитет.</w:t>
      </w:r>
    </w:p>
    <w:p w:rsidR="00194389" w:rsidRPr="00194389" w:rsidRDefault="00194389" w:rsidP="00194389">
      <w:pPr>
        <w:spacing w:before="120" w:after="120" w:line="240" w:lineRule="auto"/>
        <w:ind w:firstLine="284"/>
        <w:jc w:val="both"/>
        <w:rPr>
          <w:rFonts w:ascii="StobiSerif Regular" w:hAnsi="StobiSerif Regular"/>
          <w:lang w:val="en-US"/>
        </w:rPr>
      </w:pPr>
      <w:r w:rsidRPr="00194389">
        <w:rPr>
          <w:rFonts w:ascii="StobiSerif Regular" w:hAnsi="StobiSerif Regular"/>
          <w:lang w:val="en-US"/>
        </w:rPr>
        <w:t>Со Одлука</w:t>
      </w:r>
      <w:r w:rsidRPr="00194389">
        <w:rPr>
          <w:rFonts w:ascii="StobiSerif Regular" w:hAnsi="StobiSerif Regular"/>
        </w:rPr>
        <w:t xml:space="preserve"> (Арх.</w:t>
      </w:r>
      <w:r w:rsidRPr="00194389">
        <w:rPr>
          <w:rFonts w:ascii="StobiSerif Regular" w:hAnsi="StobiSerif Regular"/>
          <w:lang w:val="en-US"/>
        </w:rPr>
        <w:t xml:space="preserve"> </w:t>
      </w:r>
      <w:r w:rsidRPr="00194389">
        <w:rPr>
          <w:rFonts w:ascii="StobiSerif Regular" w:hAnsi="StobiSerif Regular"/>
        </w:rPr>
        <w:t>бр</w:t>
      </w:r>
      <w:r w:rsidRPr="00194389">
        <w:rPr>
          <w:rFonts w:ascii="StobiSerif Regular" w:hAnsi="StobiSerif Regular"/>
          <w:lang w:val="en-US"/>
        </w:rPr>
        <w:t>.04-585/2</w:t>
      </w:r>
      <w:r w:rsidRPr="00194389">
        <w:rPr>
          <w:rFonts w:ascii="StobiSerif Regular" w:hAnsi="StobiSerif Regular"/>
        </w:rPr>
        <w:t>)</w:t>
      </w:r>
      <w:r w:rsidRPr="00194389">
        <w:rPr>
          <w:rFonts w:ascii="StobiSerif Regular" w:hAnsi="StobiSerif Regular"/>
          <w:lang w:val="en-US"/>
        </w:rPr>
        <w:t xml:space="preserve"> од 18-ти јануари 2016 година, Маргарита Делева, Раководител на </w:t>
      </w:r>
      <w:r w:rsidRPr="00194389">
        <w:rPr>
          <w:rFonts w:ascii="StobiSerif Regular" w:hAnsi="StobiSerif Regular"/>
        </w:rPr>
        <w:t>ТУ</w:t>
      </w:r>
      <w:r w:rsidRPr="00194389">
        <w:rPr>
          <w:rFonts w:ascii="StobiSerif Regular" w:hAnsi="StobiSerif Regular"/>
          <w:lang w:val="en-US"/>
        </w:rPr>
        <w:t xml:space="preserve"> поднесе оставка од позицијата државен советник во МЗШВ. Како нов </w:t>
      </w:r>
      <w:r w:rsidRPr="00194389">
        <w:rPr>
          <w:rFonts w:ascii="StobiSerif Regular" w:hAnsi="StobiSerif Regular"/>
        </w:rPr>
        <w:t xml:space="preserve">раководител на Телото за управување со ИПАРД за програмскиот период </w:t>
      </w:r>
      <w:r w:rsidRPr="00194389">
        <w:rPr>
          <w:rFonts w:ascii="StobiSerif Regular" w:hAnsi="StobiSerif Regular"/>
          <w:lang w:val="en-US"/>
        </w:rPr>
        <w:t>2007-2013, како и за</w:t>
      </w:r>
      <w:r w:rsidRPr="00194389">
        <w:rPr>
          <w:rFonts w:ascii="StobiSerif Regular" w:hAnsi="StobiSerif Regular"/>
        </w:rPr>
        <w:t xml:space="preserve"> програмскиот период</w:t>
      </w:r>
      <w:r w:rsidRPr="00194389">
        <w:rPr>
          <w:rFonts w:ascii="StobiSerif Regular" w:hAnsi="StobiSerif Regular"/>
          <w:lang w:val="en-US"/>
        </w:rPr>
        <w:t xml:space="preserve"> ИПАРД 2014-2020, </w:t>
      </w:r>
      <w:r w:rsidRPr="00194389">
        <w:rPr>
          <w:rFonts w:ascii="StobiSerif Regular" w:hAnsi="StobiSerif Regular"/>
        </w:rPr>
        <w:t xml:space="preserve">беше назначена </w:t>
      </w:r>
      <w:r w:rsidRPr="00194389">
        <w:rPr>
          <w:rFonts w:ascii="StobiSerif Regular" w:hAnsi="StobiSerif Regular"/>
          <w:lang w:val="en-US"/>
        </w:rPr>
        <w:t>Билјана Костовска (Службен весник Бр.68 од 06. април 2016 година).</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rPr>
        <w:t>Во Одделението за програмирање и евалуација на ИПАРД Програмата, беа реализирани 3 нови вработувања односно</w:t>
      </w:r>
      <w:r w:rsidRPr="00194389">
        <w:rPr>
          <w:rFonts w:ascii="StobiSerif Regular" w:hAnsi="StobiSerif Regular"/>
          <w:lang w:val="en-US"/>
        </w:rPr>
        <w:t xml:space="preserve"> 4 нови вработувања во </w:t>
      </w:r>
      <w:r w:rsidRPr="00194389">
        <w:rPr>
          <w:rFonts w:ascii="StobiSerif Regular" w:hAnsi="StobiSerif Regular"/>
        </w:rPr>
        <w:t>ТУ</w:t>
      </w:r>
      <w:r w:rsidRPr="00194389">
        <w:rPr>
          <w:rFonts w:ascii="StobiSerif Regular" w:hAnsi="StobiSerif Regular"/>
          <w:lang w:val="en-US"/>
        </w:rPr>
        <w:t xml:space="preserve"> во текот на 2015 и 2016 година и тоа:</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lang w:val="en-US"/>
        </w:rPr>
        <w:t>- Помлад соработник за програмирање во Одделението за програмирање и евалуација на ИПАРД фондовите (Решение бр. 04-9577 / 211 од 11.09. 2015);</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lang w:val="en-US"/>
        </w:rPr>
        <w:t xml:space="preserve">- Помлад соработник за административна поддршка и </w:t>
      </w:r>
      <w:r w:rsidRPr="00194389">
        <w:rPr>
          <w:rFonts w:ascii="StobiSerif Regular" w:hAnsi="StobiSerif Regular"/>
        </w:rPr>
        <w:t>евиденција</w:t>
      </w:r>
      <w:r w:rsidRPr="00194389">
        <w:rPr>
          <w:rFonts w:ascii="StobiSerif Regular" w:hAnsi="StobiSerif Regular"/>
          <w:lang w:val="en-US"/>
        </w:rPr>
        <w:t xml:space="preserve"> во Одделението за координација на подготвителните активности за агро-еколошки мерки и "Лидер" во рамките на ИПАРД фондови</w:t>
      </w:r>
      <w:r w:rsidRPr="00194389">
        <w:rPr>
          <w:rFonts w:ascii="StobiSerif Regular" w:hAnsi="StobiSerif Regular"/>
        </w:rPr>
        <w:t>те</w:t>
      </w:r>
      <w:r w:rsidRPr="00194389">
        <w:rPr>
          <w:rFonts w:ascii="StobiSerif Regular" w:hAnsi="StobiSerif Regular"/>
          <w:lang w:val="en-US"/>
        </w:rPr>
        <w:t xml:space="preserve"> (Решение бр 04- 2370/1 од 22</w:t>
      </w:r>
      <w:r w:rsidRPr="00194389">
        <w:rPr>
          <w:rFonts w:ascii="StobiSerif Regular" w:hAnsi="StobiSerif Regular"/>
        </w:rPr>
        <w:t>.02.</w:t>
      </w:r>
      <w:r w:rsidRPr="00194389">
        <w:rPr>
          <w:rFonts w:ascii="StobiSerif Regular" w:hAnsi="StobiSerif Regular"/>
          <w:lang w:val="en-US"/>
        </w:rPr>
        <w:t xml:space="preserve"> 2016 година);</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lang w:val="en-US"/>
        </w:rPr>
        <w:t xml:space="preserve">- Помлад соработник за поддршка на </w:t>
      </w:r>
      <w:r w:rsidRPr="00194389">
        <w:rPr>
          <w:rFonts w:ascii="StobiSerif Regular" w:hAnsi="StobiSerif Regular"/>
        </w:rPr>
        <w:t>следење</w:t>
      </w:r>
      <w:r w:rsidRPr="00194389">
        <w:rPr>
          <w:rFonts w:ascii="StobiSerif Regular" w:hAnsi="StobiSerif Regular"/>
          <w:lang w:val="en-US"/>
        </w:rPr>
        <w:t xml:space="preserve"> и координација во Одделението за следење и имплементација на ИПАРД фондовите и известување (Решение бр 04- 2373/1 од 22</w:t>
      </w:r>
      <w:r w:rsidRPr="00194389">
        <w:rPr>
          <w:rFonts w:ascii="StobiSerif Regular" w:hAnsi="StobiSerif Regular"/>
        </w:rPr>
        <w:t>.02.</w:t>
      </w:r>
      <w:r w:rsidRPr="00194389">
        <w:rPr>
          <w:rFonts w:ascii="StobiSerif Regular" w:hAnsi="StobiSerif Regular"/>
          <w:lang w:val="en-US"/>
        </w:rPr>
        <w:t xml:space="preserve"> 2016 година);</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lang w:val="en-US"/>
        </w:rPr>
        <w:t>- Помлад соработник за поддршка на</w:t>
      </w:r>
      <w:r w:rsidRPr="00194389">
        <w:rPr>
          <w:rFonts w:ascii="StobiSerif Regular" w:hAnsi="StobiSerif Regular"/>
        </w:rPr>
        <w:t xml:space="preserve"> програмските</w:t>
      </w:r>
      <w:r w:rsidRPr="00194389">
        <w:rPr>
          <w:rFonts w:ascii="StobiSerif Regular" w:hAnsi="StobiSerif Regular"/>
          <w:lang w:val="en-US"/>
        </w:rPr>
        <w:t xml:space="preserve"> функции во Одделението за програмирање и евалуација на ИПАРД фондовите (</w:t>
      </w:r>
      <w:r w:rsidRPr="00194389">
        <w:rPr>
          <w:rFonts w:ascii="StobiSerif Regular" w:hAnsi="StobiSerif Regular"/>
        </w:rPr>
        <w:t>Решение бр</w:t>
      </w:r>
      <w:r w:rsidRPr="00194389">
        <w:rPr>
          <w:rFonts w:ascii="StobiSerif Regular" w:hAnsi="StobiSerif Regular"/>
          <w:lang w:val="en-US"/>
        </w:rPr>
        <w:t>.04- 7020/1 од 13</w:t>
      </w:r>
      <w:r w:rsidRPr="00194389">
        <w:rPr>
          <w:rFonts w:ascii="StobiSerif Regular" w:hAnsi="StobiSerif Regular"/>
        </w:rPr>
        <w:t>.07.</w:t>
      </w:r>
      <w:r w:rsidRPr="00194389">
        <w:rPr>
          <w:rFonts w:ascii="StobiSerif Regular" w:hAnsi="StobiSerif Regular"/>
          <w:lang w:val="en-US"/>
        </w:rPr>
        <w:t xml:space="preserve"> 2016 година).</w:t>
      </w:r>
    </w:p>
    <w:p w:rsidR="00194389" w:rsidRPr="00194389" w:rsidRDefault="00194389" w:rsidP="003D3D92">
      <w:pPr>
        <w:spacing w:before="120" w:after="120" w:line="240" w:lineRule="auto"/>
        <w:jc w:val="both"/>
        <w:rPr>
          <w:rFonts w:ascii="StobiSerif Regular" w:hAnsi="StobiSerif Regular"/>
          <w:lang w:val="en-US"/>
        </w:rPr>
      </w:pPr>
      <w:r w:rsidRPr="00194389">
        <w:rPr>
          <w:rFonts w:ascii="StobiSerif Regular" w:hAnsi="StobiSerif Regular"/>
        </w:rPr>
        <w:t xml:space="preserve">Моментално </w:t>
      </w:r>
      <w:r w:rsidRPr="00194389">
        <w:rPr>
          <w:rFonts w:ascii="StobiSerif Regular" w:hAnsi="StobiSerif Regular"/>
          <w:lang w:val="en-US"/>
        </w:rPr>
        <w:t>број</w:t>
      </w:r>
      <w:r w:rsidRPr="00194389">
        <w:rPr>
          <w:rFonts w:ascii="StobiSerif Regular" w:hAnsi="StobiSerif Regular"/>
        </w:rPr>
        <w:t>от</w:t>
      </w:r>
      <w:r w:rsidRPr="00194389">
        <w:rPr>
          <w:rFonts w:ascii="StobiSerif Regular" w:hAnsi="StobiSerif Regular"/>
          <w:lang w:val="en-US"/>
        </w:rPr>
        <w:t xml:space="preserve"> на вработени во </w:t>
      </w:r>
      <w:r w:rsidRPr="00194389">
        <w:rPr>
          <w:rFonts w:ascii="StobiSerif Regular" w:hAnsi="StobiSerif Regular"/>
        </w:rPr>
        <w:t>ТУ</w:t>
      </w:r>
      <w:r w:rsidRPr="00194389">
        <w:rPr>
          <w:rFonts w:ascii="StobiSerif Regular" w:hAnsi="StobiSerif Regular"/>
          <w:lang w:val="en-US"/>
        </w:rPr>
        <w:t xml:space="preserve"> е 18, вклучувајќи</w:t>
      </w:r>
      <w:r w:rsidRPr="00194389">
        <w:rPr>
          <w:rFonts w:ascii="StobiSerif Regular" w:hAnsi="StobiSerif Regular"/>
        </w:rPr>
        <w:t xml:space="preserve"> го РТУ</w:t>
      </w:r>
      <w:r w:rsidRPr="00194389">
        <w:rPr>
          <w:rFonts w:ascii="StobiSerif Regular" w:hAnsi="StobiSerif Regular"/>
          <w:lang w:val="en-US"/>
        </w:rPr>
        <w:t xml:space="preserve"> (16 работат на ИПАРД акредитирани мерки и двајца вработени во Одделението за координација на подготвителните активности за агро-еколошки мерки и "Лидер" во рамките на ИПАРД средствата кои се уште не </w:t>
      </w:r>
      <w:r w:rsidRPr="00194389">
        <w:rPr>
          <w:rFonts w:ascii="StobiSerif Regular" w:hAnsi="StobiSerif Regular"/>
        </w:rPr>
        <w:t>с</w:t>
      </w:r>
      <w:r w:rsidRPr="00194389">
        <w:rPr>
          <w:rFonts w:ascii="StobiSerif Regular" w:hAnsi="StobiSerif Regular"/>
          <w:lang w:val="en-US"/>
        </w:rPr>
        <w:t>е акредитирани во рамките на ИПАРД програма).</w:t>
      </w:r>
    </w:p>
    <w:p w:rsidR="00194389" w:rsidRPr="00194389" w:rsidRDefault="00194389" w:rsidP="003D3D92">
      <w:pPr>
        <w:spacing w:before="120" w:after="120" w:line="240" w:lineRule="auto"/>
        <w:jc w:val="both"/>
        <w:rPr>
          <w:rFonts w:ascii="StobiSerif Regular" w:hAnsi="StobiSerif Regular"/>
          <w:lang w:val="en-US"/>
        </w:rPr>
      </w:pPr>
      <w:r w:rsidRPr="00194389">
        <w:rPr>
          <w:rFonts w:ascii="StobiSerif Regular" w:hAnsi="StobiSerif Regular"/>
        </w:rPr>
        <w:t xml:space="preserve">Анализа на </w:t>
      </w:r>
      <w:r w:rsidRPr="00194389">
        <w:rPr>
          <w:rFonts w:ascii="StobiSerif Regular" w:hAnsi="StobiSerif Regular"/>
          <w:lang w:val="en-US"/>
        </w:rPr>
        <w:t>обемот на работа</w:t>
      </w:r>
      <w:r w:rsidR="003D3D92">
        <w:rPr>
          <w:rFonts w:ascii="StobiSerif Regular" w:hAnsi="StobiSerif Regular"/>
        </w:rPr>
        <w:t xml:space="preserve"> (АОР)</w:t>
      </w:r>
      <w:r w:rsidRPr="00194389">
        <w:rPr>
          <w:rFonts w:ascii="StobiSerif Regular" w:hAnsi="StobiSerif Regular"/>
          <w:lang w:val="en-US"/>
        </w:rPr>
        <w:t xml:space="preserve"> за 2017 година (план за вработување за 2018/2019) е изготвен </w:t>
      </w:r>
      <w:r w:rsidR="003D3D92">
        <w:rPr>
          <w:rFonts w:ascii="StobiSerif Regular" w:hAnsi="StobiSerif Regular"/>
        </w:rPr>
        <w:t>и доставен до НАО.</w:t>
      </w:r>
      <w:r w:rsidRPr="00194389">
        <w:rPr>
          <w:rFonts w:ascii="StobiSerif Regular" w:hAnsi="StobiSerif Regular"/>
          <w:lang w:val="en-US"/>
        </w:rPr>
        <w:t xml:space="preserve"> Во согласност со крајната </w:t>
      </w:r>
      <w:r w:rsidRPr="00194389">
        <w:rPr>
          <w:rFonts w:ascii="StobiSerif Regular" w:hAnsi="StobiSerif Regular"/>
        </w:rPr>
        <w:t xml:space="preserve">АОР </w:t>
      </w:r>
      <w:r w:rsidRPr="00194389">
        <w:rPr>
          <w:rFonts w:ascii="StobiSerif Regular" w:hAnsi="StobiSerif Regular"/>
          <w:lang w:val="en-US"/>
        </w:rPr>
        <w:t xml:space="preserve">за 2017 година, </w:t>
      </w:r>
      <w:r w:rsidRPr="00194389">
        <w:rPr>
          <w:rFonts w:ascii="StobiSerif Regular" w:hAnsi="StobiSerif Regular"/>
        </w:rPr>
        <w:t>МА</w:t>
      </w:r>
      <w:r w:rsidRPr="00194389">
        <w:rPr>
          <w:rFonts w:ascii="StobiSerif Regular" w:hAnsi="StobiSerif Regular"/>
          <w:lang w:val="en-US"/>
        </w:rPr>
        <w:t xml:space="preserve"> официјално побара промени во актот за систематизација за ИПАРД </w:t>
      </w:r>
      <w:r w:rsidRPr="00194389">
        <w:rPr>
          <w:rFonts w:ascii="StobiSerif Regular" w:hAnsi="StobiSerif Regular"/>
        </w:rPr>
        <w:t>секторот</w:t>
      </w:r>
      <w:r w:rsidRPr="00194389">
        <w:rPr>
          <w:rFonts w:ascii="StobiSerif Regular" w:hAnsi="StobiSerif Regular"/>
          <w:lang w:val="en-US"/>
        </w:rPr>
        <w:t xml:space="preserve">, на </w:t>
      </w:r>
      <w:r w:rsidRPr="00194389">
        <w:rPr>
          <w:rFonts w:ascii="StobiSerif Regular" w:hAnsi="StobiSerif Regular"/>
        </w:rPr>
        <w:t>20.10.2016</w:t>
      </w:r>
      <w:r w:rsidRPr="00194389">
        <w:rPr>
          <w:rFonts w:ascii="StobiSerif Regular" w:hAnsi="StobiSerif Regular"/>
          <w:lang w:val="en-US"/>
        </w:rPr>
        <w:t xml:space="preserve">, а барањето за </w:t>
      </w:r>
      <w:r w:rsidR="003D3D92">
        <w:rPr>
          <w:rFonts w:ascii="StobiSerif Regular" w:hAnsi="StobiSerif Regular"/>
        </w:rPr>
        <w:t>унапредувања</w:t>
      </w:r>
      <w:r w:rsidRPr="00194389">
        <w:rPr>
          <w:rFonts w:ascii="StobiSerif Regular" w:hAnsi="StobiSerif Regular"/>
          <w:lang w:val="en-US"/>
        </w:rPr>
        <w:t xml:space="preserve"> и нови вработувања за Раководител на Одделение за програмирање и евалуација и Раководител на Одделението за </w:t>
      </w:r>
      <w:r w:rsidRPr="00194389">
        <w:rPr>
          <w:rFonts w:ascii="StobiSerif Regular" w:hAnsi="StobiSerif Regular"/>
        </w:rPr>
        <w:t>спроведување на Техничка помош од ИПАРД фондови</w:t>
      </w:r>
      <w:r w:rsidRPr="00194389">
        <w:rPr>
          <w:rFonts w:ascii="StobiSerif Regular" w:hAnsi="StobiSerif Regular"/>
          <w:lang w:val="en-US"/>
        </w:rPr>
        <w:t xml:space="preserve"> беа доставени до Одделението за човечки ресурси </w:t>
      </w:r>
      <w:r w:rsidRPr="00194389">
        <w:rPr>
          <w:rFonts w:ascii="StobiSerif Regular" w:hAnsi="StobiSerif Regular"/>
        </w:rPr>
        <w:t>при</w:t>
      </w:r>
      <w:r w:rsidRPr="00194389">
        <w:rPr>
          <w:rFonts w:ascii="StobiSerif Regular" w:hAnsi="StobiSerif Regular"/>
          <w:lang w:val="en-US"/>
        </w:rPr>
        <w:t xml:space="preserve"> МЗШВ во претходната година.</w:t>
      </w:r>
      <w:r w:rsidR="00B81C90" w:rsidRPr="00B81C90">
        <w:t xml:space="preserve"> </w:t>
      </w:r>
      <w:r w:rsidR="00B81C90" w:rsidRPr="00B81C90">
        <w:rPr>
          <w:rFonts w:ascii="StobiSerif Regular" w:hAnsi="StobiSerif Regular"/>
          <w:lang w:val="en-US"/>
        </w:rPr>
        <w:t xml:space="preserve">Поради изборниот процес немаше законски можности за нови вработувања / </w:t>
      </w:r>
      <w:r w:rsidR="003D3D92">
        <w:rPr>
          <w:rFonts w:ascii="StobiSerif Regular" w:hAnsi="StobiSerif Regular"/>
        </w:rPr>
        <w:t>унапредувања</w:t>
      </w:r>
      <w:r w:rsidR="00B81C90" w:rsidRPr="00B81C90">
        <w:rPr>
          <w:rFonts w:ascii="StobiSerif Regular" w:hAnsi="StobiSerif Regular"/>
          <w:lang w:val="en-US"/>
        </w:rPr>
        <w:t>.</w:t>
      </w:r>
    </w:p>
    <w:p w:rsidR="00194389" w:rsidRPr="00194389" w:rsidRDefault="00194389" w:rsidP="00194389">
      <w:pPr>
        <w:spacing w:before="120" w:after="120" w:line="240" w:lineRule="auto"/>
        <w:jc w:val="both"/>
        <w:rPr>
          <w:rFonts w:ascii="StobiSerif Regular" w:hAnsi="StobiSerif Regular"/>
          <w:lang w:val="en-US"/>
        </w:rPr>
      </w:pPr>
      <w:r w:rsidRPr="00194389">
        <w:rPr>
          <w:rFonts w:ascii="StobiSerif Regular" w:hAnsi="StobiSerif Regular"/>
          <w:lang w:val="en-US"/>
        </w:rPr>
        <w:t>Во текот на 2016 година</w:t>
      </w:r>
      <w:r w:rsidRPr="00194389">
        <w:rPr>
          <w:rFonts w:ascii="StobiSerif Regular" w:hAnsi="StobiSerif Regular"/>
        </w:rPr>
        <w:t xml:space="preserve"> не беа објавени јавни повици</w:t>
      </w:r>
      <w:r w:rsidRPr="00194389">
        <w:rPr>
          <w:rFonts w:ascii="StobiSerif Regular" w:hAnsi="StobiSerif Regular"/>
          <w:lang w:val="en-US"/>
        </w:rPr>
        <w:t xml:space="preserve">. Во </w:t>
      </w:r>
      <w:r w:rsidRPr="00194389">
        <w:rPr>
          <w:rFonts w:ascii="StobiSerif Regular" w:hAnsi="StobiSerif Regular"/>
        </w:rPr>
        <w:t xml:space="preserve">однос на активностите за публицитет како и </w:t>
      </w:r>
      <w:r w:rsidRPr="00194389">
        <w:rPr>
          <w:rFonts w:ascii="StobiSerif Regular" w:hAnsi="StobiSerif Regular"/>
          <w:lang w:val="en-US"/>
        </w:rPr>
        <w:t xml:space="preserve"> AПТА-та за 2016 година,  во 30 општини</w:t>
      </w:r>
      <w:r w:rsidRPr="00194389">
        <w:rPr>
          <w:rFonts w:ascii="StobiSerif Regular" w:hAnsi="StobiSerif Regular"/>
        </w:rPr>
        <w:t xml:space="preserve"> </w:t>
      </w:r>
      <w:r w:rsidRPr="00194389">
        <w:rPr>
          <w:rFonts w:ascii="StobiSerif Regular" w:hAnsi="StobiSerif Regular"/>
          <w:lang w:val="en-US"/>
        </w:rPr>
        <w:t xml:space="preserve">(45 населби) </w:t>
      </w:r>
      <w:r w:rsidRPr="00194389">
        <w:rPr>
          <w:rFonts w:ascii="StobiSerif Regular" w:hAnsi="StobiSerif Regular"/>
        </w:rPr>
        <w:t xml:space="preserve"> беа одржани</w:t>
      </w:r>
      <w:r w:rsidRPr="00194389">
        <w:rPr>
          <w:rFonts w:ascii="StobiSerif Regular" w:hAnsi="StobiSerif Regular"/>
          <w:lang w:val="en-US"/>
        </w:rPr>
        <w:t xml:space="preserve"> инфо денови. </w:t>
      </w:r>
      <w:r w:rsidRPr="00194389">
        <w:rPr>
          <w:rFonts w:ascii="StobiSerif Regular" w:hAnsi="StobiSerif Regular"/>
        </w:rPr>
        <w:t xml:space="preserve">Беа презентирани/ објаснети </w:t>
      </w:r>
      <w:r w:rsidRPr="00194389">
        <w:rPr>
          <w:rFonts w:ascii="StobiSerif Regular" w:hAnsi="StobiSerif Regular"/>
          <w:lang w:val="en-US"/>
        </w:rPr>
        <w:t>новите измени и барања во постапката за аплицирање</w:t>
      </w:r>
      <w:r w:rsidRPr="00194389">
        <w:rPr>
          <w:rFonts w:ascii="StobiSerif Regular" w:hAnsi="StobiSerif Regular"/>
        </w:rPr>
        <w:t xml:space="preserve"> ка</w:t>
      </w:r>
      <w:r w:rsidRPr="00194389">
        <w:rPr>
          <w:rFonts w:ascii="StobiSerif Regular" w:hAnsi="StobiSerif Regular"/>
          <w:lang w:val="en-US"/>
        </w:rPr>
        <w:t>ко и можнос</w:t>
      </w:r>
      <w:r w:rsidRPr="00194389">
        <w:rPr>
          <w:rFonts w:ascii="StobiSerif Regular" w:hAnsi="StobiSerif Regular"/>
        </w:rPr>
        <w:t>а</w:t>
      </w:r>
      <w:r w:rsidRPr="00194389">
        <w:rPr>
          <w:rFonts w:ascii="StobiSerif Regular" w:hAnsi="StobiSerif Regular"/>
          <w:lang w:val="en-US"/>
        </w:rPr>
        <w:t>т за користење на средства</w:t>
      </w:r>
      <w:r w:rsidRPr="00194389">
        <w:rPr>
          <w:rFonts w:ascii="StobiSerif Regular" w:hAnsi="StobiSerif Regular"/>
        </w:rPr>
        <w:t xml:space="preserve"> од Гарантниот Фонд</w:t>
      </w:r>
      <w:r w:rsidRPr="00194389">
        <w:rPr>
          <w:rFonts w:ascii="StobiSerif Regular" w:hAnsi="StobiSerif Regular"/>
          <w:lang w:val="en-US"/>
        </w:rPr>
        <w:t>.</w:t>
      </w:r>
    </w:p>
    <w:bookmarkEnd w:id="80"/>
    <w:p w:rsidR="00194389" w:rsidRPr="00194389" w:rsidRDefault="00194389" w:rsidP="00194389">
      <w:pPr>
        <w:spacing w:before="120" w:after="120" w:line="240" w:lineRule="auto"/>
        <w:jc w:val="both"/>
        <w:rPr>
          <w:rFonts w:ascii="StobiSerif Regular" w:eastAsia="Calibri" w:hAnsi="StobiSerif Regular" w:cs="Times New Roman"/>
          <w:b/>
        </w:rPr>
      </w:pPr>
      <w:r w:rsidRPr="00194389">
        <w:rPr>
          <w:rFonts w:ascii="StobiSerif Regular" w:hAnsi="StobiSerif Regular"/>
          <w:b/>
          <w:lang w:val="en-US"/>
        </w:rPr>
        <w:t xml:space="preserve">- </w:t>
      </w:r>
      <w:r w:rsidRPr="00194389">
        <w:rPr>
          <w:rFonts w:ascii="StobiSerif Regular" w:eastAsia="Calibri" w:hAnsi="StobiSerif Regular" w:cs="Times New Roman"/>
          <w:b/>
        </w:rPr>
        <w:t>Воспоставување на гаратен фонд во соработка со УСАИД;</w:t>
      </w:r>
    </w:p>
    <w:p w:rsidR="00194389" w:rsidRPr="00194389" w:rsidRDefault="00194389" w:rsidP="00194389">
      <w:pPr>
        <w:spacing w:before="120" w:after="120"/>
        <w:jc w:val="both"/>
        <w:rPr>
          <w:rFonts w:ascii="StobiSerif Regular" w:hAnsi="StobiSerif Regular"/>
          <w:highlight w:val="yellow"/>
          <w:lang w:val="en-US"/>
        </w:rPr>
      </w:pPr>
      <w:r w:rsidRPr="00194389">
        <w:rPr>
          <w:rFonts w:ascii="StobiSerif Regular" w:hAnsi="StobiSerif Regular"/>
          <w:lang w:val="en-US"/>
        </w:rPr>
        <w:t xml:space="preserve">Во јули 2015 година, беше потпишан договор за соработка меѓу Владата на Република Македонија и Агенцијата за меѓународен развој на САД (УСАИД) за </w:t>
      </w:r>
      <w:r w:rsidRPr="00194389">
        <w:rPr>
          <w:rFonts w:ascii="StobiSerif Regular" w:hAnsi="StobiSerif Regular"/>
        </w:rPr>
        <w:t>вос</w:t>
      </w:r>
      <w:r w:rsidRPr="00194389">
        <w:rPr>
          <w:rFonts w:ascii="StobiSerif Regular" w:hAnsi="StobiSerif Regular"/>
          <w:lang w:val="en-US"/>
        </w:rPr>
        <w:t xml:space="preserve">поставување на банкарска гаранциска шема за земјоделство и рурален развој во Република Македонија. Гарантниот фонд </w:t>
      </w:r>
      <w:r w:rsidRPr="00194389">
        <w:rPr>
          <w:rFonts w:ascii="StobiSerif Regular" w:hAnsi="StobiSerif Regular"/>
        </w:rPr>
        <w:t xml:space="preserve">функционира </w:t>
      </w:r>
      <w:r w:rsidRPr="00194389">
        <w:rPr>
          <w:rFonts w:ascii="StobiSerif Regular" w:hAnsi="StobiSerif Regular"/>
          <w:lang w:val="en-US"/>
        </w:rPr>
        <w:t xml:space="preserve">со четири комерцијални банки и две штедилници. </w:t>
      </w:r>
      <w:r w:rsidRPr="00194389">
        <w:rPr>
          <w:rFonts w:ascii="StobiSerif Regular" w:hAnsi="StobiSerif Regular"/>
        </w:rPr>
        <w:t>Банкарските гаранции</w:t>
      </w:r>
      <w:r w:rsidRPr="00194389">
        <w:rPr>
          <w:rFonts w:ascii="StobiSerif Regular" w:hAnsi="StobiSerif Regular"/>
          <w:lang w:val="en-US"/>
        </w:rPr>
        <w:t xml:space="preserve"> се примарно наменети за ИПАРД корисници</w:t>
      </w:r>
      <w:r w:rsidRPr="00194389">
        <w:rPr>
          <w:rFonts w:ascii="StobiSerif Regular" w:hAnsi="StobiSerif Regular"/>
        </w:rPr>
        <w:t>те</w:t>
      </w:r>
      <w:r w:rsidRPr="00194389">
        <w:rPr>
          <w:rFonts w:ascii="StobiSerif Regular" w:hAnsi="StobiSerif Regular"/>
          <w:lang w:val="en-US"/>
        </w:rPr>
        <w:t xml:space="preserve">, но исто така и за други инвестиции за модернизација на земјоделското производство и за поддршка на малите бизниси во руралните средини. Фондот беше </w:t>
      </w:r>
      <w:r w:rsidRPr="00194389">
        <w:rPr>
          <w:rFonts w:ascii="StobiSerif Regular" w:hAnsi="StobiSerif Regular"/>
        </w:rPr>
        <w:t xml:space="preserve">воспоставен во </w:t>
      </w:r>
      <w:r w:rsidRPr="00194389">
        <w:rPr>
          <w:rFonts w:ascii="StobiSerif Regular" w:hAnsi="StobiSerif Regular"/>
          <w:lang w:val="en-US"/>
        </w:rPr>
        <w:t xml:space="preserve"> 2016 година </w:t>
      </w:r>
      <w:r w:rsidRPr="00194389">
        <w:rPr>
          <w:rFonts w:ascii="StobiSerif Regular" w:eastAsia="Calibri" w:hAnsi="StobiSerif Regular" w:cs="Times New Roman"/>
        </w:rPr>
        <w:t xml:space="preserve">и ќе функционира </w:t>
      </w:r>
      <w:r w:rsidR="00CA7ABA">
        <w:rPr>
          <w:rFonts w:ascii="StobiSerif Regular" w:eastAsia="Calibri" w:hAnsi="StobiSerif Regular" w:cs="Times New Roman"/>
        </w:rPr>
        <w:t>со средства во</w:t>
      </w:r>
      <w:r w:rsidRPr="00194389">
        <w:rPr>
          <w:rFonts w:ascii="StobiSerif Regular" w:eastAsia="Calibri" w:hAnsi="StobiSerif Regular" w:cs="Times New Roman"/>
        </w:rPr>
        <w:t xml:space="preserve"> висина од 20 милиони американски долари </w:t>
      </w:r>
      <w:r w:rsidR="00CA7ABA">
        <w:rPr>
          <w:rFonts w:ascii="StobiSerif Regular" w:eastAsia="Calibri" w:hAnsi="StobiSerif Regular" w:cs="Times New Roman"/>
        </w:rPr>
        <w:t xml:space="preserve">кои </w:t>
      </w:r>
      <w:r w:rsidRPr="00194389">
        <w:rPr>
          <w:rFonts w:ascii="StobiSerif Regular" w:eastAsia="Calibri" w:hAnsi="StobiSerif Regular" w:cs="Times New Roman"/>
        </w:rPr>
        <w:t xml:space="preserve">треба да бидат дистрибуирани преку овој фонд. </w:t>
      </w:r>
      <w:r w:rsidRPr="00194389">
        <w:rPr>
          <w:rFonts w:ascii="StobiSerif Regular" w:hAnsi="StobiSerif Regular"/>
        </w:rPr>
        <w:t xml:space="preserve">Истиот </w:t>
      </w:r>
      <w:r w:rsidRPr="00194389">
        <w:rPr>
          <w:rFonts w:ascii="StobiSerif Regular" w:hAnsi="StobiSerif Regular"/>
          <w:lang w:val="en-US"/>
        </w:rPr>
        <w:t>ќе обезбеди до 50% гаранција за заем на банката.</w:t>
      </w:r>
      <w:r w:rsidR="00CA7ABA" w:rsidRPr="00CA7ABA">
        <w:t xml:space="preserve"> </w:t>
      </w:r>
      <w:r w:rsidR="00CA7ABA" w:rsidRPr="00CA7ABA">
        <w:rPr>
          <w:rFonts w:ascii="StobiSerif Regular" w:hAnsi="StobiSerif Regular"/>
          <w:lang w:val="en-US"/>
        </w:rPr>
        <w:t>Од последниот извештај добиен од УСАИД, осум кредити за поддршка на ИПАРД-апликации со вкупна вредност од 43.551.260 денари (759.924 долари) се исплатени со поддршка на овој гарантен фонд</w:t>
      </w:r>
    </w:p>
    <w:p w:rsidR="00194389" w:rsidRPr="00194389" w:rsidRDefault="00194389" w:rsidP="00194389">
      <w:pPr>
        <w:spacing w:before="120" w:after="120"/>
        <w:jc w:val="both"/>
        <w:rPr>
          <w:rFonts w:ascii="StobiSerif Regular" w:hAnsi="StobiSerif Regular"/>
          <w:b/>
          <w:lang w:val="en-US"/>
        </w:rPr>
      </w:pPr>
      <w:r w:rsidRPr="00194389">
        <w:rPr>
          <w:rFonts w:ascii="StobiSerif Regular" w:hAnsi="StobiSerif Regular"/>
          <w:b/>
          <w:lang w:val="en-US"/>
        </w:rPr>
        <w:t xml:space="preserve">- </w:t>
      </w:r>
      <w:r w:rsidRPr="00194389">
        <w:rPr>
          <w:rFonts w:ascii="StobiSerif Regular" w:eastAsia="Calibri" w:hAnsi="StobiSerif Regular" w:cs="Times New Roman"/>
          <w:b/>
        </w:rPr>
        <w:t>Финансиски инструмент за субвенционирање на каматните стапки за кредити  за ИПАРД инвестиции;</w:t>
      </w:r>
    </w:p>
    <w:p w:rsidR="00194389" w:rsidRPr="00194389" w:rsidRDefault="00194389" w:rsidP="00194389">
      <w:pPr>
        <w:spacing w:before="120" w:after="120"/>
        <w:ind w:firstLine="284"/>
        <w:jc w:val="both"/>
        <w:rPr>
          <w:rFonts w:ascii="StobiSerif Regular" w:hAnsi="StobiSerif Regular"/>
          <w:lang w:val="en-US"/>
        </w:rPr>
      </w:pPr>
      <w:r w:rsidRPr="00194389">
        <w:rPr>
          <w:rFonts w:ascii="StobiSerif Regular" w:hAnsi="StobiSerif Regular"/>
          <w:lang w:val="en-US"/>
        </w:rPr>
        <w:t>Во Националната програма за финансиска поддршка на руралниот развој за 2016 година (Службен весник на РМ бр</w:t>
      </w:r>
      <w:r w:rsidRPr="00194389">
        <w:rPr>
          <w:rFonts w:ascii="StobiSerif Regular" w:hAnsi="StobiSerif Regular"/>
        </w:rPr>
        <w:t>.</w:t>
      </w:r>
      <w:r w:rsidRPr="00194389">
        <w:rPr>
          <w:rFonts w:ascii="StobiSerif Regular" w:hAnsi="StobiSerif Regular"/>
          <w:lang w:val="en-US"/>
        </w:rPr>
        <w:t xml:space="preserve"> 6 од </w:t>
      </w:r>
      <w:r w:rsidRPr="00194389">
        <w:rPr>
          <w:rFonts w:ascii="StobiSerif Regular" w:hAnsi="StobiSerif Regular"/>
        </w:rPr>
        <w:t>15.01.2016</w:t>
      </w:r>
      <w:r w:rsidRPr="00194389">
        <w:rPr>
          <w:rFonts w:ascii="StobiSerif Regular" w:hAnsi="StobiSerif Regular"/>
          <w:lang w:val="en-US"/>
        </w:rPr>
        <w:t xml:space="preserve">) </w:t>
      </w:r>
      <w:r w:rsidRPr="00194389">
        <w:rPr>
          <w:rFonts w:ascii="StobiSerif Regular" w:hAnsi="StobiSerif Regular"/>
        </w:rPr>
        <w:t xml:space="preserve">предвидена е </w:t>
      </w:r>
      <w:r w:rsidRPr="00194389">
        <w:rPr>
          <w:rFonts w:ascii="StobiSerif Regular" w:hAnsi="StobiSerif Regular"/>
          <w:lang w:val="en-US"/>
        </w:rPr>
        <w:t xml:space="preserve">мерка за субвенционирање на каматните стапки на кредитите, наменета исклучиво за инвестиции ИПАРД. Во декември 2016 година, ИПАРД Агенцијата, </w:t>
      </w:r>
      <w:r w:rsidRPr="00194389">
        <w:rPr>
          <w:rFonts w:ascii="StobiSerif Regular" w:hAnsi="StobiSerif Regular"/>
        </w:rPr>
        <w:t xml:space="preserve">го </w:t>
      </w:r>
      <w:r w:rsidRPr="00194389">
        <w:rPr>
          <w:rFonts w:ascii="StobiSerif Regular" w:hAnsi="StobiSerif Regular"/>
          <w:lang w:val="en-US"/>
        </w:rPr>
        <w:t>реализира</w:t>
      </w:r>
      <w:r w:rsidRPr="00194389">
        <w:rPr>
          <w:rFonts w:ascii="StobiSerif Regular" w:hAnsi="StobiSerif Regular"/>
        </w:rPr>
        <w:t>ше</w:t>
      </w:r>
      <w:r w:rsidRPr="00194389">
        <w:rPr>
          <w:rFonts w:ascii="StobiSerif Regular" w:hAnsi="StobiSerif Regular"/>
          <w:lang w:val="en-US"/>
        </w:rPr>
        <w:t xml:space="preserve"> првиот јавен повик за апликации во рамките на оваа мерка на кој биле поднесени 106 апликации. Обработка</w:t>
      </w:r>
      <w:r w:rsidRPr="00194389">
        <w:rPr>
          <w:rFonts w:ascii="StobiSerif Regular" w:hAnsi="StobiSerif Regular"/>
        </w:rPr>
        <w:t>та</w:t>
      </w:r>
      <w:r w:rsidRPr="00194389">
        <w:rPr>
          <w:rFonts w:ascii="StobiSerif Regular" w:hAnsi="StobiSerif Regular"/>
          <w:lang w:val="en-US"/>
        </w:rPr>
        <w:t xml:space="preserve"> на апликации е во тек</w:t>
      </w:r>
    </w:p>
    <w:p w:rsidR="00194389" w:rsidRPr="00194389" w:rsidRDefault="00194389" w:rsidP="00194389">
      <w:pPr>
        <w:spacing w:before="120" w:after="120" w:line="240" w:lineRule="atLeast"/>
        <w:outlineLvl w:val="2"/>
        <w:rPr>
          <w:rFonts w:ascii="StobiSerif Regular" w:hAnsi="StobiSerif Regular"/>
          <w:b/>
          <w:u w:val="single"/>
        </w:rPr>
      </w:pPr>
      <w:bookmarkStart w:id="88" w:name="_Toc483909490"/>
      <w:bookmarkStart w:id="89" w:name="_Toc485394825"/>
      <w:bookmarkStart w:id="90" w:name="_Toc455052764"/>
      <w:r w:rsidRPr="00194389">
        <w:rPr>
          <w:rFonts w:ascii="StobiSerif Regular" w:hAnsi="StobiSerif Regular"/>
          <w:b/>
          <w:u w:val="single"/>
          <w:lang w:val="en-US"/>
        </w:rPr>
        <w:t>3.2.</w:t>
      </w:r>
      <w:r w:rsidRPr="00194389">
        <w:rPr>
          <w:rFonts w:ascii="StobiSerif Regular" w:hAnsi="StobiSerif Regular"/>
          <w:b/>
          <w:u w:val="single"/>
        </w:rPr>
        <w:t>3</w:t>
      </w:r>
      <w:r w:rsidRPr="00194389">
        <w:rPr>
          <w:rFonts w:ascii="StobiSerif Regular" w:hAnsi="StobiSerif Regular"/>
          <w:b/>
          <w:u w:val="single"/>
          <w:lang w:val="en-US"/>
        </w:rPr>
        <w:t xml:space="preserve">. </w:t>
      </w:r>
      <w:bookmarkEnd w:id="88"/>
      <w:r w:rsidRPr="00194389">
        <w:rPr>
          <w:rFonts w:ascii="StobiSerif Regular" w:hAnsi="StobiSerif Regular"/>
          <w:b/>
          <w:u w:val="single"/>
        </w:rPr>
        <w:t>Превземени активности од страна на НАО/НФ</w:t>
      </w:r>
      <w:bookmarkEnd w:id="89"/>
      <w:r w:rsidRPr="00194389">
        <w:rPr>
          <w:rFonts w:ascii="StobiSerif Regular" w:hAnsi="StobiSerif Regular"/>
          <w:b/>
          <w:u w:val="single"/>
          <w:lang w:val="en-US"/>
        </w:rPr>
        <w:t xml:space="preserve"> </w:t>
      </w:r>
      <w:bookmarkEnd w:id="90"/>
    </w:p>
    <w:p w:rsidR="00194389" w:rsidRPr="00194389" w:rsidRDefault="00194389" w:rsidP="00194389">
      <w:pPr>
        <w:spacing w:before="120" w:after="120"/>
        <w:ind w:firstLine="284"/>
        <w:jc w:val="both"/>
        <w:rPr>
          <w:rFonts w:ascii="StobiSerif Regular" w:hAnsi="StobiSerif Regular"/>
          <w:lang w:val="en-US"/>
        </w:rPr>
      </w:pPr>
      <w:r w:rsidRPr="00194389">
        <w:rPr>
          <w:rFonts w:ascii="StobiSerif Regular" w:hAnsi="StobiSerif Regular"/>
          <w:lang w:val="en-US"/>
        </w:rPr>
        <w:t xml:space="preserve">Со цел да се подобри спроведувањето на ИПАРД програмата и апсорпцијата на средствата НАО редовно го следи функционирањето на системот за управување и контрола и, исто така, </w:t>
      </w:r>
      <w:r w:rsidRPr="00194389">
        <w:rPr>
          <w:rFonts w:ascii="StobiSerif Regular" w:hAnsi="StobiSerif Regular"/>
        </w:rPr>
        <w:t xml:space="preserve">се превземаат </w:t>
      </w:r>
      <w:r w:rsidRPr="00194389">
        <w:rPr>
          <w:rFonts w:ascii="StobiSerif Regular" w:hAnsi="StobiSerif Regular"/>
          <w:lang w:val="en-US"/>
        </w:rPr>
        <w:t>континуирани напори за развивање на соодветни структурни решенија за зајакнување на надзорната улога и управување со способноста на НАО се направени.</w:t>
      </w:r>
    </w:p>
    <w:p w:rsidR="00194389" w:rsidRPr="00194389" w:rsidRDefault="00194389" w:rsidP="00194389">
      <w:pPr>
        <w:spacing w:before="120" w:after="120"/>
        <w:ind w:firstLine="284"/>
        <w:jc w:val="both"/>
        <w:rPr>
          <w:rFonts w:ascii="StobiSerif Regular" w:hAnsi="StobiSerif Regular"/>
          <w:lang w:val="en-US"/>
        </w:rPr>
      </w:pPr>
      <w:r w:rsidRPr="00194389">
        <w:rPr>
          <w:rFonts w:ascii="StobiSerif Regular" w:hAnsi="StobiSerif Regular"/>
          <w:lang w:val="en-US"/>
        </w:rPr>
        <w:t>Статусот и активностите што се преземаат за подобрување на функционирањето на системот за целосно децентрализирано спроведување се прикажани во следниот дел.</w:t>
      </w:r>
    </w:p>
    <w:p w:rsidR="00194389" w:rsidRDefault="00194389" w:rsidP="00194389">
      <w:pPr>
        <w:spacing w:before="120" w:after="120"/>
        <w:jc w:val="both"/>
        <w:rPr>
          <w:rFonts w:ascii="StobiSerif Regular" w:eastAsia="Calibri" w:hAnsi="StobiSerif Regular" w:cs="Times New Roman"/>
          <w:b/>
          <w:u w:val="single"/>
          <w:lang w:eastAsia="mk-MK"/>
        </w:rPr>
      </w:pPr>
      <w:r w:rsidRPr="009E2E19">
        <w:rPr>
          <w:rFonts w:ascii="StobiSerif Regular" w:eastAsia="Calibri" w:hAnsi="StobiSerif Regular" w:cs="Times New Roman"/>
          <w:b/>
          <w:u w:val="single"/>
          <w:lang w:val="en-US" w:eastAsia="mk-MK"/>
        </w:rPr>
        <w:t xml:space="preserve">ДОКУМЕНТИ И </w:t>
      </w:r>
      <w:r w:rsidRPr="009E2E19">
        <w:rPr>
          <w:rFonts w:ascii="StobiSerif Regular" w:eastAsia="Calibri" w:hAnsi="StobiSerif Regular" w:cs="Times New Roman"/>
          <w:b/>
          <w:u w:val="single"/>
          <w:lang w:eastAsia="mk-MK"/>
        </w:rPr>
        <w:t xml:space="preserve">ПРЕВЗМЕНИ АКТИВНОСТИ КАКО ОСНОВА НА ИЗЈАВАТА ЗА </w:t>
      </w:r>
      <w:r w:rsidR="009E2E19" w:rsidRPr="009E2E19">
        <w:rPr>
          <w:rFonts w:ascii="StobiSerif Regular" w:eastAsia="Calibri" w:hAnsi="StobiSerif Regular" w:cs="Times New Roman"/>
          <w:b/>
          <w:u w:val="single"/>
          <w:lang w:eastAsia="mk-MK"/>
        </w:rPr>
        <w:t>ГАРАНЦИЈА</w:t>
      </w:r>
    </w:p>
    <w:p w:rsidR="00A60EA9" w:rsidRDefault="00A60EA9" w:rsidP="00194389">
      <w:pPr>
        <w:spacing w:before="120" w:after="120"/>
        <w:jc w:val="both"/>
        <w:rPr>
          <w:rFonts w:ascii="StobiSerif Regular" w:eastAsia="Calibri" w:hAnsi="StobiSerif Regular" w:cs="Times New Roman"/>
          <w:b/>
          <w:u w:val="single"/>
          <w:lang w:eastAsia="mk-MK"/>
        </w:rPr>
      </w:pPr>
    </w:p>
    <w:p w:rsidR="00A60EA9" w:rsidRPr="00194389" w:rsidRDefault="00A60EA9" w:rsidP="00194389">
      <w:pPr>
        <w:spacing w:before="120" w:after="120"/>
        <w:jc w:val="both"/>
        <w:rPr>
          <w:rFonts w:ascii="StobiSerif Regular" w:eastAsia="Calibri" w:hAnsi="StobiSerif Regular" w:cs="Times New Roman"/>
          <w:b/>
          <w:u w:val="single"/>
          <w:lang w:eastAsia="mk-MK"/>
        </w:rPr>
      </w:pPr>
    </w:p>
    <w:p w:rsidR="00194389" w:rsidRPr="00194389" w:rsidRDefault="00194389" w:rsidP="00194389">
      <w:pPr>
        <w:spacing w:before="120" w:after="120"/>
        <w:jc w:val="both"/>
        <w:rPr>
          <w:rFonts w:ascii="StobiSerif Regular" w:eastAsia="Calibri" w:hAnsi="StobiSerif Regular" w:cs="Times New Roman"/>
          <w:b/>
          <w:lang w:eastAsia="mk-MK"/>
        </w:rPr>
      </w:pPr>
      <w:r w:rsidRPr="00194389">
        <w:rPr>
          <w:rFonts w:ascii="StobiSerif Regular" w:eastAsia="Calibri" w:hAnsi="StobiSerif Regular" w:cs="Times New Roman"/>
          <w:b/>
          <w:u w:val="single"/>
          <w:lang w:eastAsia="mk-MK"/>
        </w:rPr>
        <w:t xml:space="preserve">Документи на кои е воспоставена Изјавата за </w:t>
      </w:r>
      <w:r w:rsidR="009E2E19">
        <w:rPr>
          <w:rFonts w:ascii="StobiSerif Regular" w:eastAsia="Calibri" w:hAnsi="StobiSerif Regular" w:cs="Times New Roman"/>
          <w:b/>
          <w:u w:val="single"/>
          <w:lang w:eastAsia="mk-MK"/>
        </w:rPr>
        <w:t>гаранција</w:t>
      </w:r>
      <w:r w:rsidR="00910D95">
        <w:rPr>
          <w:rFonts w:ascii="StobiSerif Regular" w:eastAsia="Calibri" w:hAnsi="StobiSerif Regular" w:cs="Times New Roman"/>
          <w:b/>
          <w:u w:val="single"/>
          <w:lang w:eastAsia="mk-MK"/>
        </w:rPr>
        <w:t>(ИзГ)</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color w:val="000000"/>
          <w:u w:val="single"/>
          <w:lang w:eastAsia="mk-MK"/>
        </w:rPr>
        <w:t>Документи поврзани со процесот на управување со ризици во ИПАРД структурата</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 xml:space="preserve">Следниве документи </w:t>
      </w:r>
      <w:r w:rsidRPr="00194389">
        <w:rPr>
          <w:rFonts w:ascii="StobiSerif Regular" w:eastAsia="Calibri" w:hAnsi="StobiSerif Regular" w:cs="Times New Roman"/>
          <w:lang w:eastAsia="mk-MK"/>
        </w:rPr>
        <w:t>ги опишуваат</w:t>
      </w:r>
      <w:r w:rsidRPr="00194389">
        <w:rPr>
          <w:rFonts w:ascii="StobiSerif Regular" w:eastAsia="Calibri" w:hAnsi="StobiSerif Regular" w:cs="Times New Roman"/>
          <w:lang w:val="en-US" w:eastAsia="mk-MK"/>
        </w:rPr>
        <w:t xml:space="preserve"> ризиците идентификувани од страна на структурите на ИПАРД, како и активности</w:t>
      </w:r>
      <w:r w:rsidRPr="00194389">
        <w:rPr>
          <w:rFonts w:ascii="StobiSerif Regular" w:eastAsia="Calibri" w:hAnsi="StobiSerif Regular" w:cs="Times New Roman"/>
          <w:lang w:eastAsia="mk-MK"/>
        </w:rPr>
        <w:t>те за надминување на истите но и превземените активности</w:t>
      </w:r>
      <w:r w:rsidRPr="00194389">
        <w:rPr>
          <w:rFonts w:ascii="StobiSerif Regular" w:eastAsia="Calibri" w:hAnsi="StobiSerif Regular" w:cs="Times New Roman"/>
          <w:lang w:val="en-US" w:eastAsia="mk-MK"/>
        </w:rPr>
        <w:t xml:space="preserve"> </w:t>
      </w:r>
    </w:p>
    <w:p w:rsidR="00194389" w:rsidRPr="00194389" w:rsidRDefault="009E2E19" w:rsidP="009E2E19">
      <w:pPr>
        <w:spacing w:before="120" w:after="120"/>
        <w:ind w:left="709" w:hanging="283"/>
        <w:jc w:val="both"/>
        <w:rPr>
          <w:rFonts w:ascii="StobiSerif Regular" w:eastAsia="Calibri" w:hAnsi="StobiSerif Regular" w:cs="Times New Roman"/>
          <w:color w:val="000000"/>
          <w:lang w:val="en-US" w:eastAsia="mk-MK"/>
        </w:rPr>
      </w:pPr>
      <w:r>
        <w:rPr>
          <w:rFonts w:ascii="StobiSerif Regular" w:eastAsia="Calibri" w:hAnsi="StobiSerif Regular" w:cs="Times New Roman"/>
          <w:color w:val="000000"/>
          <w:lang w:eastAsia="mk-MK"/>
        </w:rPr>
        <w:t xml:space="preserve">- </w:t>
      </w:r>
      <w:r w:rsidR="00194389" w:rsidRPr="00194389">
        <w:rPr>
          <w:rFonts w:ascii="StobiSerif Regular" w:eastAsia="Calibri" w:hAnsi="StobiSerif Regular" w:cs="Times New Roman"/>
          <w:color w:val="000000"/>
          <w:lang w:val="en-US" w:eastAsia="mk-MK"/>
        </w:rPr>
        <w:t xml:space="preserve">Консолидиран регистар на ризици за Компонента V (Акционен план) Бр.10-5785 / 1, донесена од страна на НАО </w:t>
      </w:r>
      <w:r w:rsidR="00194389" w:rsidRPr="00194389">
        <w:rPr>
          <w:rFonts w:ascii="StobiSerif Regular" w:eastAsia="Calibri" w:hAnsi="StobiSerif Regular" w:cs="Times New Roman"/>
          <w:color w:val="000000"/>
          <w:lang w:eastAsia="mk-MK"/>
        </w:rPr>
        <w:t>13.10.2013</w:t>
      </w:r>
      <w:r w:rsidR="00194389" w:rsidRPr="00194389">
        <w:rPr>
          <w:rFonts w:ascii="StobiSerif Regular" w:eastAsia="Calibri" w:hAnsi="StobiSerif Regular" w:cs="Times New Roman"/>
          <w:color w:val="000000"/>
          <w:lang w:val="en-US" w:eastAsia="mk-MK"/>
        </w:rPr>
        <w:t xml:space="preserve"> и консолидирани регистар на ризици за Компонента V (Акционен план) Бр.10-1018 / 1, донесена од страна на НАО</w:t>
      </w:r>
      <w:r w:rsidR="00194389" w:rsidRPr="00194389">
        <w:rPr>
          <w:rFonts w:ascii="StobiSerif Regular" w:eastAsia="Calibri" w:hAnsi="StobiSerif Regular" w:cs="Times New Roman"/>
          <w:color w:val="000000"/>
          <w:lang w:eastAsia="mk-MK"/>
        </w:rPr>
        <w:t xml:space="preserve"> на </w:t>
      </w:r>
      <w:r w:rsidR="00194389" w:rsidRPr="00194389">
        <w:rPr>
          <w:rFonts w:ascii="StobiSerif Regular" w:eastAsia="Calibri" w:hAnsi="StobiSerif Regular" w:cs="Times New Roman"/>
          <w:color w:val="000000"/>
          <w:lang w:val="en-US" w:eastAsia="mk-MK"/>
        </w:rPr>
        <w:t xml:space="preserve"> 09.02.2017</w:t>
      </w:r>
    </w:p>
    <w:p w:rsidR="00194389" w:rsidRPr="00194389" w:rsidRDefault="00194389" w:rsidP="00BA1CE8">
      <w:pPr>
        <w:numPr>
          <w:ilvl w:val="0"/>
          <w:numId w:val="10"/>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Записник од состанокот на Панел</w:t>
      </w:r>
      <w:r w:rsidRPr="00194389">
        <w:rPr>
          <w:rFonts w:ascii="StobiSerif Regular" w:eastAsia="Calibri" w:hAnsi="StobiSerif Regular" w:cs="Times New Roman"/>
          <w:color w:val="000000"/>
          <w:lang w:eastAsia="mk-MK"/>
        </w:rPr>
        <w:t>от</w:t>
      </w:r>
      <w:r w:rsidRPr="00194389">
        <w:rPr>
          <w:rFonts w:ascii="StobiSerif Regular" w:eastAsia="Calibri" w:hAnsi="StobiSerif Regular" w:cs="Times New Roman"/>
          <w:color w:val="000000"/>
          <w:lang w:val="en-US" w:eastAsia="mk-MK"/>
        </w:rPr>
        <w:t xml:space="preserve"> за управување со ризици</w:t>
      </w:r>
      <w:r w:rsidRPr="00194389">
        <w:rPr>
          <w:rFonts w:ascii="StobiSerif Regular" w:eastAsia="Calibri" w:hAnsi="StobiSerif Regular" w:cs="Times New Roman"/>
          <w:color w:val="000000"/>
          <w:lang w:eastAsia="mk-MK"/>
        </w:rPr>
        <w:t xml:space="preserve"> кој што</w:t>
      </w:r>
      <w:r w:rsidRPr="00194389">
        <w:rPr>
          <w:rFonts w:ascii="StobiSerif Regular" w:eastAsia="Calibri" w:hAnsi="StobiSerif Regular" w:cs="Times New Roman"/>
          <w:color w:val="000000"/>
          <w:lang w:val="en-US" w:eastAsia="mk-MK"/>
        </w:rPr>
        <w:t xml:space="preserve"> се одржа на </w:t>
      </w:r>
      <w:r w:rsidRPr="00194389">
        <w:rPr>
          <w:rFonts w:ascii="StobiSerif Regular" w:eastAsia="Calibri" w:hAnsi="StobiSerif Regular" w:cs="Times New Roman"/>
          <w:color w:val="000000"/>
          <w:lang w:eastAsia="mk-MK"/>
        </w:rPr>
        <w:t>19.09.2016</w:t>
      </w:r>
      <w:r w:rsidRPr="00194389">
        <w:rPr>
          <w:rFonts w:ascii="StobiSerif Regular" w:eastAsia="Calibri" w:hAnsi="StobiSerif Regular" w:cs="Times New Roman"/>
          <w:color w:val="000000"/>
          <w:lang w:val="en-US" w:eastAsia="mk-MK"/>
        </w:rPr>
        <w:t xml:space="preserve"> и Записник од состанокот на Панел</w:t>
      </w:r>
      <w:r w:rsidRPr="00194389">
        <w:rPr>
          <w:rFonts w:ascii="StobiSerif Regular" w:eastAsia="Calibri" w:hAnsi="StobiSerif Regular" w:cs="Times New Roman"/>
          <w:color w:val="000000"/>
          <w:lang w:eastAsia="mk-MK"/>
        </w:rPr>
        <w:t>от</w:t>
      </w:r>
      <w:r w:rsidRPr="00194389">
        <w:rPr>
          <w:rFonts w:ascii="StobiSerif Regular" w:eastAsia="Calibri" w:hAnsi="StobiSerif Regular" w:cs="Times New Roman"/>
          <w:color w:val="000000"/>
          <w:lang w:val="en-US" w:eastAsia="mk-MK"/>
        </w:rPr>
        <w:t xml:space="preserve"> за управување со ризици</w:t>
      </w:r>
      <w:r w:rsidRPr="00194389">
        <w:rPr>
          <w:rFonts w:ascii="StobiSerif Regular" w:eastAsia="Calibri" w:hAnsi="StobiSerif Regular" w:cs="Times New Roman"/>
          <w:color w:val="000000"/>
          <w:lang w:eastAsia="mk-MK"/>
        </w:rPr>
        <w:t xml:space="preserve"> </w:t>
      </w:r>
      <w:r w:rsidRPr="00194389">
        <w:rPr>
          <w:rFonts w:ascii="StobiSerif Regular" w:eastAsia="Calibri" w:hAnsi="StobiSerif Regular" w:cs="Times New Roman"/>
          <w:color w:val="000000"/>
          <w:lang w:val="en-US" w:eastAsia="mk-MK"/>
        </w:rPr>
        <w:t xml:space="preserve">што се одржа на </w:t>
      </w:r>
      <w:r w:rsidRPr="00194389">
        <w:rPr>
          <w:rFonts w:ascii="StobiSerif Regular" w:eastAsia="Calibri" w:hAnsi="StobiSerif Regular" w:cs="Times New Roman"/>
          <w:color w:val="000000"/>
          <w:lang w:eastAsia="mk-MK"/>
        </w:rPr>
        <w:t>17.01.2017;</w:t>
      </w:r>
    </w:p>
    <w:p w:rsidR="00194389" w:rsidRPr="00194389" w:rsidRDefault="00194389" w:rsidP="00BA1CE8">
      <w:pPr>
        <w:numPr>
          <w:ilvl w:val="0"/>
          <w:numId w:val="10"/>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Регистар на ризици</w:t>
      </w:r>
      <w:r w:rsidRPr="00194389">
        <w:rPr>
          <w:rFonts w:ascii="StobiSerif Regular" w:eastAsia="Calibri" w:hAnsi="StobiSerif Regular" w:cs="Times New Roman"/>
          <w:color w:val="000000"/>
          <w:lang w:val="en-US" w:eastAsia="mk-MK"/>
        </w:rPr>
        <w:t xml:space="preserve"> на </w:t>
      </w:r>
      <w:r w:rsidRPr="00194389">
        <w:rPr>
          <w:rFonts w:ascii="StobiSerif Regular" w:eastAsia="Calibri" w:hAnsi="StobiSerif Regular" w:cs="Times New Roman"/>
          <w:color w:val="000000"/>
          <w:lang w:eastAsia="mk-MK"/>
        </w:rPr>
        <w:t>Управувачката</w:t>
      </w:r>
      <w:r w:rsidRPr="00194389">
        <w:rPr>
          <w:rFonts w:ascii="StobiSerif Regular" w:eastAsia="Calibri" w:hAnsi="StobiSerif Regular" w:cs="Times New Roman"/>
          <w:color w:val="000000"/>
          <w:lang w:val="en-US" w:eastAsia="mk-MK"/>
        </w:rPr>
        <w:t xml:space="preserve"> Структура Бр.10-СЛ од </w:t>
      </w:r>
      <w:r w:rsidRPr="00194389">
        <w:rPr>
          <w:rFonts w:ascii="StobiSerif Regular" w:eastAsia="Calibri" w:hAnsi="StobiSerif Regular" w:cs="Times New Roman"/>
          <w:color w:val="000000"/>
          <w:lang w:eastAsia="mk-MK"/>
        </w:rPr>
        <w:t>11.07.2016</w:t>
      </w:r>
      <w:r w:rsidRPr="00194389">
        <w:rPr>
          <w:rFonts w:ascii="StobiSerif Regular" w:eastAsia="Calibri" w:hAnsi="StobiSerif Regular" w:cs="Times New Roman"/>
          <w:color w:val="000000"/>
          <w:lang w:val="en-US" w:eastAsia="mk-MK"/>
        </w:rPr>
        <w:t xml:space="preserve"> и бр.10-СЛ </w:t>
      </w:r>
      <w:r w:rsidRPr="00194389">
        <w:rPr>
          <w:rFonts w:ascii="StobiSerif Regular" w:eastAsia="Calibri" w:hAnsi="StobiSerif Regular" w:cs="Times New Roman"/>
          <w:color w:val="000000"/>
          <w:lang w:eastAsia="mk-MK"/>
        </w:rPr>
        <w:t>од 05.01.2017</w:t>
      </w:r>
      <w:r w:rsidRPr="00194389">
        <w:rPr>
          <w:rFonts w:ascii="StobiSerif Regular" w:eastAsia="Calibri" w:hAnsi="StobiSerif Regular" w:cs="Times New Roman"/>
          <w:color w:val="000000"/>
          <w:lang w:val="en-US" w:eastAsia="mk-MK"/>
        </w:rPr>
        <w:t>;</w:t>
      </w:r>
    </w:p>
    <w:p w:rsidR="00194389" w:rsidRPr="00194389" w:rsidRDefault="00194389" w:rsidP="00BA1CE8">
      <w:pPr>
        <w:numPr>
          <w:ilvl w:val="0"/>
          <w:numId w:val="10"/>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Регистар на ризици на</w:t>
      </w:r>
      <w:r w:rsidRPr="00194389">
        <w:rPr>
          <w:rFonts w:ascii="StobiSerif Regular" w:eastAsia="Calibri" w:hAnsi="StobiSerif Regular" w:cs="Times New Roman"/>
          <w:color w:val="000000"/>
          <w:lang w:val="en-US" w:eastAsia="mk-MK"/>
        </w:rPr>
        <w:t xml:space="preserve"> ИПАРД Агенцијата Бр.25-1523/5 </w:t>
      </w:r>
      <w:r w:rsidRPr="00194389">
        <w:rPr>
          <w:rFonts w:ascii="StobiSerif Regular" w:eastAsia="Calibri" w:hAnsi="StobiSerif Regular" w:cs="Times New Roman"/>
          <w:color w:val="000000"/>
          <w:lang w:eastAsia="mk-MK"/>
        </w:rPr>
        <w:t xml:space="preserve">од 22.07.2016, и </w:t>
      </w:r>
      <w:r w:rsidRPr="00194389">
        <w:rPr>
          <w:rFonts w:ascii="StobiSerif Regular" w:eastAsia="Calibri" w:hAnsi="StobiSerif Regular" w:cs="Times New Roman"/>
          <w:color w:val="000000"/>
          <w:lang w:val="en-US" w:eastAsia="mk-MK"/>
        </w:rPr>
        <w:t xml:space="preserve"> </w:t>
      </w:r>
      <w:r w:rsidRPr="00194389">
        <w:rPr>
          <w:rFonts w:ascii="StobiSerif Regular" w:eastAsia="Calibri" w:hAnsi="StobiSerif Regular" w:cs="Times New Roman"/>
          <w:color w:val="000000"/>
          <w:lang w:eastAsia="mk-MK"/>
        </w:rPr>
        <w:t xml:space="preserve">Арх.бр </w:t>
      </w:r>
      <w:r w:rsidRPr="00194389">
        <w:rPr>
          <w:rFonts w:ascii="StobiSerif Regular" w:eastAsia="Calibri" w:hAnsi="StobiSerif Regular" w:cs="Times New Roman"/>
          <w:color w:val="000000"/>
          <w:lang w:val="en-US" w:eastAsia="mk-MK"/>
        </w:rPr>
        <w:t xml:space="preserve">25-152 /8 од </w:t>
      </w:r>
      <w:r w:rsidRPr="00194389">
        <w:rPr>
          <w:rFonts w:ascii="StobiSerif Regular" w:eastAsia="Calibri" w:hAnsi="StobiSerif Regular" w:cs="Times New Roman"/>
          <w:color w:val="000000"/>
          <w:lang w:eastAsia="mk-MK"/>
        </w:rPr>
        <w:t>26.12.2016</w:t>
      </w:r>
      <w:r w:rsidRPr="00194389">
        <w:rPr>
          <w:rFonts w:ascii="StobiSerif Regular" w:eastAsia="Calibri" w:hAnsi="StobiSerif Regular" w:cs="Times New Roman"/>
          <w:color w:val="000000"/>
          <w:lang w:val="en-US" w:eastAsia="mk-MK"/>
        </w:rPr>
        <w:t xml:space="preserve"> и </w:t>
      </w:r>
      <w:r w:rsidRPr="00194389">
        <w:rPr>
          <w:rFonts w:ascii="StobiSerif Regular" w:eastAsia="Calibri" w:hAnsi="StobiSerif Regular" w:cs="Times New Roman"/>
          <w:color w:val="000000"/>
          <w:lang w:eastAsia="mk-MK"/>
        </w:rPr>
        <w:t>Регистар на ризици на ТУ, Арх.бр</w:t>
      </w:r>
      <w:r w:rsidRPr="00194389">
        <w:rPr>
          <w:rFonts w:ascii="StobiSerif Regular" w:eastAsia="Calibri" w:hAnsi="StobiSerif Regular" w:cs="Times New Roman"/>
          <w:color w:val="000000"/>
          <w:lang w:val="en-US" w:eastAsia="mk-MK"/>
        </w:rPr>
        <w:t>11-7199/1 од 20.07</w:t>
      </w:r>
      <w:r w:rsidRPr="00194389">
        <w:rPr>
          <w:rFonts w:ascii="StobiSerif Regular" w:eastAsia="Calibri" w:hAnsi="StobiSerif Regular" w:cs="Times New Roman"/>
          <w:color w:val="000000"/>
          <w:lang w:eastAsia="mk-MK"/>
        </w:rPr>
        <w:t>.</w:t>
      </w:r>
      <w:r w:rsidRPr="00194389">
        <w:rPr>
          <w:rFonts w:ascii="StobiSerif Regular" w:eastAsia="Calibri" w:hAnsi="StobiSerif Regular" w:cs="Times New Roman"/>
          <w:color w:val="000000"/>
          <w:lang w:val="en-US" w:eastAsia="mk-MK"/>
        </w:rPr>
        <w:t xml:space="preserve">2016 и </w:t>
      </w:r>
      <w:r w:rsidRPr="00194389">
        <w:rPr>
          <w:rFonts w:ascii="StobiSerif Regular" w:eastAsia="Calibri" w:hAnsi="StobiSerif Regular" w:cs="Times New Roman"/>
          <w:color w:val="000000"/>
          <w:lang w:eastAsia="mk-MK"/>
        </w:rPr>
        <w:t xml:space="preserve">Арх.бр </w:t>
      </w:r>
      <w:r w:rsidRPr="00194389">
        <w:rPr>
          <w:rFonts w:ascii="StobiSerif Regular" w:eastAsia="Calibri" w:hAnsi="StobiSerif Regular" w:cs="Times New Roman"/>
          <w:color w:val="000000"/>
          <w:lang w:val="en-US" w:eastAsia="mk-MK"/>
        </w:rPr>
        <w:t xml:space="preserve">.11-385 / 1 од </w:t>
      </w:r>
      <w:r w:rsidRPr="00194389">
        <w:rPr>
          <w:rFonts w:ascii="StobiSerif Regular" w:eastAsia="Calibri" w:hAnsi="StobiSerif Regular" w:cs="Times New Roman"/>
          <w:color w:val="000000"/>
          <w:lang w:eastAsia="mk-MK"/>
        </w:rPr>
        <w:t>12.01.2017;</w:t>
      </w:r>
    </w:p>
    <w:p w:rsidR="00194389" w:rsidRPr="00194389" w:rsidRDefault="00194389" w:rsidP="00BA1CE8">
      <w:pPr>
        <w:numPr>
          <w:ilvl w:val="0"/>
          <w:numId w:val="10"/>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Полугодишен извештај од страна на ИПАРД Аг</w:t>
      </w:r>
      <w:r w:rsidR="009E2E19">
        <w:rPr>
          <w:rFonts w:ascii="StobiSerif Regular" w:eastAsia="Calibri" w:hAnsi="StobiSerif Regular" w:cs="Times New Roman"/>
          <w:color w:val="000000"/>
          <w:lang w:val="en-US" w:eastAsia="mk-MK"/>
        </w:rPr>
        <w:t>енцијата за првиот семестар Бр.</w:t>
      </w:r>
      <w:r w:rsidRPr="00194389">
        <w:rPr>
          <w:rFonts w:ascii="StobiSerif Regular" w:eastAsia="Calibri" w:hAnsi="StobiSerif Regular" w:cs="Times New Roman"/>
          <w:color w:val="000000"/>
          <w:lang w:val="en-US" w:eastAsia="mk-MK"/>
        </w:rPr>
        <w:t xml:space="preserve">25-1523 / 5 од </w:t>
      </w:r>
      <w:r w:rsidRPr="00194389">
        <w:rPr>
          <w:rFonts w:ascii="StobiSerif Regular" w:eastAsia="Calibri" w:hAnsi="StobiSerif Regular" w:cs="Times New Roman"/>
          <w:color w:val="000000"/>
          <w:lang w:eastAsia="mk-MK"/>
        </w:rPr>
        <w:t>22.07.2016</w:t>
      </w:r>
      <w:r w:rsidRPr="00194389">
        <w:rPr>
          <w:rFonts w:ascii="StobiSerif Regular" w:eastAsia="Calibri" w:hAnsi="StobiSerif Regular" w:cs="Times New Roman"/>
          <w:color w:val="000000"/>
          <w:lang w:val="en-US" w:eastAsia="mk-MK"/>
        </w:rPr>
        <w:t xml:space="preserve"> и Полугодишниот извештај на ИПАРД Агенцијата за вториот семестар No.25-1523/ 8 од 26.12 0,2016 за преземените активности за </w:t>
      </w:r>
      <w:r w:rsidRPr="00194389">
        <w:rPr>
          <w:rFonts w:ascii="StobiSerif Regular" w:eastAsia="Calibri" w:hAnsi="StobiSerif Regular" w:cs="Times New Roman"/>
          <w:color w:val="000000"/>
          <w:lang w:eastAsia="mk-MK"/>
        </w:rPr>
        <w:t xml:space="preserve">надминување на </w:t>
      </w:r>
      <w:r w:rsidRPr="00194389">
        <w:rPr>
          <w:rFonts w:ascii="StobiSerif Regular" w:eastAsia="Calibri" w:hAnsi="StobiSerif Regular" w:cs="Times New Roman"/>
          <w:color w:val="000000"/>
          <w:lang w:val="en-US" w:eastAsia="mk-MK"/>
        </w:rPr>
        <w:t xml:space="preserve"> ризиците </w:t>
      </w:r>
      <w:r w:rsidRPr="00194389">
        <w:rPr>
          <w:rFonts w:ascii="StobiSerif Regular" w:eastAsia="Calibri" w:hAnsi="StobiSerif Regular" w:cs="Times New Roman"/>
          <w:color w:val="000000"/>
          <w:lang w:eastAsia="mk-MK"/>
        </w:rPr>
        <w:t>утврдени</w:t>
      </w:r>
      <w:r w:rsidRPr="00194389">
        <w:rPr>
          <w:rFonts w:ascii="StobiSerif Regular" w:eastAsia="Calibri" w:hAnsi="StobiSerif Regular" w:cs="Times New Roman"/>
          <w:color w:val="000000"/>
          <w:lang w:val="en-US" w:eastAsia="mk-MK"/>
        </w:rPr>
        <w:t xml:space="preserve"> на Панел</w:t>
      </w:r>
      <w:r w:rsidRPr="00194389">
        <w:rPr>
          <w:rFonts w:ascii="StobiSerif Regular" w:eastAsia="Calibri" w:hAnsi="StobiSerif Regular" w:cs="Times New Roman"/>
          <w:color w:val="000000"/>
          <w:lang w:eastAsia="mk-MK"/>
        </w:rPr>
        <w:t>от</w:t>
      </w:r>
      <w:r w:rsidRPr="00194389">
        <w:rPr>
          <w:rFonts w:ascii="StobiSerif Regular" w:eastAsia="Calibri" w:hAnsi="StobiSerif Regular" w:cs="Times New Roman"/>
          <w:color w:val="000000"/>
          <w:lang w:val="en-US" w:eastAsia="mk-MK"/>
        </w:rPr>
        <w:t xml:space="preserve"> за ризици;</w:t>
      </w:r>
    </w:p>
    <w:p w:rsidR="00194389" w:rsidRPr="00194389" w:rsidRDefault="00194389" w:rsidP="00BA1CE8">
      <w:pPr>
        <w:numPr>
          <w:ilvl w:val="0"/>
          <w:numId w:val="10"/>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 xml:space="preserve">Извештај на </w:t>
      </w:r>
      <w:r w:rsidRPr="00194389">
        <w:rPr>
          <w:rFonts w:ascii="StobiSerif Regular" w:eastAsia="Calibri" w:hAnsi="StobiSerif Regular" w:cs="Times New Roman"/>
          <w:color w:val="000000"/>
          <w:lang w:eastAsia="mk-MK"/>
        </w:rPr>
        <w:t>ТУ</w:t>
      </w:r>
      <w:r w:rsidRPr="00194389">
        <w:rPr>
          <w:rFonts w:ascii="StobiSerif Regular" w:eastAsia="Calibri" w:hAnsi="StobiSerif Regular" w:cs="Times New Roman"/>
          <w:color w:val="000000"/>
          <w:lang w:val="en-US" w:eastAsia="mk-MK"/>
        </w:rPr>
        <w:t xml:space="preserve"> на </w:t>
      </w:r>
      <w:r w:rsidRPr="00194389">
        <w:rPr>
          <w:rFonts w:ascii="StobiSerif Regular" w:eastAsia="Calibri" w:hAnsi="StobiSerif Regular" w:cs="Times New Roman"/>
          <w:color w:val="000000"/>
          <w:lang w:eastAsia="mk-MK"/>
        </w:rPr>
        <w:t>Арх.бр</w:t>
      </w:r>
      <w:r w:rsidRPr="00194389">
        <w:rPr>
          <w:rFonts w:ascii="StobiSerif Regular" w:eastAsia="Calibri" w:hAnsi="StobiSerif Regular" w:cs="Times New Roman"/>
          <w:color w:val="000000"/>
          <w:lang w:val="en-US" w:eastAsia="mk-MK"/>
        </w:rPr>
        <w:t xml:space="preserve">.11-5320 / 1 од </w:t>
      </w:r>
      <w:r w:rsidRPr="00194389">
        <w:rPr>
          <w:rFonts w:ascii="StobiSerif Regular" w:eastAsia="Calibri" w:hAnsi="StobiSerif Regular" w:cs="Times New Roman"/>
          <w:color w:val="000000"/>
          <w:lang w:eastAsia="mk-MK"/>
        </w:rPr>
        <w:t>05.05.2016</w:t>
      </w:r>
      <w:r w:rsidRPr="00194389">
        <w:rPr>
          <w:rFonts w:ascii="StobiSerif Regular" w:eastAsia="Calibri" w:hAnsi="StobiSerif Regular" w:cs="Times New Roman"/>
          <w:color w:val="000000"/>
          <w:lang w:val="en-US" w:eastAsia="mk-MK"/>
        </w:rPr>
        <w:t xml:space="preserve">, за периодот јануари-март 2016 година, извештај од страна на </w:t>
      </w:r>
      <w:r w:rsidRPr="00194389">
        <w:rPr>
          <w:rFonts w:ascii="StobiSerif Regular" w:eastAsia="Calibri" w:hAnsi="StobiSerif Regular" w:cs="Times New Roman"/>
          <w:color w:val="000000"/>
          <w:lang w:eastAsia="mk-MK"/>
        </w:rPr>
        <w:t>ТУ</w:t>
      </w:r>
      <w:r w:rsidRPr="00194389">
        <w:rPr>
          <w:rFonts w:ascii="StobiSerif Regular" w:eastAsia="Calibri" w:hAnsi="StobiSerif Regular" w:cs="Times New Roman"/>
          <w:color w:val="000000"/>
          <w:lang w:val="en-US" w:eastAsia="mk-MK"/>
        </w:rPr>
        <w:t xml:space="preserve"> Арх.бр.11-7199/1 од </w:t>
      </w:r>
      <w:r w:rsidRPr="00194389">
        <w:rPr>
          <w:rFonts w:ascii="StobiSerif Regular" w:eastAsia="Calibri" w:hAnsi="StobiSerif Regular" w:cs="Times New Roman"/>
          <w:color w:val="000000"/>
          <w:lang w:eastAsia="mk-MK"/>
        </w:rPr>
        <w:t>20.07.2016</w:t>
      </w:r>
      <w:r w:rsidRPr="00194389">
        <w:rPr>
          <w:rFonts w:ascii="StobiSerif Regular" w:eastAsia="Calibri" w:hAnsi="StobiSerif Regular" w:cs="Times New Roman"/>
          <w:color w:val="000000"/>
          <w:lang w:val="en-US" w:eastAsia="mk-MK"/>
        </w:rPr>
        <w:t xml:space="preserve"> </w:t>
      </w:r>
      <w:r w:rsidRPr="00194389">
        <w:rPr>
          <w:rFonts w:ascii="StobiSerif Regular" w:eastAsia="Calibri" w:hAnsi="StobiSerif Regular" w:cs="Times New Roman"/>
          <w:color w:val="000000"/>
          <w:lang w:eastAsia="mk-MK"/>
        </w:rPr>
        <w:t>за</w:t>
      </w:r>
      <w:r w:rsidRPr="00194389">
        <w:rPr>
          <w:rFonts w:ascii="StobiSerif Regular" w:eastAsia="Calibri" w:hAnsi="StobiSerif Regular" w:cs="Times New Roman"/>
          <w:color w:val="000000"/>
          <w:lang w:val="en-US" w:eastAsia="mk-MK"/>
        </w:rPr>
        <w:t xml:space="preserve"> периодот февруари-јуни 2016 година, извештај од страна на </w:t>
      </w:r>
      <w:r w:rsidRPr="00194389">
        <w:rPr>
          <w:rFonts w:ascii="StobiSerif Regular" w:eastAsia="Calibri" w:hAnsi="StobiSerif Regular" w:cs="Times New Roman"/>
          <w:color w:val="000000"/>
          <w:lang w:eastAsia="mk-MK"/>
        </w:rPr>
        <w:t>ТУ</w:t>
      </w:r>
      <w:r w:rsidRPr="00194389">
        <w:rPr>
          <w:rFonts w:ascii="StobiSerif Regular" w:eastAsia="Calibri" w:hAnsi="StobiSerif Regular" w:cs="Times New Roman"/>
          <w:color w:val="000000"/>
          <w:lang w:val="en-US" w:eastAsia="mk-MK"/>
        </w:rPr>
        <w:t xml:space="preserve"> </w:t>
      </w:r>
      <w:r w:rsidRPr="00194389">
        <w:rPr>
          <w:rFonts w:ascii="StobiSerif Regular" w:eastAsia="Calibri" w:hAnsi="StobiSerif Regular" w:cs="Times New Roman"/>
          <w:color w:val="000000"/>
          <w:lang w:eastAsia="mk-MK"/>
        </w:rPr>
        <w:t>Арх.бр.</w:t>
      </w:r>
      <w:r w:rsidRPr="00194389">
        <w:rPr>
          <w:rFonts w:ascii="StobiSerif Regular" w:eastAsia="Calibri" w:hAnsi="StobiSerif Regular" w:cs="Times New Roman"/>
          <w:color w:val="000000"/>
          <w:lang w:val="en-US" w:eastAsia="mk-MK"/>
        </w:rPr>
        <w:t xml:space="preserve">11-9857 / 1 </w:t>
      </w:r>
      <w:r w:rsidRPr="00194389">
        <w:rPr>
          <w:rFonts w:ascii="StobiSerif Regular" w:eastAsia="Calibri" w:hAnsi="StobiSerif Regular" w:cs="Times New Roman"/>
          <w:color w:val="000000"/>
          <w:lang w:eastAsia="mk-MK"/>
        </w:rPr>
        <w:t>11.04.2016</w:t>
      </w:r>
      <w:r w:rsidRPr="00194389">
        <w:rPr>
          <w:rFonts w:ascii="StobiSerif Regular" w:eastAsia="Calibri" w:hAnsi="StobiSerif Regular" w:cs="Times New Roman"/>
          <w:color w:val="000000"/>
          <w:lang w:val="en-US" w:eastAsia="mk-MK"/>
        </w:rPr>
        <w:t xml:space="preserve"> </w:t>
      </w:r>
      <w:r w:rsidRPr="00194389">
        <w:rPr>
          <w:rFonts w:ascii="StobiSerif Regular" w:eastAsia="Calibri" w:hAnsi="StobiSerif Regular" w:cs="Times New Roman"/>
          <w:color w:val="000000"/>
          <w:lang w:eastAsia="mk-MK"/>
        </w:rPr>
        <w:t>за</w:t>
      </w:r>
      <w:r w:rsidRPr="00194389">
        <w:rPr>
          <w:rFonts w:ascii="StobiSerif Regular" w:eastAsia="Calibri" w:hAnsi="StobiSerif Regular" w:cs="Times New Roman"/>
          <w:color w:val="000000"/>
          <w:lang w:val="en-US" w:eastAsia="mk-MK"/>
        </w:rPr>
        <w:t xml:space="preserve"> периодот јули-септември 2016 година и Извештајот на </w:t>
      </w:r>
      <w:r w:rsidRPr="00194389">
        <w:rPr>
          <w:rFonts w:ascii="StobiSerif Regular" w:eastAsia="Calibri" w:hAnsi="StobiSerif Regular" w:cs="Times New Roman"/>
          <w:color w:val="000000"/>
          <w:lang w:eastAsia="mk-MK"/>
        </w:rPr>
        <w:t>ТУ Арх.бр</w:t>
      </w:r>
      <w:r w:rsidRPr="00194389">
        <w:rPr>
          <w:rFonts w:ascii="StobiSerif Regular" w:eastAsia="Calibri" w:hAnsi="StobiSerif Regular" w:cs="Times New Roman"/>
          <w:color w:val="000000"/>
          <w:lang w:val="en-US" w:eastAsia="mk-MK"/>
        </w:rPr>
        <w:t xml:space="preserve"> No.11-385 / 1 </w:t>
      </w:r>
      <w:r w:rsidRPr="00194389">
        <w:rPr>
          <w:rFonts w:ascii="StobiSerif Regular" w:eastAsia="Calibri" w:hAnsi="StobiSerif Regular" w:cs="Times New Roman"/>
          <w:color w:val="000000"/>
          <w:lang w:eastAsia="mk-MK"/>
        </w:rPr>
        <w:t>од 12.01.2017</w:t>
      </w:r>
      <w:r w:rsidRPr="00194389">
        <w:rPr>
          <w:rFonts w:ascii="StobiSerif Regular" w:eastAsia="Calibri" w:hAnsi="StobiSerif Regular" w:cs="Times New Roman"/>
          <w:color w:val="000000"/>
          <w:lang w:val="en-US" w:eastAsia="mk-MK"/>
        </w:rPr>
        <w:t xml:space="preserve"> за периодот јули - декември 2016 година.</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u w:val="single"/>
          <w:lang w:eastAsia="mk-MK"/>
        </w:rPr>
        <w:t>Извештаи од спроведени верификациски посети од страна на ОС/НАО</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eastAsia="mk-MK"/>
        </w:rPr>
        <w:t xml:space="preserve">Управувачката структура, односно </w:t>
      </w:r>
      <w:r w:rsidRPr="00194389">
        <w:rPr>
          <w:rFonts w:ascii="StobiSerif Regular" w:eastAsia="Calibri" w:hAnsi="StobiSerif Regular" w:cs="Times New Roman"/>
          <w:lang w:val="en-US" w:eastAsia="mk-MK"/>
        </w:rPr>
        <w:t>НАО вршат три</w:t>
      </w:r>
      <w:r w:rsidRPr="00194389">
        <w:rPr>
          <w:rFonts w:ascii="StobiSerif Regular" w:eastAsia="Calibri" w:hAnsi="StobiSerif Regular" w:cs="Times New Roman"/>
          <w:lang w:eastAsia="mk-MK"/>
        </w:rPr>
        <w:t xml:space="preserve"> верификациски</w:t>
      </w:r>
      <w:r w:rsidRPr="00194389">
        <w:rPr>
          <w:rFonts w:ascii="StobiSerif Regular" w:eastAsia="Calibri" w:hAnsi="StobiSerif Regular" w:cs="Times New Roman"/>
          <w:lang w:val="en-US" w:eastAsia="mk-MK"/>
        </w:rPr>
        <w:t xml:space="preserve"> посети во ИПАРД оперативната структура, согласно Годишниот План за верификациски посети за 2016 година (Арх.</w:t>
      </w:r>
      <w:r w:rsidRPr="00194389">
        <w:rPr>
          <w:rFonts w:ascii="StobiSerif Regular" w:eastAsia="Calibri" w:hAnsi="StobiSerif Regular" w:cs="Times New Roman"/>
          <w:lang w:eastAsia="mk-MK"/>
        </w:rPr>
        <w:t>бр.</w:t>
      </w:r>
      <w:r w:rsidRPr="00194389">
        <w:rPr>
          <w:rFonts w:ascii="StobiSerif Regular" w:eastAsia="Calibri" w:hAnsi="StobiSerif Regular" w:cs="Times New Roman"/>
          <w:lang w:val="en-US" w:eastAsia="mk-MK"/>
        </w:rPr>
        <w:t xml:space="preserve">10-1534 / 1 од </w:t>
      </w:r>
      <w:r w:rsidRPr="00194389">
        <w:rPr>
          <w:rFonts w:ascii="StobiSerif Regular" w:eastAsia="Calibri" w:hAnsi="StobiSerif Regular" w:cs="Times New Roman"/>
          <w:lang w:eastAsia="mk-MK"/>
        </w:rPr>
        <w:t>01.03.2016</w:t>
      </w:r>
      <w:r w:rsidRPr="00194389">
        <w:rPr>
          <w:rFonts w:ascii="StobiSerif Regular" w:eastAsia="Calibri" w:hAnsi="StobiSerif Regular" w:cs="Times New Roman"/>
          <w:lang w:val="en-US" w:eastAsia="mk-MK"/>
        </w:rPr>
        <w:t>).</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eastAsia="mk-MK"/>
        </w:rPr>
        <w:t xml:space="preserve">Беа прегледани </w:t>
      </w:r>
      <w:r w:rsidRPr="00194389">
        <w:rPr>
          <w:rFonts w:ascii="StobiSerif Regular" w:eastAsia="Calibri" w:hAnsi="StobiSerif Regular" w:cs="Times New Roman"/>
          <w:lang w:val="en-US" w:eastAsia="mk-MK"/>
        </w:rPr>
        <w:t>следните документи:</w:t>
      </w:r>
    </w:p>
    <w:p w:rsidR="00194389" w:rsidRPr="00194389" w:rsidRDefault="00194389" w:rsidP="00BA1CE8">
      <w:pPr>
        <w:numPr>
          <w:ilvl w:val="0"/>
          <w:numId w:val="11"/>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Конечен</w:t>
      </w:r>
      <w:r w:rsidRPr="00194389">
        <w:rPr>
          <w:rFonts w:ascii="StobiSerif Regular" w:eastAsia="Calibri" w:hAnsi="StobiSerif Regular" w:cs="Times New Roman"/>
          <w:color w:val="000000"/>
          <w:lang w:val="en-US" w:eastAsia="mk-MK"/>
        </w:rPr>
        <w:t xml:space="preserve"> извештај од верификациска посета во ИПАРД Агенцијата пред </w:t>
      </w:r>
      <w:r w:rsidRPr="00194389">
        <w:rPr>
          <w:rFonts w:ascii="StobiSerif Regular" w:eastAsia="Calibri" w:hAnsi="StobiSerif Regular" w:cs="Times New Roman"/>
          <w:color w:val="000000"/>
          <w:lang w:eastAsia="mk-MK"/>
        </w:rPr>
        <w:t xml:space="preserve">склучување на договори </w:t>
      </w:r>
      <w:r w:rsidRPr="00194389">
        <w:rPr>
          <w:rFonts w:ascii="StobiSerif Regular" w:eastAsia="Calibri" w:hAnsi="StobiSerif Regular" w:cs="Times New Roman"/>
          <w:color w:val="000000"/>
          <w:lang w:val="en-US" w:eastAsia="mk-MK"/>
        </w:rPr>
        <w:t xml:space="preserve"> од Јавниот повик 02/2014 и 01/2015, </w:t>
      </w:r>
      <w:r w:rsidRPr="00194389">
        <w:rPr>
          <w:rFonts w:ascii="StobiSerif Regular" w:eastAsia="Calibri" w:hAnsi="StobiSerif Regular" w:cs="Times New Roman"/>
          <w:color w:val="000000"/>
          <w:lang w:eastAsia="mk-MK"/>
        </w:rPr>
        <w:t>(Арх.бр</w:t>
      </w:r>
      <w:r w:rsidRPr="00194389">
        <w:rPr>
          <w:rFonts w:ascii="StobiSerif Regular" w:eastAsia="Calibri" w:hAnsi="StobiSerif Regular" w:cs="Times New Roman"/>
          <w:color w:val="000000"/>
          <w:lang w:val="en-US" w:eastAsia="mk-MK"/>
        </w:rPr>
        <w:t xml:space="preserve">.10-3550 / 3 од </w:t>
      </w:r>
      <w:r w:rsidRPr="00194389">
        <w:rPr>
          <w:rFonts w:ascii="StobiSerif Regular" w:eastAsia="Calibri" w:hAnsi="StobiSerif Regular" w:cs="Times New Roman"/>
          <w:color w:val="000000"/>
          <w:lang w:eastAsia="mk-MK"/>
        </w:rPr>
        <w:t>06.09.2016);</w:t>
      </w:r>
    </w:p>
    <w:p w:rsidR="00194389" w:rsidRPr="00194389" w:rsidRDefault="00194389" w:rsidP="00BA1CE8">
      <w:pPr>
        <w:numPr>
          <w:ilvl w:val="0"/>
          <w:numId w:val="11"/>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Конечен</w:t>
      </w:r>
      <w:r w:rsidRPr="00194389">
        <w:rPr>
          <w:rFonts w:ascii="StobiSerif Regular" w:eastAsia="Calibri" w:hAnsi="StobiSerif Regular" w:cs="Times New Roman"/>
          <w:color w:val="000000"/>
          <w:lang w:val="en-US" w:eastAsia="mk-MK"/>
        </w:rPr>
        <w:t xml:space="preserve"> извештај од верификациска посета во ИПАРД Агенцијата за платени проекти во текот на третиот квартал на 2016 година, дел од Декларацијата на </w:t>
      </w:r>
      <w:r w:rsidRPr="00194389">
        <w:rPr>
          <w:rFonts w:ascii="StobiSerif Regular" w:eastAsia="Calibri" w:hAnsi="StobiSerif Regular" w:cs="Times New Roman"/>
          <w:color w:val="000000"/>
          <w:lang w:eastAsia="mk-MK"/>
        </w:rPr>
        <w:t>трошоци</w:t>
      </w:r>
      <w:r w:rsidRPr="00194389">
        <w:rPr>
          <w:rFonts w:ascii="StobiSerif Regular" w:eastAsia="Calibri" w:hAnsi="StobiSerif Regular" w:cs="Times New Roman"/>
          <w:color w:val="000000"/>
          <w:lang w:val="en-US" w:eastAsia="mk-MK"/>
        </w:rPr>
        <w:t xml:space="preserve"> до ЕК, Извештај </w:t>
      </w:r>
      <w:r w:rsidRPr="00194389">
        <w:rPr>
          <w:rFonts w:ascii="StobiSerif Regular" w:eastAsia="Calibri" w:hAnsi="StobiSerif Regular" w:cs="Times New Roman"/>
          <w:color w:val="000000"/>
          <w:lang w:eastAsia="mk-MK"/>
        </w:rPr>
        <w:t>(Арх.бр.</w:t>
      </w:r>
      <w:r w:rsidRPr="00194389">
        <w:rPr>
          <w:rFonts w:ascii="StobiSerif Regular" w:eastAsia="Calibri" w:hAnsi="StobiSerif Regular" w:cs="Times New Roman"/>
          <w:color w:val="000000"/>
          <w:lang w:val="en-US" w:eastAsia="mk-MK"/>
        </w:rPr>
        <w:t xml:space="preserve">10-493 / 1 од </w:t>
      </w:r>
      <w:r w:rsidRPr="00194389">
        <w:rPr>
          <w:rFonts w:ascii="StobiSerif Regular" w:eastAsia="Calibri" w:hAnsi="StobiSerif Regular" w:cs="Times New Roman"/>
          <w:color w:val="000000"/>
          <w:lang w:eastAsia="mk-MK"/>
        </w:rPr>
        <w:t>26.01.2017);</w:t>
      </w:r>
    </w:p>
    <w:p w:rsidR="00194389" w:rsidRPr="00194389" w:rsidRDefault="00194389" w:rsidP="00BA1CE8">
      <w:pPr>
        <w:numPr>
          <w:ilvl w:val="0"/>
          <w:numId w:val="11"/>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Конечен</w:t>
      </w:r>
      <w:r w:rsidRPr="00194389">
        <w:rPr>
          <w:rFonts w:ascii="StobiSerif Regular" w:eastAsia="Calibri" w:hAnsi="StobiSerif Regular" w:cs="Times New Roman"/>
          <w:color w:val="000000"/>
          <w:lang w:val="en-US" w:eastAsia="mk-MK"/>
        </w:rPr>
        <w:t xml:space="preserve"> извештај од верификациска посета за проверка на ефективноста и ефикасноста на системите за управување и контрола во рамките на </w:t>
      </w:r>
      <w:r w:rsidRPr="00194389">
        <w:rPr>
          <w:rFonts w:ascii="StobiSerif Regular" w:eastAsia="Calibri" w:hAnsi="StobiSerif Regular" w:cs="Times New Roman"/>
          <w:color w:val="000000"/>
          <w:lang w:eastAsia="mk-MK"/>
        </w:rPr>
        <w:t>ТУ</w:t>
      </w:r>
      <w:r w:rsidRPr="00194389">
        <w:rPr>
          <w:rFonts w:ascii="StobiSerif Regular" w:eastAsia="Calibri" w:hAnsi="StobiSerif Regular" w:cs="Times New Roman"/>
          <w:color w:val="000000"/>
          <w:lang w:val="en-US" w:eastAsia="mk-MK"/>
        </w:rPr>
        <w:t xml:space="preserve">, </w:t>
      </w:r>
      <w:r w:rsidRPr="00194389">
        <w:rPr>
          <w:rFonts w:ascii="StobiSerif Regular" w:eastAsia="Calibri" w:hAnsi="StobiSerif Regular" w:cs="Times New Roman"/>
          <w:color w:val="000000"/>
          <w:lang w:eastAsia="mk-MK"/>
        </w:rPr>
        <w:t>(Арх.бр.</w:t>
      </w:r>
      <w:r w:rsidRPr="00194389">
        <w:rPr>
          <w:rFonts w:ascii="StobiSerif Regular" w:eastAsia="Calibri" w:hAnsi="StobiSerif Regular" w:cs="Times New Roman"/>
          <w:color w:val="000000"/>
          <w:lang w:val="en-US" w:eastAsia="mk-MK"/>
        </w:rPr>
        <w:t xml:space="preserve"> 10-494 / 1 од </w:t>
      </w:r>
      <w:r w:rsidRPr="00194389">
        <w:rPr>
          <w:rFonts w:ascii="StobiSerif Regular" w:eastAsia="Calibri" w:hAnsi="StobiSerif Regular" w:cs="Times New Roman"/>
          <w:color w:val="000000"/>
          <w:lang w:eastAsia="mk-MK"/>
        </w:rPr>
        <w:t>26.01.2017);</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u w:val="single"/>
          <w:lang w:val="en-US" w:eastAsia="mk-MK"/>
        </w:rPr>
        <w:t>Документи кои се однесуваат на административните капацитети на институциите во рамките на структурата на ИПАРД</w:t>
      </w:r>
    </w:p>
    <w:p w:rsidR="00194389" w:rsidRPr="00194389" w:rsidRDefault="00194389" w:rsidP="00194389">
      <w:pPr>
        <w:spacing w:before="120" w:after="120"/>
        <w:ind w:firstLine="360"/>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Секоја институција во рамките на структурата на ИПАРД подготвува</w:t>
      </w:r>
      <w:r w:rsidRPr="00194389">
        <w:rPr>
          <w:rFonts w:ascii="StobiSerif Regular" w:eastAsia="Calibri" w:hAnsi="StobiSerif Regular" w:cs="Times New Roman"/>
          <w:lang w:eastAsia="mk-MK"/>
        </w:rPr>
        <w:t xml:space="preserve"> Анализа на </w:t>
      </w:r>
      <w:r w:rsidRPr="00194389">
        <w:rPr>
          <w:rFonts w:ascii="StobiSerif Regular" w:eastAsia="Calibri" w:hAnsi="StobiSerif Regular" w:cs="Times New Roman"/>
          <w:lang w:val="en-US" w:eastAsia="mk-MK"/>
        </w:rPr>
        <w:t>Обемот на работа</w:t>
      </w:r>
      <w:r w:rsidRPr="00194389">
        <w:rPr>
          <w:rFonts w:ascii="StobiSerif Regular" w:eastAsia="Calibri" w:hAnsi="StobiSerif Regular" w:cs="Times New Roman"/>
          <w:lang w:eastAsia="mk-MK"/>
        </w:rPr>
        <w:t>,</w:t>
      </w:r>
      <w:r w:rsidRPr="00194389">
        <w:rPr>
          <w:rFonts w:ascii="StobiSerif Regular" w:eastAsia="Calibri" w:hAnsi="StobiSerif Regular" w:cs="Times New Roman"/>
          <w:lang w:val="en-US" w:eastAsia="mk-MK"/>
        </w:rPr>
        <w:t xml:space="preserve"> со цел да се идентификува оптималниот број на вработени за </w:t>
      </w:r>
      <w:r w:rsidRPr="00194389">
        <w:rPr>
          <w:rFonts w:ascii="StobiSerif Regular" w:eastAsia="Calibri" w:hAnsi="StobiSerif Regular" w:cs="Times New Roman"/>
          <w:lang w:eastAsia="mk-MK"/>
        </w:rPr>
        <w:t>односната</w:t>
      </w:r>
      <w:r w:rsidRPr="00194389">
        <w:rPr>
          <w:rFonts w:ascii="StobiSerif Regular" w:eastAsia="Calibri" w:hAnsi="StobiSerif Regular" w:cs="Times New Roman"/>
          <w:lang w:val="en-US" w:eastAsia="mk-MK"/>
        </w:rPr>
        <w:t xml:space="preserve"> година и потреба</w:t>
      </w:r>
      <w:r w:rsidRPr="00194389">
        <w:rPr>
          <w:rFonts w:ascii="StobiSerif Regular" w:eastAsia="Calibri" w:hAnsi="StobiSerif Regular" w:cs="Times New Roman"/>
          <w:lang w:eastAsia="mk-MK"/>
        </w:rPr>
        <w:t>та</w:t>
      </w:r>
      <w:r w:rsidRPr="00194389">
        <w:rPr>
          <w:rFonts w:ascii="StobiSerif Regular" w:eastAsia="Calibri" w:hAnsi="StobiSerif Regular" w:cs="Times New Roman"/>
          <w:lang w:val="en-US" w:eastAsia="mk-MK"/>
        </w:rPr>
        <w:t xml:space="preserve"> за понатамошни вработувања со цел спроведување на задачите и одговорностите. Следниве документи </w:t>
      </w:r>
      <w:r w:rsidRPr="00194389">
        <w:rPr>
          <w:rFonts w:ascii="StobiSerif Regular" w:eastAsia="Calibri" w:hAnsi="StobiSerif Regular" w:cs="Times New Roman"/>
          <w:lang w:eastAsia="mk-MK"/>
        </w:rPr>
        <w:t>ја искажуваат</w:t>
      </w:r>
      <w:r w:rsidRPr="00194389">
        <w:rPr>
          <w:rFonts w:ascii="StobiSerif Regular" w:eastAsia="Calibri" w:hAnsi="StobiSerif Regular" w:cs="Times New Roman"/>
          <w:lang w:val="en-US" w:eastAsia="mk-MK"/>
        </w:rPr>
        <w:t xml:space="preserve"> проценка</w:t>
      </w:r>
      <w:r w:rsidRPr="00194389">
        <w:rPr>
          <w:rFonts w:ascii="StobiSerif Regular" w:eastAsia="Calibri" w:hAnsi="StobiSerif Regular" w:cs="Times New Roman"/>
          <w:lang w:eastAsia="mk-MK"/>
        </w:rPr>
        <w:t>та</w:t>
      </w:r>
      <w:r w:rsidRPr="00194389">
        <w:rPr>
          <w:rFonts w:ascii="StobiSerif Regular" w:eastAsia="Calibri" w:hAnsi="StobiSerif Regular" w:cs="Times New Roman"/>
          <w:lang w:val="en-US" w:eastAsia="mk-MK"/>
        </w:rPr>
        <w:t xml:space="preserve"> на потребните капацитети во секое тело и исполнување на утврдените потреби.</w:t>
      </w:r>
    </w:p>
    <w:p w:rsidR="00194389" w:rsidRPr="00194389" w:rsidRDefault="00194389" w:rsidP="00BA1CE8">
      <w:pPr>
        <w:numPr>
          <w:ilvl w:val="0"/>
          <w:numId w:val="12"/>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lang w:eastAsia="mk-MK"/>
        </w:rPr>
        <w:t xml:space="preserve">Анализа на </w:t>
      </w:r>
      <w:r w:rsidRPr="00194389">
        <w:rPr>
          <w:rFonts w:ascii="StobiSerif Regular" w:eastAsia="Calibri" w:hAnsi="StobiSerif Regular" w:cs="Times New Roman"/>
          <w:lang w:val="en-US" w:eastAsia="mk-MK"/>
        </w:rPr>
        <w:t>Обемот на работа</w:t>
      </w:r>
      <w:r w:rsidRPr="00194389">
        <w:rPr>
          <w:rFonts w:ascii="StobiSerif Regular" w:eastAsia="Calibri" w:hAnsi="StobiSerif Regular" w:cs="Times New Roman"/>
          <w:lang w:eastAsia="mk-MK"/>
        </w:rPr>
        <w:t xml:space="preserve"> за ИПАРД Агенција (Арх.бр. </w:t>
      </w:r>
      <w:r w:rsidRPr="00194389">
        <w:rPr>
          <w:rFonts w:ascii="StobiSerif Regular" w:eastAsia="Calibri" w:hAnsi="StobiSerif Regular" w:cs="Times New Roman"/>
          <w:color w:val="000000"/>
          <w:lang w:val="en-US" w:eastAsia="mk-MK"/>
        </w:rPr>
        <w:t>04-1306/2</w:t>
      </w:r>
      <w:r w:rsidRPr="00194389">
        <w:rPr>
          <w:rFonts w:ascii="StobiSerif Regular" w:eastAsia="Calibri" w:hAnsi="StobiSerif Regular" w:cs="Times New Roman"/>
          <w:color w:val="000000"/>
          <w:lang w:eastAsia="mk-MK"/>
        </w:rPr>
        <w:t xml:space="preserve"> од 01.02.2016);</w:t>
      </w:r>
    </w:p>
    <w:p w:rsidR="00194389" w:rsidRPr="00194389" w:rsidRDefault="00194389" w:rsidP="00BA1CE8">
      <w:pPr>
        <w:numPr>
          <w:ilvl w:val="0"/>
          <w:numId w:val="12"/>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lang w:eastAsia="mk-MK"/>
        </w:rPr>
        <w:t xml:space="preserve">Анализа на </w:t>
      </w:r>
      <w:r w:rsidRPr="00194389">
        <w:rPr>
          <w:rFonts w:ascii="StobiSerif Regular" w:eastAsia="Calibri" w:hAnsi="StobiSerif Regular" w:cs="Times New Roman"/>
          <w:lang w:val="en-US" w:eastAsia="mk-MK"/>
        </w:rPr>
        <w:t>Обемот на работа</w:t>
      </w:r>
      <w:r w:rsidRPr="00194389">
        <w:rPr>
          <w:rFonts w:ascii="StobiSerif Regular" w:eastAsia="Calibri" w:hAnsi="StobiSerif Regular" w:cs="Times New Roman"/>
          <w:lang w:eastAsia="mk-MK"/>
        </w:rPr>
        <w:t xml:space="preserve"> за </w:t>
      </w:r>
      <w:r w:rsidRPr="00194389">
        <w:rPr>
          <w:rFonts w:ascii="StobiSerif Regular" w:eastAsia="Calibri" w:hAnsi="StobiSerif Regular" w:cs="Times New Roman"/>
          <w:color w:val="000000"/>
          <w:lang w:val="en-US" w:eastAsia="mk-MK"/>
        </w:rPr>
        <w:t xml:space="preserve">2016 </w:t>
      </w:r>
      <w:r w:rsidRPr="00194389">
        <w:rPr>
          <w:rFonts w:ascii="StobiSerif Regular" w:eastAsia="Calibri" w:hAnsi="StobiSerif Regular" w:cs="Times New Roman"/>
          <w:color w:val="000000"/>
          <w:lang w:eastAsia="mk-MK"/>
        </w:rPr>
        <w:t>(Арх.бр.</w:t>
      </w:r>
      <w:r w:rsidRPr="00194389">
        <w:rPr>
          <w:rFonts w:ascii="StobiSerif Regular" w:eastAsia="Calibri" w:hAnsi="StobiSerif Regular" w:cs="Times New Roman"/>
          <w:color w:val="000000"/>
          <w:lang w:val="en-US" w:eastAsia="mk-MK"/>
        </w:rPr>
        <w:t xml:space="preserve">11-1830/1 </w:t>
      </w:r>
      <w:r w:rsidRPr="00194389">
        <w:rPr>
          <w:rFonts w:ascii="StobiSerif Regular" w:eastAsia="Calibri" w:hAnsi="StobiSerif Regular" w:cs="Times New Roman"/>
          <w:color w:val="000000"/>
          <w:lang w:eastAsia="mk-MK"/>
        </w:rPr>
        <w:t>од</w:t>
      </w:r>
      <w:r w:rsidRPr="00194389">
        <w:rPr>
          <w:rFonts w:ascii="StobiSerif Regular" w:eastAsia="Calibri" w:hAnsi="StobiSerif Regular" w:cs="Times New Roman"/>
          <w:color w:val="000000"/>
          <w:lang w:val="en-US" w:eastAsia="mk-MK"/>
        </w:rPr>
        <w:t xml:space="preserve"> 11.02.2016</w:t>
      </w:r>
      <w:r w:rsidRPr="00194389">
        <w:rPr>
          <w:rFonts w:ascii="StobiSerif Regular" w:eastAsia="Calibri" w:hAnsi="StobiSerif Regular" w:cs="Times New Roman"/>
          <w:color w:val="000000"/>
          <w:lang w:eastAsia="mk-MK"/>
        </w:rPr>
        <w:t>)</w:t>
      </w:r>
      <w:r w:rsidRPr="00194389">
        <w:rPr>
          <w:rFonts w:ascii="StobiSerif Regular" w:eastAsia="Calibri" w:hAnsi="StobiSerif Regular" w:cs="Times New Roman"/>
          <w:color w:val="000000"/>
          <w:lang w:val="en-US" w:eastAsia="mk-MK"/>
        </w:rPr>
        <w:t xml:space="preserve">; </w:t>
      </w:r>
    </w:p>
    <w:p w:rsidR="00194389" w:rsidRPr="00194389" w:rsidRDefault="00194389" w:rsidP="00BA1CE8">
      <w:pPr>
        <w:numPr>
          <w:ilvl w:val="0"/>
          <w:numId w:val="12"/>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Консолидиран Обем на работа на анализа за 2016 година на</w:t>
      </w:r>
      <w:r w:rsidRPr="00194389">
        <w:rPr>
          <w:rFonts w:ascii="StobiSerif Regular" w:eastAsia="Calibri" w:hAnsi="StobiSerif Regular" w:cs="Times New Roman"/>
          <w:color w:val="000000"/>
          <w:lang w:eastAsia="mk-MK"/>
        </w:rPr>
        <w:t xml:space="preserve"> ИПА</w:t>
      </w:r>
      <w:r w:rsidRPr="00194389">
        <w:rPr>
          <w:rFonts w:ascii="StobiSerif Regular" w:eastAsia="Calibri" w:hAnsi="StobiSerif Regular" w:cs="Times New Roman"/>
          <w:color w:val="000000"/>
          <w:lang w:val="en-US" w:eastAsia="mk-MK"/>
        </w:rPr>
        <w:t xml:space="preserve"> структури</w:t>
      </w:r>
      <w:r w:rsidRPr="00194389">
        <w:rPr>
          <w:rFonts w:ascii="StobiSerif Regular" w:eastAsia="Calibri" w:hAnsi="StobiSerif Regular" w:cs="Times New Roman"/>
          <w:color w:val="000000"/>
          <w:lang w:eastAsia="mk-MK"/>
        </w:rPr>
        <w:t>те</w:t>
      </w:r>
      <w:r w:rsidRPr="00194389">
        <w:rPr>
          <w:rFonts w:ascii="StobiSerif Regular" w:eastAsia="Calibri" w:hAnsi="StobiSerif Regular" w:cs="Times New Roman"/>
          <w:color w:val="000000"/>
          <w:lang w:val="en-US" w:eastAsia="mk-MK"/>
        </w:rPr>
        <w:t xml:space="preserve"> за ИПА Компонента V-рурален </w:t>
      </w:r>
      <w:r w:rsidRPr="00194389">
        <w:rPr>
          <w:rFonts w:ascii="StobiSerif Regular" w:eastAsia="Calibri" w:hAnsi="StobiSerif Regular" w:cs="Times New Roman"/>
          <w:color w:val="000000"/>
          <w:lang w:eastAsia="mk-MK"/>
        </w:rPr>
        <w:t>(Арх.бр.</w:t>
      </w:r>
      <w:r w:rsidRPr="00194389">
        <w:rPr>
          <w:rFonts w:ascii="StobiSerif Regular" w:eastAsia="Calibri" w:hAnsi="StobiSerif Regular" w:cs="Times New Roman"/>
          <w:color w:val="000000"/>
          <w:lang w:val="en-US" w:eastAsia="mk-MK"/>
        </w:rPr>
        <w:t xml:space="preserve">10-2201 / 1 од </w:t>
      </w:r>
      <w:r w:rsidRPr="00194389">
        <w:rPr>
          <w:rFonts w:ascii="StobiSerif Regular" w:eastAsia="Calibri" w:hAnsi="StobiSerif Regular" w:cs="Times New Roman"/>
          <w:color w:val="000000"/>
          <w:lang w:eastAsia="mk-MK"/>
        </w:rPr>
        <w:t>01.04.2016);</w:t>
      </w:r>
    </w:p>
    <w:p w:rsidR="00194389" w:rsidRPr="00194389" w:rsidRDefault="00194389" w:rsidP="00BA1CE8">
      <w:pPr>
        <w:numPr>
          <w:ilvl w:val="0"/>
          <w:numId w:val="12"/>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Анализа на обемот на работа на Управувачката структура за 2016 (Арх.бр.10-14413 / 1 од 09.10.2015);</w:t>
      </w:r>
    </w:p>
    <w:p w:rsidR="00194389" w:rsidRPr="00194389" w:rsidRDefault="00194389" w:rsidP="00BA1CE8">
      <w:pPr>
        <w:numPr>
          <w:ilvl w:val="0"/>
          <w:numId w:val="12"/>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Измена на план за вработување на ИПАРД Агенцијата (Арх.бр.01-1307 / 2 од 31.08.2016);</w:t>
      </w:r>
    </w:p>
    <w:p w:rsidR="00194389" w:rsidRPr="00194389" w:rsidRDefault="00194389" w:rsidP="00BA1CE8">
      <w:pPr>
        <w:numPr>
          <w:ilvl w:val="0"/>
          <w:numId w:val="12"/>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Индикатори за ефикасно функционирање на системите за управување и контрола</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u w:val="single"/>
          <w:lang w:val="en-US" w:eastAsia="mk-MK"/>
        </w:rPr>
      </w:pPr>
      <w:r w:rsidRPr="00194389">
        <w:rPr>
          <w:rFonts w:ascii="StobiSerif Regular" w:eastAsia="Calibri" w:hAnsi="StobiSerif Regular" w:cs="Times New Roman"/>
          <w:u w:val="single"/>
          <w:lang w:eastAsia="mk-MK"/>
        </w:rPr>
        <w:t>Извештај за нерегуларности</w:t>
      </w:r>
    </w:p>
    <w:p w:rsidR="00194389" w:rsidRPr="00194389" w:rsidRDefault="00194389" w:rsidP="00194389">
      <w:pPr>
        <w:spacing w:before="120" w:after="120"/>
        <w:jc w:val="both"/>
        <w:rPr>
          <w:rFonts w:ascii="StobiSerif Regular" w:eastAsia="Calibri" w:hAnsi="StobiSerif Regular" w:cs="Times New Roman"/>
          <w:lang w:eastAsia="mk-MK"/>
        </w:rPr>
      </w:pPr>
      <w:r w:rsidRPr="00194389">
        <w:rPr>
          <w:rFonts w:ascii="StobiSerif Regular" w:eastAsia="Calibri" w:hAnsi="StobiSerif Regular" w:cs="Times New Roman"/>
          <w:lang w:val="en-US" w:eastAsia="mk-MK"/>
        </w:rPr>
        <w:t>НАО добива информации за констатираните неправилности и</w:t>
      </w:r>
      <w:r w:rsidRPr="00194389">
        <w:rPr>
          <w:rFonts w:ascii="StobiSerif Regular" w:eastAsia="Calibri" w:hAnsi="StobiSerif Regular" w:cs="Times New Roman"/>
          <w:lang w:eastAsia="mk-MK"/>
        </w:rPr>
        <w:t xml:space="preserve"> ги следи</w:t>
      </w:r>
      <w:r w:rsidRPr="00194389">
        <w:rPr>
          <w:rFonts w:ascii="StobiSerif Regular" w:eastAsia="Calibri" w:hAnsi="StobiSerif Regular" w:cs="Times New Roman"/>
          <w:lang w:val="en-US" w:eastAsia="mk-MK"/>
        </w:rPr>
        <w:t xml:space="preserve"> активностите во однос на откриени или воочени неправилности. Во однос на</w:t>
      </w:r>
      <w:r w:rsidRPr="00194389">
        <w:rPr>
          <w:rFonts w:ascii="StobiSerif Regular" w:eastAsia="Calibri" w:hAnsi="StobiSerif Regular" w:cs="Times New Roman"/>
          <w:lang w:eastAsia="mk-MK"/>
        </w:rPr>
        <w:t xml:space="preserve"> </w:t>
      </w:r>
      <w:r w:rsidRPr="00194389">
        <w:rPr>
          <w:rFonts w:ascii="StobiSerif Regular" w:eastAsia="Calibri" w:hAnsi="StobiSerif Regular" w:cs="Times New Roman"/>
          <w:lang w:val="en-US" w:eastAsia="mk-MK"/>
        </w:rPr>
        <w:t>нерегуларности</w:t>
      </w:r>
      <w:r w:rsidRPr="00194389">
        <w:rPr>
          <w:rFonts w:ascii="StobiSerif Regular" w:eastAsia="Calibri" w:hAnsi="StobiSerif Regular" w:cs="Times New Roman"/>
          <w:lang w:eastAsia="mk-MK"/>
        </w:rPr>
        <w:t>те</w:t>
      </w:r>
      <w:r w:rsidRPr="00194389">
        <w:rPr>
          <w:rFonts w:ascii="StobiSerif Regular" w:eastAsia="Calibri" w:hAnsi="StobiSerif Regular" w:cs="Times New Roman"/>
          <w:lang w:val="en-US" w:eastAsia="mk-MK"/>
        </w:rPr>
        <w:t xml:space="preserve"> </w:t>
      </w:r>
      <w:r w:rsidRPr="00194389">
        <w:rPr>
          <w:rFonts w:ascii="StobiSerif Regular" w:eastAsia="Calibri" w:hAnsi="StobiSerif Regular" w:cs="Times New Roman"/>
          <w:lang w:eastAsia="mk-MK"/>
        </w:rPr>
        <w:t>беа прегледани следните документи:</w:t>
      </w:r>
    </w:p>
    <w:p w:rsidR="00194389" w:rsidRPr="00194389" w:rsidRDefault="00194389" w:rsidP="00BA1CE8">
      <w:pPr>
        <w:numPr>
          <w:ilvl w:val="0"/>
          <w:numId w:val="13"/>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Извештај за неправилности и Збирните табели</w:t>
      </w:r>
      <w:r w:rsidRPr="00194389">
        <w:rPr>
          <w:rFonts w:ascii="StobiSerif Regular" w:eastAsia="Calibri" w:hAnsi="StobiSerif Regular" w:cs="Times New Roman"/>
          <w:color w:val="000000"/>
          <w:lang w:val="en-US" w:eastAsia="mk-MK"/>
        </w:rPr>
        <w:t xml:space="preserve"> поднесен од страна на ИПАРД Агенцијата,</w:t>
      </w:r>
    </w:p>
    <w:p w:rsidR="00194389" w:rsidRPr="00194389" w:rsidRDefault="00194389" w:rsidP="00BA1CE8">
      <w:pPr>
        <w:numPr>
          <w:ilvl w:val="0"/>
          <w:numId w:val="13"/>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Регистар на неправилности</w:t>
      </w:r>
      <w:r w:rsidRPr="00194389">
        <w:rPr>
          <w:rFonts w:ascii="StobiSerif Regular" w:eastAsia="Calibri" w:hAnsi="StobiSerif Regular" w:cs="Times New Roman"/>
          <w:color w:val="000000"/>
          <w:lang w:val="en-US" w:eastAsia="mk-MK"/>
        </w:rPr>
        <w:t>;</w:t>
      </w:r>
    </w:p>
    <w:p w:rsidR="00194389" w:rsidRPr="000A3FFD" w:rsidRDefault="00194389" w:rsidP="00BA1CE8">
      <w:pPr>
        <w:numPr>
          <w:ilvl w:val="0"/>
          <w:numId w:val="13"/>
        </w:numPr>
        <w:spacing w:before="120" w:after="120"/>
        <w:contextualSpacing/>
        <w:jc w:val="both"/>
        <w:rPr>
          <w:rFonts w:ascii="StobiSerif Regular" w:eastAsia="Calibri" w:hAnsi="StobiSerif Regular" w:cs="Times New Roman"/>
          <w:color w:val="000000"/>
          <w:lang w:val="en-US" w:eastAsia="mk-MK"/>
        </w:rPr>
      </w:pPr>
      <w:r w:rsidRPr="000A3FFD">
        <w:rPr>
          <w:rFonts w:ascii="StobiSerif Regular" w:eastAsia="Calibri" w:hAnsi="StobiSerif Regular" w:cs="Times New Roman"/>
          <w:color w:val="000000"/>
          <w:lang w:eastAsia="mk-MK"/>
        </w:rPr>
        <w:t>Извештај за неправилности доставени до ЕК од страна на НАО</w:t>
      </w:r>
      <w:r w:rsidRPr="000A3FFD">
        <w:rPr>
          <w:rFonts w:ascii="StobiSerif Regular" w:eastAsia="Calibri" w:hAnsi="StobiSerif Regular" w:cs="Times New Roman"/>
          <w:color w:val="000000"/>
          <w:lang w:val="en-US" w:eastAsia="mk-MK"/>
        </w:rPr>
        <w:t>:</w:t>
      </w:r>
    </w:p>
    <w:p w:rsidR="009C4F6C" w:rsidRPr="000A3FFD" w:rsidRDefault="009C4F6C" w:rsidP="009C4F6C">
      <w:pPr>
        <w:numPr>
          <w:ilvl w:val="0"/>
          <w:numId w:val="29"/>
        </w:numPr>
        <w:spacing w:before="120" w:after="120"/>
        <w:contextualSpacing/>
        <w:jc w:val="both"/>
        <w:rPr>
          <w:rFonts w:ascii="StobiSerif Regular" w:eastAsia="Calibri" w:hAnsi="StobiSerif Regular" w:cs="Times New Roman"/>
          <w:color w:val="000000"/>
          <w:lang w:eastAsia="mk-MK"/>
        </w:rPr>
      </w:pPr>
      <w:r w:rsidRPr="000A3FFD">
        <w:rPr>
          <w:rFonts w:ascii="StobiSerif Regular" w:eastAsia="Calibri" w:hAnsi="StobiSerif Regular" w:cs="Times New Roman"/>
          <w:color w:val="000000"/>
          <w:lang w:val="en-US" w:eastAsia="mk-MK"/>
        </w:rPr>
        <w:t xml:space="preserve">Со писмо (conf.10-58 / 1) со датум од 31.05.2016 година за I квартал 2016: MK / 2016/019 / RD / 1 со (conf.10-58 / 1) со датум од 31.05.2016 година, </w:t>
      </w:r>
      <w:r w:rsidRPr="000A3FFD">
        <w:rPr>
          <w:rFonts w:ascii="StobiSerif Regular" w:eastAsia="Calibri" w:hAnsi="StobiSerif Regular" w:cs="Times New Roman"/>
          <w:color w:val="000000"/>
          <w:lang w:eastAsia="mk-MK"/>
        </w:rPr>
        <w:t>и</w:t>
      </w:r>
      <w:r w:rsidRPr="000A3FFD">
        <w:rPr>
          <w:rFonts w:ascii="StobiSerif Regular" w:eastAsia="Calibri" w:hAnsi="StobiSerif Regular" w:cs="Times New Roman"/>
          <w:color w:val="000000"/>
          <w:lang w:val="en-US" w:eastAsia="mk-MK"/>
        </w:rPr>
        <w:t xml:space="preserve"> МК / 2016/018 / </w:t>
      </w:r>
      <w:r w:rsidRPr="000A3FFD">
        <w:rPr>
          <w:rFonts w:ascii="StobiSerif Regular" w:eastAsia="Calibri" w:hAnsi="StobiSerif Regular" w:cs="Times New Roman"/>
          <w:color w:val="000000"/>
          <w:lang w:val="en-US" w:eastAsia="mk-MK"/>
        </w:rPr>
        <w:t></w:t>
      </w:r>
      <w:r w:rsidRPr="000A3FFD">
        <w:rPr>
          <w:rFonts w:ascii="StobiSerif Regular" w:eastAsia="Calibri" w:hAnsi="StobiSerif Regular" w:cs="Times New Roman"/>
          <w:color w:val="000000"/>
          <w:lang w:val="en-US" w:eastAsia="mk-MK"/>
        </w:rPr>
        <w:t> / 1 со (conf.10-58 / 1) со датум од 31.05.2016 година;</w:t>
      </w:r>
    </w:p>
    <w:p w:rsidR="00194389" w:rsidRPr="000A3FFD" w:rsidRDefault="000A3FFD" w:rsidP="000A3FFD">
      <w:pPr>
        <w:numPr>
          <w:ilvl w:val="0"/>
          <w:numId w:val="29"/>
        </w:numPr>
        <w:spacing w:before="120" w:after="120"/>
        <w:contextualSpacing/>
        <w:jc w:val="both"/>
        <w:rPr>
          <w:rFonts w:ascii="StobiSerif Regular" w:eastAsia="Calibri" w:hAnsi="StobiSerif Regular" w:cs="Times New Roman"/>
          <w:color w:val="000000"/>
          <w:lang w:eastAsia="mk-MK"/>
        </w:rPr>
      </w:pPr>
      <w:r w:rsidRPr="000A3FFD">
        <w:rPr>
          <w:rFonts w:ascii="StobiSerif Regular" w:eastAsia="Calibri" w:hAnsi="StobiSerif Regular" w:cs="Times New Roman"/>
          <w:color w:val="000000"/>
          <w:lang w:val="en-US" w:eastAsia="mk-MK"/>
        </w:rPr>
        <w:t xml:space="preserve">Со писмо (conf.10-109 / 1) со датум од 31.08.2016 година за II квартал 2016: MK / 2012/016 / RD / 7 со (conf.10-101 / 1) со датум од 31.08.2016 година; </w:t>
      </w:r>
    </w:p>
    <w:p w:rsidR="00194389" w:rsidRPr="000A3FFD" w:rsidRDefault="000A3FFD" w:rsidP="000A3FFD">
      <w:pPr>
        <w:numPr>
          <w:ilvl w:val="0"/>
          <w:numId w:val="29"/>
        </w:numPr>
        <w:spacing w:before="120" w:after="120"/>
        <w:contextualSpacing/>
        <w:jc w:val="both"/>
        <w:rPr>
          <w:rFonts w:ascii="StobiSerif Regular" w:eastAsia="Calibri" w:hAnsi="StobiSerif Regular" w:cs="Times New Roman"/>
          <w:color w:val="000000"/>
          <w:lang w:val="en-US" w:eastAsia="mk-MK"/>
        </w:rPr>
      </w:pPr>
      <w:r w:rsidRPr="000A3FFD">
        <w:rPr>
          <w:rFonts w:ascii="StobiSerif Regular" w:eastAsia="Calibri" w:hAnsi="StobiSerif Regular" w:cs="Times New Roman"/>
          <w:color w:val="000000"/>
          <w:lang w:val="en-US" w:eastAsia="mk-MK"/>
        </w:rPr>
        <w:t>• Со писмо (conf.10-116 / 1) со датум од 29.11.2016 година за третото тримесечје од 2016 година со известување дека не се појавија нови неправилности во текот на третиот квартал 2016 година и дека не се идентификувани нови факти во врска со претходно пријавените неправилности. Затоа, не беа испратени никакви ажурирања на Извештаите за нерегуларности</w:t>
      </w:r>
      <w:r w:rsidR="00194389" w:rsidRPr="000A3FFD">
        <w:rPr>
          <w:rFonts w:ascii="StobiSerif Regular" w:eastAsia="Calibri" w:hAnsi="StobiSerif Regular" w:cs="Times New Roman"/>
          <w:color w:val="000000"/>
          <w:lang w:eastAsia="mk-MK"/>
        </w:rPr>
        <w:t>;</w:t>
      </w:r>
    </w:p>
    <w:p w:rsidR="00194389" w:rsidRPr="000A3FFD" w:rsidRDefault="000A3FFD" w:rsidP="000A3FFD">
      <w:pPr>
        <w:numPr>
          <w:ilvl w:val="0"/>
          <w:numId w:val="29"/>
        </w:numPr>
        <w:spacing w:before="120" w:after="120"/>
        <w:contextualSpacing/>
        <w:jc w:val="both"/>
        <w:rPr>
          <w:rFonts w:ascii="StobiSerif Regular" w:eastAsia="Calibri" w:hAnsi="StobiSerif Regular" w:cs="Times New Roman"/>
          <w:color w:val="000000"/>
          <w:lang w:val="en-US" w:eastAsia="mk-MK"/>
        </w:rPr>
      </w:pPr>
      <w:r w:rsidRPr="000A3FFD">
        <w:rPr>
          <w:rFonts w:ascii="StobiSerif Regular" w:eastAsia="Calibri" w:hAnsi="StobiSerif Regular" w:cs="Times New Roman"/>
          <w:color w:val="000000"/>
          <w:lang w:val="en-US" w:eastAsia="mk-MK"/>
        </w:rPr>
        <w:t>Со писмо (conf.10-21 / 1) со датум од 24.02.2017 година за четвртиот квартал 2016: MK / 2012/016 / RD / 8 со (conf.10-22 / 1) со датум од 24.02.2017 година и MK / 2012/013 / RD / 9 со (conf.10-23 / 1) со датум од 24.02.2017 година</w:t>
      </w:r>
    </w:p>
    <w:p w:rsidR="00194389" w:rsidRPr="000A3FFD" w:rsidRDefault="00194389" w:rsidP="00BA1CE8">
      <w:pPr>
        <w:numPr>
          <w:ilvl w:val="0"/>
          <w:numId w:val="15"/>
        </w:numPr>
        <w:spacing w:before="120" w:after="120"/>
        <w:contextualSpacing/>
        <w:jc w:val="both"/>
        <w:rPr>
          <w:rFonts w:ascii="StobiSerif Regular" w:eastAsia="Calibri" w:hAnsi="StobiSerif Regular" w:cs="Times New Roman"/>
          <w:color w:val="000000"/>
          <w:lang w:val="en-US" w:eastAsia="mk-MK"/>
        </w:rPr>
      </w:pPr>
      <w:r w:rsidRPr="000A3FFD">
        <w:rPr>
          <w:rFonts w:ascii="StobiSerif Regular" w:eastAsia="Calibri" w:hAnsi="StobiSerif Regular" w:cs="Times New Roman"/>
          <w:color w:val="000000"/>
          <w:lang w:eastAsia="mk-MK"/>
        </w:rPr>
        <w:t>Книги на обврски поднесени во врска со спроведувањето на плаќање за првиот, вториот, третиот и четвртиот квартал од 2016 година</w:t>
      </w:r>
    </w:p>
    <w:p w:rsidR="00194389" w:rsidRPr="000A3FFD" w:rsidRDefault="00194389" w:rsidP="00BA1CE8">
      <w:pPr>
        <w:numPr>
          <w:ilvl w:val="0"/>
          <w:numId w:val="15"/>
        </w:numPr>
        <w:spacing w:before="120" w:after="120"/>
        <w:contextualSpacing/>
        <w:jc w:val="both"/>
        <w:rPr>
          <w:rFonts w:ascii="StobiSerif Regular" w:eastAsia="Calibri" w:hAnsi="StobiSerif Regular" w:cs="Times New Roman"/>
          <w:color w:val="000000"/>
          <w:lang w:val="en-US" w:eastAsia="mk-MK"/>
        </w:rPr>
      </w:pPr>
      <w:r w:rsidRPr="000A3FFD">
        <w:rPr>
          <w:rFonts w:ascii="StobiSerif Regular" w:eastAsia="Calibri" w:hAnsi="StobiSerif Regular" w:cs="Times New Roman"/>
          <w:color w:val="000000"/>
          <w:lang w:eastAsia="mk-MK"/>
        </w:rPr>
        <w:t>Записници од Кварталните панели за нерегуларности</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lang w:eastAsia="mk-MK"/>
        </w:rPr>
      </w:pPr>
      <w:r w:rsidRPr="000A3FFD">
        <w:rPr>
          <w:rFonts w:ascii="StobiSerif Regular" w:eastAsia="Calibri" w:hAnsi="StobiSerif Regular" w:cs="Times New Roman"/>
          <w:u w:val="single"/>
          <w:lang w:eastAsia="mk-MK"/>
        </w:rPr>
        <w:t>Документи</w:t>
      </w:r>
      <w:r w:rsidRPr="00194389">
        <w:rPr>
          <w:rFonts w:ascii="StobiSerif Regular" w:eastAsia="Calibri" w:hAnsi="StobiSerif Regular" w:cs="Times New Roman"/>
          <w:u w:val="single"/>
          <w:lang w:eastAsia="mk-MK"/>
        </w:rPr>
        <w:t xml:space="preserve"> поврзани со планирање и следење на спроведувањето на ИПАРД Програмата</w:t>
      </w:r>
    </w:p>
    <w:p w:rsidR="00194389" w:rsidRPr="00194389" w:rsidRDefault="00194389" w:rsidP="00194389">
      <w:pPr>
        <w:spacing w:before="120" w:after="120"/>
        <w:ind w:firstLine="284"/>
        <w:jc w:val="both"/>
        <w:rPr>
          <w:rFonts w:ascii="StobiSerif Regular" w:eastAsia="Calibri" w:hAnsi="StobiSerif Regular" w:cs="Times New Roman"/>
          <w:lang w:eastAsia="mk-MK"/>
        </w:rPr>
      </w:pPr>
      <w:r w:rsidRPr="00194389">
        <w:rPr>
          <w:rFonts w:ascii="StobiSerif Regular" w:eastAsia="Calibri" w:hAnsi="StobiSerif Regular" w:cs="Times New Roman"/>
          <w:lang w:eastAsia="mk-MK"/>
        </w:rPr>
        <w:t>Според воспоставениот механизам, НАО / МС редовно подготвува анализи во врска со спроведувањето на ИПАРД Програмата како и исполнување на планираните документи за следење. Следниве документи го опишуваат планот за спроведување на мерките во рамките на ИПАРД програмата и постигнувањата според планот:</w:t>
      </w:r>
    </w:p>
    <w:p w:rsidR="00194389" w:rsidRPr="00194389" w:rsidRDefault="00194389" w:rsidP="00BA1CE8">
      <w:pPr>
        <w:numPr>
          <w:ilvl w:val="0"/>
          <w:numId w:val="16"/>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Набавки и План за имплементација (PIP) - (1 квартал 2015 – Арх.бр..38-6 / 80 од 19.04.2016) втор квартал 2016 – Арх.бр.38-6 / 145  од 22.07.2016, трет квартал 2016 година – Арх.бр.бр.38 -6/170  од 10.10.2016 и четврти квартал 2016 Арх.бр.38-852 / 4 од 22.02.2017)</w:t>
      </w:r>
    </w:p>
    <w:p w:rsidR="00194389" w:rsidRPr="00194389" w:rsidRDefault="00194389" w:rsidP="00BA1CE8">
      <w:pPr>
        <w:numPr>
          <w:ilvl w:val="0"/>
          <w:numId w:val="16"/>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 xml:space="preserve">Анализа на </w:t>
      </w:r>
      <w:r w:rsidRPr="00194389">
        <w:rPr>
          <w:rFonts w:ascii="StobiSerif Regular" w:eastAsia="Calibri" w:hAnsi="StobiSerif Regular" w:cs="Times New Roman"/>
          <w:color w:val="000000"/>
          <w:lang w:eastAsia="mk-MK"/>
        </w:rPr>
        <w:t>губење</w:t>
      </w:r>
      <w:r w:rsidRPr="00194389">
        <w:rPr>
          <w:rFonts w:ascii="StobiSerif Regular" w:eastAsia="Calibri" w:hAnsi="StobiSerif Regular" w:cs="Times New Roman"/>
          <w:color w:val="000000"/>
          <w:lang w:val="en-US" w:eastAsia="mk-MK"/>
        </w:rPr>
        <w:t xml:space="preserve"> на средства според правилото N + 3;</w:t>
      </w:r>
    </w:p>
    <w:p w:rsidR="00194389" w:rsidRPr="00194389" w:rsidRDefault="00194389" w:rsidP="00BA1CE8">
      <w:pPr>
        <w:numPr>
          <w:ilvl w:val="0"/>
          <w:numId w:val="16"/>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Индикатори за ефикасно функционирање на системите за управување и контрола;</w:t>
      </w:r>
    </w:p>
    <w:p w:rsidR="00194389" w:rsidRPr="00194389" w:rsidRDefault="00194389" w:rsidP="00BA1CE8">
      <w:pPr>
        <w:numPr>
          <w:ilvl w:val="0"/>
          <w:numId w:val="16"/>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Квартални извештаи за следење на спроведување на ИПАРД Програмата</w:t>
      </w:r>
      <w:r w:rsidRPr="00194389">
        <w:rPr>
          <w:rFonts w:ascii="StobiSerif Regular" w:eastAsia="Calibri" w:hAnsi="StobiSerif Regular" w:cs="Times New Roman"/>
          <w:color w:val="000000"/>
          <w:lang w:val="en-US" w:eastAsia="mk-MK"/>
        </w:rPr>
        <w:t xml:space="preserve"> - (1 квартал  2016 – Арх.</w:t>
      </w:r>
      <w:r w:rsidRPr="00194389">
        <w:rPr>
          <w:rFonts w:ascii="StobiSerif Regular" w:eastAsia="Calibri" w:hAnsi="StobiSerif Regular" w:cs="Times New Roman"/>
          <w:color w:val="000000"/>
          <w:lang w:eastAsia="mk-MK"/>
        </w:rPr>
        <w:t>бр.</w:t>
      </w:r>
      <w:r w:rsidRPr="00194389">
        <w:rPr>
          <w:rFonts w:ascii="StobiSerif Regular" w:eastAsia="Calibri" w:hAnsi="StobiSerif Regular" w:cs="Times New Roman"/>
          <w:color w:val="000000"/>
          <w:lang w:val="en-US" w:eastAsia="mk-MK"/>
        </w:rPr>
        <w:t xml:space="preserve">.11-5337/1 </w:t>
      </w:r>
      <w:r w:rsidRPr="00194389">
        <w:rPr>
          <w:rFonts w:ascii="StobiSerif Regular" w:eastAsia="Calibri" w:hAnsi="StobiSerif Regular" w:cs="Times New Roman"/>
          <w:color w:val="000000"/>
          <w:lang w:eastAsia="mk-MK"/>
        </w:rPr>
        <w:t>од</w:t>
      </w:r>
      <w:r w:rsidRPr="00194389">
        <w:rPr>
          <w:rFonts w:ascii="StobiSerif Regular" w:eastAsia="Calibri" w:hAnsi="StobiSerif Regular" w:cs="Times New Roman"/>
          <w:color w:val="000000"/>
          <w:lang w:val="en-US" w:eastAsia="mk-MK"/>
        </w:rPr>
        <w:t xml:space="preserve"> 05.05.2016; </w:t>
      </w:r>
      <w:r w:rsidRPr="00194389">
        <w:rPr>
          <w:rFonts w:ascii="StobiSerif Regular" w:eastAsia="Calibri" w:hAnsi="StobiSerif Regular" w:cs="Times New Roman"/>
          <w:color w:val="000000"/>
          <w:lang w:eastAsia="mk-MK"/>
        </w:rPr>
        <w:t>2 квартал</w:t>
      </w:r>
      <w:r w:rsidRPr="00194389">
        <w:rPr>
          <w:rFonts w:ascii="StobiSerif Regular" w:eastAsia="Calibri" w:hAnsi="StobiSerif Regular" w:cs="Times New Roman"/>
          <w:color w:val="000000"/>
          <w:lang w:val="en-US" w:eastAsia="mk-MK"/>
        </w:rPr>
        <w:t xml:space="preserve"> 2016 – Арх.</w:t>
      </w:r>
      <w:r w:rsidRPr="00194389">
        <w:rPr>
          <w:rFonts w:ascii="StobiSerif Regular" w:eastAsia="Calibri" w:hAnsi="StobiSerif Regular" w:cs="Times New Roman"/>
          <w:color w:val="000000"/>
          <w:lang w:eastAsia="mk-MK"/>
        </w:rPr>
        <w:t>бр.</w:t>
      </w:r>
      <w:r w:rsidRPr="00194389">
        <w:rPr>
          <w:rFonts w:ascii="StobiSerif Regular" w:eastAsia="Calibri" w:hAnsi="StobiSerif Regular" w:cs="Times New Roman"/>
          <w:color w:val="000000"/>
          <w:lang w:val="en-US" w:eastAsia="mk-MK"/>
        </w:rPr>
        <w:t xml:space="preserve">.11-7613/1 </w:t>
      </w:r>
      <w:r w:rsidRPr="00194389">
        <w:rPr>
          <w:rFonts w:ascii="StobiSerif Regular" w:eastAsia="Calibri" w:hAnsi="StobiSerif Regular" w:cs="Times New Roman"/>
          <w:color w:val="000000"/>
          <w:lang w:eastAsia="mk-MK"/>
        </w:rPr>
        <w:t>од</w:t>
      </w:r>
      <w:r w:rsidRPr="00194389">
        <w:rPr>
          <w:rFonts w:ascii="StobiSerif Regular" w:eastAsia="Calibri" w:hAnsi="StobiSerif Regular" w:cs="Times New Roman"/>
          <w:color w:val="000000"/>
          <w:lang w:val="en-US" w:eastAsia="mk-MK"/>
        </w:rPr>
        <w:t xml:space="preserve"> 12.08.2016; трет квартал 2016 – Арх.</w:t>
      </w:r>
      <w:r w:rsidRPr="00194389">
        <w:rPr>
          <w:rFonts w:ascii="StobiSerif Regular" w:eastAsia="Calibri" w:hAnsi="StobiSerif Regular" w:cs="Times New Roman"/>
          <w:color w:val="000000"/>
          <w:lang w:eastAsia="mk-MK"/>
        </w:rPr>
        <w:t>бр.</w:t>
      </w:r>
      <w:r w:rsidRPr="00194389">
        <w:rPr>
          <w:rFonts w:ascii="StobiSerif Regular" w:eastAsia="Calibri" w:hAnsi="StobiSerif Regular" w:cs="Times New Roman"/>
          <w:color w:val="000000"/>
          <w:lang w:val="en-US" w:eastAsia="mk-MK"/>
        </w:rPr>
        <w:t>.11-9856/1 04.11.2016 и четврти квартал 2016 – Арх.</w:t>
      </w:r>
      <w:r w:rsidRPr="00194389">
        <w:rPr>
          <w:rFonts w:ascii="StobiSerif Regular" w:eastAsia="Calibri" w:hAnsi="StobiSerif Regular" w:cs="Times New Roman"/>
          <w:color w:val="000000"/>
          <w:lang w:eastAsia="mk-MK"/>
        </w:rPr>
        <w:t>бр</w:t>
      </w:r>
      <w:r w:rsidRPr="00194389">
        <w:rPr>
          <w:rFonts w:ascii="StobiSerif Regular" w:eastAsia="Calibri" w:hAnsi="StobiSerif Regular" w:cs="Times New Roman"/>
          <w:color w:val="000000"/>
          <w:lang w:val="en-US" w:eastAsia="mk-MK"/>
        </w:rPr>
        <w:t>.11-1669/1 од 22.02.2017).</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u w:val="single"/>
          <w:lang w:eastAsia="mk-MK"/>
        </w:rPr>
        <w:t xml:space="preserve">Извештаи од внатрешна ревизија </w:t>
      </w:r>
    </w:p>
    <w:p w:rsidR="00194389" w:rsidRPr="00194389" w:rsidRDefault="00194389" w:rsidP="00194389">
      <w:pPr>
        <w:spacing w:before="120" w:after="120"/>
        <w:ind w:firstLine="284"/>
        <w:jc w:val="both"/>
        <w:rPr>
          <w:rFonts w:ascii="StobiSerif Regular" w:eastAsia="Calibri" w:hAnsi="StobiSerif Regular" w:cs="Times New Roman"/>
          <w:lang w:eastAsia="mk-MK"/>
        </w:rPr>
      </w:pPr>
      <w:r w:rsidRPr="00194389">
        <w:rPr>
          <w:rFonts w:ascii="StobiSerif Regular" w:eastAsia="Calibri" w:hAnsi="StobiSerif Regular" w:cs="Times New Roman"/>
          <w:lang w:eastAsia="mk-MK"/>
        </w:rPr>
        <w:t xml:space="preserve">Беа прегледани извештаите од извршените внатрешни ревизии во ИПАРД структурите од страна на Секторот за внатрешна ревизија на ЕУ-ИПА, како и </w:t>
      </w:r>
      <w:r w:rsidRPr="00194389">
        <w:rPr>
          <w:rFonts w:ascii="StobiSerif Regular" w:eastAsia="Calibri" w:hAnsi="StobiSerif Regular" w:cs="Times New Roman"/>
          <w:lang w:val="en-US" w:eastAsia="mk-MK"/>
        </w:rPr>
        <w:t>T</w:t>
      </w:r>
      <w:r w:rsidRPr="00194389">
        <w:rPr>
          <w:rFonts w:ascii="StobiSerif Regular" w:eastAsia="Calibri" w:hAnsi="StobiSerif Regular" w:cs="Times New Roman"/>
          <w:lang w:eastAsia="mk-MK"/>
        </w:rPr>
        <w:t>абелата за спроведување на препораките од ревизијата.</w:t>
      </w:r>
    </w:p>
    <w:p w:rsidR="00194389" w:rsidRPr="00194389" w:rsidRDefault="00194389" w:rsidP="00BA1CE8">
      <w:pPr>
        <w:numPr>
          <w:ilvl w:val="0"/>
          <w:numId w:val="17"/>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Годишен план за спроведување на внатрешна ревизија за 2016 година од Секторот за внатрешна ревизија при МФ (Арх.бр. 23- 9370/1 од 14.12.2015;</w:t>
      </w:r>
    </w:p>
    <w:p w:rsidR="00194389" w:rsidRPr="00194389" w:rsidRDefault="00194389" w:rsidP="00BA1CE8">
      <w:pPr>
        <w:numPr>
          <w:ilvl w:val="0"/>
          <w:numId w:val="17"/>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Годишен план за спроведување на внатрешна ревизија за 2016 година во ИПАРД Агенција (Арх.бр. 32- 5051/2 од 15.12.2015;</w:t>
      </w:r>
    </w:p>
    <w:p w:rsidR="00194389" w:rsidRPr="00194389" w:rsidRDefault="00194389" w:rsidP="00BA1CE8">
      <w:pPr>
        <w:numPr>
          <w:ilvl w:val="0"/>
          <w:numId w:val="17"/>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Годишен план за спроведување на внатрешна ревизија за 2016 година во МЗШВ (Арх.бр.19- 12461/1 од 14.12.2015;</w:t>
      </w:r>
    </w:p>
    <w:p w:rsidR="00194389" w:rsidRPr="00194389" w:rsidRDefault="00194389" w:rsidP="00BA1CE8">
      <w:pPr>
        <w:numPr>
          <w:ilvl w:val="0"/>
          <w:numId w:val="17"/>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Извештај од внатрешна ревизија за спроведена ревизија на Сервис- проектот Воведување на нови мерки за ИПАРД, спроведена од Сектор за внатрешна ревизија при МЗШВ (Арх.бр. 11- 826/1 од 27.01.2017;</w:t>
      </w:r>
    </w:p>
    <w:p w:rsidR="00194389" w:rsidRPr="00194389" w:rsidRDefault="00194389" w:rsidP="00BA1CE8">
      <w:pPr>
        <w:numPr>
          <w:ilvl w:val="0"/>
          <w:numId w:val="17"/>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Ревизорски извештаи доставени од страна на Сектор за внатрешна ревизија при ИА (6 конечни ревизорки извештаи и 3 нацрт, образложени понатаму во овој документ)</w:t>
      </w:r>
    </w:p>
    <w:p w:rsidR="00194389" w:rsidRPr="00194389" w:rsidRDefault="00194389" w:rsidP="00BA1CE8">
      <w:pPr>
        <w:numPr>
          <w:ilvl w:val="0"/>
          <w:numId w:val="17"/>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 xml:space="preserve">Ревизорски извештај за процесот на финансиско управување и контрола на исправноста на Барањето за средства во рамките на Секторот за управување со ИПА фондовите доставен од страна на Сектор за внатрешна ревизија при  Министерството за финансии (Арх.бр. 23- 2669/4 од 16.06.2016); </w:t>
      </w:r>
    </w:p>
    <w:p w:rsidR="00194389" w:rsidRPr="00194389" w:rsidRDefault="00194389" w:rsidP="00BA1CE8">
      <w:pPr>
        <w:numPr>
          <w:ilvl w:val="0"/>
          <w:numId w:val="17"/>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Statement of quality and the status of internal controls for 2016 of IPARD Agency No.32-821/2 dated as of 13.02.2017;</w:t>
      </w:r>
      <w:r w:rsidRPr="00194389">
        <w:rPr>
          <w:rFonts w:ascii="StobiSerif Regular" w:eastAsia="Calibri" w:hAnsi="StobiSerif Regular" w:cs="Times New Roman"/>
          <w:color w:val="000000"/>
          <w:lang w:eastAsia="mk-MK"/>
        </w:rPr>
        <w:t xml:space="preserve"> Изјава за квалитетот и состојбата на внатрешните контроли за 2016 година на ИПАРД Агенција (Арх.бр..32-821 / 2 од 13.02.2017); </w:t>
      </w:r>
    </w:p>
    <w:p w:rsidR="00194389" w:rsidRPr="00194389" w:rsidRDefault="00194389" w:rsidP="00BA1CE8">
      <w:pPr>
        <w:numPr>
          <w:ilvl w:val="0"/>
          <w:numId w:val="17"/>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Табели за спроведување на ревизорски препораки на НАО, ИА и МА за 2016 година.</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u w:val="single"/>
          <w:lang w:eastAsia="mk-MK"/>
        </w:rPr>
        <w:t>Извештаи на Државен завод за ревизија</w:t>
      </w:r>
    </w:p>
    <w:p w:rsidR="00194389" w:rsidRPr="00194389" w:rsidRDefault="00194389" w:rsidP="00BA1CE8">
      <w:pPr>
        <w:numPr>
          <w:ilvl w:val="0"/>
          <w:numId w:val="18"/>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Годишно  ревизорско мислење за сметки и Изјава за трошоци за 2015 (Арх.бр.13-167 / 7 од 25.04.2016) и Годишно ревизорско мислење за Изјавата за гаранција издадена од страна на НАО за 2015 (Арх.бр.01-183 / 3 од од 26.04. 2016 година);</w:t>
      </w:r>
    </w:p>
    <w:p w:rsidR="00194389" w:rsidRPr="00194389" w:rsidRDefault="00194389" w:rsidP="00BA1CE8">
      <w:pPr>
        <w:numPr>
          <w:ilvl w:val="0"/>
          <w:numId w:val="18"/>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Ревизија на работењето (1) за проверка на усогласеноста на постапките за одобрување на финансиска поддршка и барањата за плаќање и прифатливост на трошоци платени до крајните корисници во 2016 година во ИПАРД Агенцијата (Финален извештај Арх.бр.13-288 / 5 од 16 ноември 2016 година)</w:t>
      </w:r>
    </w:p>
    <w:p w:rsidR="00194389" w:rsidRPr="00194389" w:rsidRDefault="00194389" w:rsidP="00BA1CE8">
      <w:pPr>
        <w:numPr>
          <w:ilvl w:val="0"/>
          <w:numId w:val="18"/>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Систем за ревизија за верификација на ефективно функционирање на системите за управување и контрола за 2016 година во НАО / МС, ТУ и ИПАРД Агенцијата (Конечен извештај Арх.бр.13-363 / 6 од 29 декември 2016 година)</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u w:val="single"/>
          <w:lang w:eastAsia="mk-MK"/>
        </w:rPr>
        <w:t xml:space="preserve"> Писма од ДГ АГРИ за забелешки и препораки</w:t>
      </w:r>
    </w:p>
    <w:p w:rsidR="00194389" w:rsidRPr="00194389" w:rsidRDefault="00194389" w:rsidP="00BA1CE8">
      <w:pPr>
        <w:numPr>
          <w:ilvl w:val="0"/>
          <w:numId w:val="19"/>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Писмо Арес Реф. Ares (2016) 3303246  од</w:t>
      </w:r>
      <w:r w:rsidRPr="00194389">
        <w:rPr>
          <w:rFonts w:ascii="StobiSerif Regular" w:eastAsia="Calibri" w:hAnsi="StobiSerif Regular" w:cs="Times New Roman"/>
          <w:color w:val="000000"/>
          <w:lang w:eastAsia="mk-MK"/>
        </w:rPr>
        <w:t xml:space="preserve"> 11.07.2018 </w:t>
      </w:r>
      <w:r w:rsidRPr="00194389">
        <w:rPr>
          <w:rFonts w:ascii="StobiSerif Regular" w:eastAsia="Calibri" w:hAnsi="StobiSerif Regular" w:cs="Times New Roman"/>
          <w:color w:val="000000"/>
          <w:lang w:val="en-US" w:eastAsia="mk-MK"/>
        </w:rPr>
        <w:t xml:space="preserve"> - ИПАРД прифаќање на сметките за финансиска 2015 година, </w:t>
      </w:r>
      <w:r w:rsidRPr="00194389">
        <w:rPr>
          <w:rFonts w:ascii="StobiSerif Regular" w:eastAsia="Calibri" w:hAnsi="StobiSerif Regular" w:cs="Times New Roman"/>
          <w:color w:val="000000"/>
          <w:lang w:eastAsia="mk-MK"/>
        </w:rPr>
        <w:t>Комуникација</w:t>
      </w:r>
      <w:r w:rsidRPr="00194389">
        <w:rPr>
          <w:rFonts w:ascii="StobiSerif Regular" w:eastAsia="Calibri" w:hAnsi="StobiSerif Regular" w:cs="Times New Roman"/>
          <w:color w:val="000000"/>
          <w:lang w:val="en-US" w:eastAsia="mk-MK"/>
        </w:rPr>
        <w:t xml:space="preserve"> во согласност со член 44 (10) од Секторската спогодба, склучена на 29 јануари 2009 година (</w:t>
      </w:r>
      <w:r w:rsidRPr="00194389">
        <w:rPr>
          <w:rFonts w:ascii="StobiSerif Regular" w:eastAsia="Calibri" w:hAnsi="StobiSerif Regular" w:cs="Times New Roman"/>
          <w:color w:val="000000"/>
          <w:lang w:eastAsia="mk-MK"/>
        </w:rPr>
        <w:t>СС</w:t>
      </w:r>
      <w:r w:rsidRPr="00194389">
        <w:rPr>
          <w:rFonts w:ascii="StobiSerif Regular" w:eastAsia="Calibri" w:hAnsi="StobiSerif Regular" w:cs="Times New Roman"/>
          <w:color w:val="000000"/>
          <w:lang w:val="en-US" w:eastAsia="mk-MK"/>
        </w:rPr>
        <w:t xml:space="preserve"> I) и член 48 (2) и 49 (3) од Секторската спогодба, склучена на 23 март 2016 година (</w:t>
      </w:r>
      <w:r w:rsidRPr="00194389">
        <w:rPr>
          <w:rFonts w:ascii="StobiSerif Regular" w:eastAsia="Calibri" w:hAnsi="StobiSerif Regular" w:cs="Times New Roman"/>
          <w:color w:val="000000"/>
          <w:lang w:eastAsia="mk-MK"/>
        </w:rPr>
        <w:t>СС</w:t>
      </w:r>
      <w:r w:rsidRPr="00194389">
        <w:rPr>
          <w:rFonts w:ascii="StobiSerif Regular" w:eastAsia="Calibri" w:hAnsi="StobiSerif Regular" w:cs="Times New Roman"/>
          <w:color w:val="000000"/>
          <w:lang w:val="en-US" w:eastAsia="mk-MK"/>
        </w:rPr>
        <w:t xml:space="preserve"> II);</w:t>
      </w:r>
    </w:p>
    <w:p w:rsidR="00194389" w:rsidRPr="00194389" w:rsidRDefault="00194389" w:rsidP="00BA1CE8">
      <w:pPr>
        <w:numPr>
          <w:ilvl w:val="0"/>
          <w:numId w:val="19"/>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Одлука на Комисијата од 08.09.2016 - ИПАРД прифаќање на сметки за трошоци финансирани во финансиска 2015 година</w:t>
      </w:r>
    </w:p>
    <w:p w:rsidR="00194389" w:rsidRPr="00194389" w:rsidRDefault="00194389" w:rsidP="00BA1CE8">
      <w:pPr>
        <w:numPr>
          <w:ilvl w:val="0"/>
          <w:numId w:val="19"/>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Писмо Ares (2016) 5867274 од 11.10.2016 - дозвола за сообразност во согласност со член 49 од Секторската спогодба, склучена на 23 март 2016 година (СС II),  Покана за билатерална средба во согласност со член 49 (3), трета под- ставот на СА II</w:t>
      </w:r>
    </w:p>
    <w:p w:rsidR="00194389" w:rsidRPr="00A60EA9" w:rsidRDefault="00194389" w:rsidP="00BA1CE8">
      <w:pPr>
        <w:numPr>
          <w:ilvl w:val="0"/>
          <w:numId w:val="19"/>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 xml:space="preserve">Писмо Ares (2016) 7012606 -  од 16.12.2016  - Барање  </w:t>
      </w:r>
      <w:r w:rsidRPr="00194389">
        <w:rPr>
          <w:rFonts w:ascii="StobiSerif Regular" w:eastAsia="Calibri" w:hAnsi="StobiSerif Regular" w:cs="Times New Roman"/>
          <w:color w:val="000000"/>
          <w:lang w:val="en-US" w:eastAsia="mk-MK"/>
        </w:rPr>
        <w:t>PRE</w:t>
      </w:r>
      <w:r w:rsidRPr="00194389">
        <w:rPr>
          <w:rFonts w:ascii="StobiSerif Regular" w:eastAsia="Calibri" w:hAnsi="StobiSerif Regular" w:cs="Times New Roman"/>
          <w:color w:val="000000"/>
          <w:lang w:eastAsia="mk-MK"/>
        </w:rPr>
        <w:t xml:space="preserve"> / 2016 / 003 / МК /, во врска со прифаќањето на ИПАРД на сметките за финансиската 2015 година, Записник од билатералната средба во согласност со член 49 (4) од секторската спогодба, склучена на 23 март 2016 година (СС II);</w:t>
      </w:r>
    </w:p>
    <w:p w:rsidR="00A60EA9" w:rsidRDefault="00A60EA9" w:rsidP="00A60EA9">
      <w:pPr>
        <w:spacing w:before="120" w:after="120"/>
        <w:contextualSpacing/>
        <w:jc w:val="both"/>
        <w:rPr>
          <w:rFonts w:ascii="StobiSerif Regular" w:eastAsia="Calibri" w:hAnsi="StobiSerif Regular" w:cs="Times New Roman"/>
          <w:color w:val="000000"/>
          <w:lang w:eastAsia="mk-MK"/>
        </w:rPr>
      </w:pPr>
    </w:p>
    <w:p w:rsidR="00A60EA9" w:rsidRPr="00194389" w:rsidRDefault="00A60EA9" w:rsidP="00A60EA9">
      <w:pPr>
        <w:spacing w:before="120" w:after="120"/>
        <w:contextualSpacing/>
        <w:jc w:val="both"/>
        <w:rPr>
          <w:rFonts w:ascii="StobiSerif Regular" w:eastAsia="Calibri" w:hAnsi="StobiSerif Regular" w:cs="Times New Roman"/>
          <w:color w:val="000000"/>
          <w:lang w:val="en-US" w:eastAsia="mk-MK"/>
        </w:rPr>
      </w:pPr>
    </w:p>
    <w:p w:rsidR="00194389" w:rsidRPr="00194389" w:rsidRDefault="00194389" w:rsidP="00194389">
      <w:pPr>
        <w:spacing w:before="120" w:after="120"/>
        <w:jc w:val="both"/>
        <w:rPr>
          <w:rFonts w:ascii="StobiSerif Regular" w:eastAsia="Calibri" w:hAnsi="StobiSerif Regular" w:cs="Times New Roman"/>
          <w:u w:val="single"/>
          <w:lang w:eastAsia="mk-MK"/>
        </w:rPr>
      </w:pPr>
      <w:r w:rsidRPr="00194389">
        <w:rPr>
          <w:rFonts w:ascii="StobiSerif Regular" w:eastAsia="Calibri" w:hAnsi="StobiSerif Regular" w:cs="Times New Roman"/>
          <w:u w:val="single"/>
          <w:lang w:val="en-GB" w:eastAsia="mk-MK"/>
        </w:rPr>
        <w:t xml:space="preserve"> </w:t>
      </w:r>
      <w:r w:rsidRPr="000728DA">
        <w:rPr>
          <w:rFonts w:ascii="StobiSerif Regular" w:eastAsia="Calibri" w:hAnsi="StobiSerif Regular" w:cs="Times New Roman"/>
          <w:u w:val="single"/>
          <w:lang w:val="en-GB" w:eastAsia="mk-MK"/>
        </w:rPr>
        <w:t>Пр</w:t>
      </w:r>
      <w:r w:rsidRPr="000728DA">
        <w:rPr>
          <w:rFonts w:ascii="StobiSerif Regular" w:eastAsia="Calibri" w:hAnsi="StobiSerif Regular" w:cs="Times New Roman"/>
          <w:u w:val="single"/>
          <w:lang w:eastAsia="mk-MK"/>
        </w:rPr>
        <w:t xml:space="preserve">емин </w:t>
      </w:r>
      <w:r w:rsidRPr="00194389">
        <w:rPr>
          <w:rFonts w:ascii="StobiSerif Regular" w:eastAsia="Calibri" w:hAnsi="StobiSerif Regular" w:cs="Times New Roman"/>
          <w:u w:val="single"/>
          <w:lang w:val="en-GB" w:eastAsia="mk-MK"/>
        </w:rPr>
        <w:t>од ИПАРД Програмата 2007-2013 на ИПАРД Програмата 2014-2020</w:t>
      </w:r>
    </w:p>
    <w:p w:rsidR="00194389" w:rsidRPr="00194389" w:rsidRDefault="00194389" w:rsidP="000728DA">
      <w:pPr>
        <w:spacing w:before="120" w:after="120"/>
        <w:ind w:left="709" w:hanging="283"/>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 xml:space="preserve"> </w:t>
      </w:r>
      <w:r w:rsidR="000728DA">
        <w:rPr>
          <w:rFonts w:ascii="StobiSerif Regular" w:eastAsia="Calibri" w:hAnsi="StobiSerif Regular" w:cs="Times New Roman"/>
          <w:color w:val="000000"/>
          <w:lang w:eastAsia="mk-MK"/>
        </w:rPr>
        <w:t xml:space="preserve">- </w:t>
      </w:r>
      <w:r w:rsidRPr="00194389">
        <w:rPr>
          <w:rFonts w:ascii="StobiSerif Regular" w:eastAsia="Calibri" w:hAnsi="StobiSerif Regular" w:cs="Times New Roman"/>
          <w:color w:val="000000"/>
          <w:lang w:val="en-US" w:eastAsia="mk-MK"/>
        </w:rPr>
        <w:t>Писмо на</w:t>
      </w:r>
      <w:r w:rsidRPr="00194389">
        <w:rPr>
          <w:rFonts w:ascii="StobiSerif Regular" w:eastAsia="Calibri" w:hAnsi="StobiSerif Regular" w:cs="Times New Roman"/>
          <w:color w:val="000000"/>
          <w:lang w:eastAsia="mk-MK"/>
        </w:rPr>
        <w:t xml:space="preserve"> ЕК</w:t>
      </w:r>
      <w:r w:rsidRPr="00194389">
        <w:rPr>
          <w:rFonts w:ascii="StobiSerif Regular" w:eastAsia="Calibri" w:hAnsi="StobiSerif Regular" w:cs="Times New Roman"/>
          <w:color w:val="000000"/>
          <w:lang w:val="en-US" w:eastAsia="mk-MK"/>
        </w:rPr>
        <w:t xml:space="preserve"> </w:t>
      </w:r>
      <w:r w:rsidR="000728DA" w:rsidRPr="000728DA">
        <w:rPr>
          <w:rFonts w:ascii="StobiSerif Regular" w:eastAsia="Calibri" w:hAnsi="StobiSerif Regular" w:cs="Times New Roman"/>
          <w:color w:val="000000"/>
          <w:lang w:val="en-US" w:eastAsia="mk-MK"/>
        </w:rPr>
        <w:t>забелешки</w:t>
      </w:r>
      <w:r w:rsidRPr="00194389">
        <w:rPr>
          <w:rFonts w:ascii="StobiSerif Regular" w:eastAsia="Calibri" w:hAnsi="StobiSerif Regular" w:cs="Times New Roman"/>
          <w:color w:val="000000"/>
          <w:lang w:val="en-US" w:eastAsia="mk-MK"/>
        </w:rPr>
        <w:t xml:space="preserve"> - Арес (2016) 249476 </w:t>
      </w:r>
      <w:r w:rsidRPr="00194389">
        <w:rPr>
          <w:rFonts w:ascii="StobiSerif Regular" w:eastAsia="Calibri" w:hAnsi="StobiSerif Regular" w:cs="Times New Roman"/>
          <w:color w:val="000000"/>
          <w:lang w:eastAsia="mk-MK"/>
        </w:rPr>
        <w:t>од 18.01.2016</w:t>
      </w:r>
      <w:r w:rsidRPr="00194389">
        <w:rPr>
          <w:rFonts w:ascii="StobiSerif Regular" w:eastAsia="Calibri" w:hAnsi="StobiSerif Regular" w:cs="Times New Roman"/>
          <w:color w:val="000000"/>
          <w:lang w:val="en-US" w:eastAsia="mk-MK"/>
        </w:rPr>
        <w:t>;</w:t>
      </w:r>
    </w:p>
    <w:p w:rsidR="00194389" w:rsidRPr="00194389" w:rsidRDefault="00194389" w:rsidP="00BA1CE8">
      <w:pPr>
        <w:numPr>
          <w:ilvl w:val="0"/>
          <w:numId w:val="20"/>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НАО Писмо бр 10-3270 / 1 од 25.05.2016 - Официјално барање за поверување на  задачите за реализација на буџетот за конкретни мерки во рамки на програмата 2014-2020 за рурален развој на Република Македонија во рамките на Инструментот за претпристапна помош ( ИПА II);</w:t>
      </w:r>
    </w:p>
    <w:p w:rsidR="00194389" w:rsidRPr="00194389" w:rsidRDefault="00194389" w:rsidP="00BA1CE8">
      <w:pPr>
        <w:numPr>
          <w:ilvl w:val="0"/>
          <w:numId w:val="20"/>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color w:val="000000"/>
          <w:lang w:eastAsia="mk-MK"/>
        </w:rPr>
        <w:t xml:space="preserve">ЕК Писмо за затворање - Арес (2017) 499409 од 30/01/2017, Барање Бр. </w:t>
      </w:r>
      <w:r w:rsidRPr="00194389">
        <w:rPr>
          <w:rFonts w:ascii="StobiSerif Regular" w:eastAsia="Calibri" w:hAnsi="StobiSerif Regular" w:cs="Times New Roman"/>
          <w:color w:val="000000"/>
          <w:lang w:val="en-US" w:eastAsia="mk-MK"/>
        </w:rPr>
        <w:t>PRE</w:t>
      </w:r>
      <w:r w:rsidRPr="00194389">
        <w:rPr>
          <w:rFonts w:ascii="StobiSerif Regular" w:eastAsia="Calibri" w:hAnsi="StobiSerif Regular" w:cs="Times New Roman"/>
          <w:color w:val="000000"/>
          <w:lang w:eastAsia="mk-MK"/>
        </w:rPr>
        <w:t xml:space="preserve"> / 2015/007 / MK по барањето за доверување на задачите за извршување на буџетот на Република Македонија во рамките на ИПАРД II во врска со мерките (1 ), (3), (7) и (9)</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u w:val="single"/>
          <w:lang w:val="en-US" w:eastAsia="mk-MK"/>
        </w:rPr>
      </w:pPr>
      <w:r w:rsidRPr="00194389">
        <w:rPr>
          <w:rFonts w:ascii="StobiSerif Regular" w:eastAsia="Calibri" w:hAnsi="StobiSerif Regular" w:cs="Times New Roman"/>
          <w:u w:val="single"/>
          <w:lang w:val="en-US" w:eastAsia="mk-MK"/>
        </w:rPr>
        <w:t xml:space="preserve"> </w:t>
      </w:r>
      <w:r w:rsidRPr="00194389">
        <w:rPr>
          <w:rFonts w:ascii="StobiSerif Regular" w:eastAsia="Calibri" w:hAnsi="StobiSerif Regular" w:cs="Times New Roman"/>
          <w:u w:val="single"/>
          <w:lang w:eastAsia="mk-MK"/>
        </w:rPr>
        <w:t>Промени во системот за управување и контрола</w:t>
      </w:r>
    </w:p>
    <w:p w:rsidR="00194389" w:rsidRPr="00194389" w:rsidRDefault="00194389" w:rsidP="00BA1CE8">
      <w:pPr>
        <w:numPr>
          <w:ilvl w:val="0"/>
          <w:numId w:val="21"/>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Акт на ИПАРД Агенција за внатрешна организација, документ бр 01-1006 / 1 документ за систематизација бр 01-1006 / 2 од 26.01.2016;</w:t>
      </w:r>
    </w:p>
    <w:p w:rsidR="00194389" w:rsidRPr="00194389" w:rsidRDefault="00194389" w:rsidP="00BA1CE8">
      <w:pPr>
        <w:numPr>
          <w:ilvl w:val="0"/>
          <w:numId w:val="21"/>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Акт на ИПАРД Агенција за внатрешна организација, документ бр 01-1006 / 11 и документ за систематизација бр 01-1006 / 10 од 27.09.2016</w:t>
      </w:r>
    </w:p>
    <w:p w:rsidR="00194389" w:rsidRPr="00194389" w:rsidRDefault="00194389" w:rsidP="00BA1CE8">
      <w:pPr>
        <w:numPr>
          <w:ilvl w:val="0"/>
          <w:numId w:val="21"/>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ТУ</w:t>
      </w:r>
      <w:r w:rsidRPr="00194389">
        <w:rPr>
          <w:rFonts w:ascii="StobiSerif Regular" w:eastAsia="Calibri" w:hAnsi="StobiSerif Regular" w:cs="Times New Roman"/>
          <w:color w:val="000000"/>
          <w:lang w:val="en-US" w:eastAsia="mk-MK"/>
        </w:rPr>
        <w:t xml:space="preserve"> (</w:t>
      </w:r>
      <w:r w:rsidRPr="00194389">
        <w:rPr>
          <w:rFonts w:ascii="StobiSerif Regular" w:eastAsia="Calibri" w:hAnsi="StobiSerif Regular" w:cs="Times New Roman"/>
          <w:color w:val="000000"/>
          <w:lang w:eastAsia="mk-MK"/>
        </w:rPr>
        <w:t>Арх.</w:t>
      </w:r>
      <w:r w:rsidRPr="00194389">
        <w:rPr>
          <w:rFonts w:ascii="StobiSerif Regular" w:eastAsia="Calibri" w:hAnsi="StobiSerif Regular" w:cs="Times New Roman"/>
          <w:color w:val="000000"/>
          <w:lang w:val="en-US" w:eastAsia="mk-MK"/>
        </w:rPr>
        <w:t xml:space="preserve"> бр 11-9427 / 1 од</w:t>
      </w:r>
      <w:r w:rsidRPr="00194389">
        <w:rPr>
          <w:rFonts w:ascii="StobiSerif Regular" w:eastAsia="Calibri" w:hAnsi="StobiSerif Regular" w:cs="Times New Roman"/>
          <w:color w:val="000000"/>
          <w:lang w:eastAsia="mk-MK"/>
        </w:rPr>
        <w:t xml:space="preserve"> 20.10.2016</w:t>
      </w:r>
      <w:r w:rsidRPr="00194389">
        <w:rPr>
          <w:rFonts w:ascii="StobiSerif Regular" w:eastAsia="Calibri" w:hAnsi="StobiSerif Regular" w:cs="Times New Roman"/>
          <w:color w:val="000000"/>
          <w:lang w:val="en-US" w:eastAsia="mk-MK"/>
        </w:rPr>
        <w:t>) барање за промени во актот за систематизација за ИПАРД</w:t>
      </w:r>
      <w:r w:rsidRPr="00194389">
        <w:rPr>
          <w:rFonts w:ascii="StobiSerif Regular" w:eastAsia="Calibri" w:hAnsi="StobiSerif Regular" w:cs="Times New Roman"/>
          <w:color w:val="000000"/>
          <w:lang w:eastAsia="mk-MK"/>
        </w:rPr>
        <w:t xml:space="preserve"> до Сектор</w:t>
      </w:r>
      <w:r w:rsidRPr="00194389">
        <w:rPr>
          <w:rFonts w:ascii="StobiSerif Regular" w:eastAsia="Calibri" w:hAnsi="StobiSerif Regular" w:cs="Times New Roman"/>
          <w:color w:val="000000"/>
          <w:lang w:val="en-US" w:eastAsia="mk-MK"/>
        </w:rPr>
        <w:t xml:space="preserve"> за човечки ресурси во рамките на Министерството за земјоделство, шумарство и водостопанство</w:t>
      </w:r>
      <w:r w:rsidR="00936F2A">
        <w:rPr>
          <w:rFonts w:ascii="StobiSerif Regular" w:eastAsia="Calibri" w:hAnsi="StobiSerif Regular" w:cs="Times New Roman"/>
          <w:color w:val="000000"/>
          <w:lang w:eastAsia="mk-MK"/>
        </w:rPr>
        <w:t>.</w:t>
      </w:r>
    </w:p>
    <w:p w:rsidR="00936F2A" w:rsidRPr="00936F2A" w:rsidRDefault="00936F2A" w:rsidP="00936F2A">
      <w:pPr>
        <w:pStyle w:val="ListParagraph"/>
        <w:numPr>
          <w:ilvl w:val="0"/>
          <w:numId w:val="31"/>
        </w:numPr>
        <w:spacing w:before="120" w:after="120"/>
        <w:jc w:val="both"/>
        <w:rPr>
          <w:rFonts w:ascii="StobiSerif Regular" w:eastAsia="Calibri" w:hAnsi="StobiSerif Regular" w:cs="Times New Roman"/>
          <w:u w:val="single"/>
          <w:lang w:eastAsia="mk-MK"/>
        </w:rPr>
      </w:pPr>
      <w:r w:rsidRPr="00936F2A">
        <w:rPr>
          <w:rFonts w:ascii="StobiSerif Regular" w:eastAsia="Calibri" w:hAnsi="StobiSerif Regular" w:cs="Times New Roman"/>
          <w:u w:val="single"/>
          <w:lang w:val="en-US" w:eastAsia="mk-MK"/>
        </w:rPr>
        <w:t>Исклучоци од постапките</w:t>
      </w:r>
    </w:p>
    <w:p w:rsidR="00936F2A" w:rsidRPr="00936F2A" w:rsidRDefault="00936F2A" w:rsidP="00936F2A">
      <w:p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lang w:val="en-US" w:eastAsia="mk-MK"/>
        </w:rPr>
        <w:t>Не</w:t>
      </w:r>
      <w:r w:rsidRPr="00194389">
        <w:rPr>
          <w:rFonts w:ascii="StobiSerif Regular" w:eastAsia="Calibri" w:hAnsi="StobiSerif Regular" w:cs="Times New Roman"/>
          <w:lang w:eastAsia="mk-MK"/>
        </w:rPr>
        <w:t xml:space="preserve"> се забележани никакви </w:t>
      </w:r>
      <w:r w:rsidRPr="00194389">
        <w:rPr>
          <w:rFonts w:ascii="StobiSerif Regular" w:eastAsia="Calibri" w:hAnsi="StobiSerif Regular" w:cs="Times New Roman"/>
          <w:lang w:val="en-US" w:eastAsia="mk-MK"/>
        </w:rPr>
        <w:t>исклучоци во системот за управување и контрола во текот на 2016</w:t>
      </w:r>
    </w:p>
    <w:p w:rsidR="00194389" w:rsidRPr="00194389" w:rsidRDefault="00194389" w:rsidP="00BA1CE8">
      <w:pPr>
        <w:numPr>
          <w:ilvl w:val="0"/>
          <w:numId w:val="31"/>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u w:val="single"/>
          <w:lang w:eastAsia="mk-MK"/>
        </w:rPr>
        <w:t>Слабости на внатрешната контрола</w:t>
      </w:r>
    </w:p>
    <w:p w:rsidR="00194389" w:rsidRPr="00194389" w:rsidRDefault="00194389" w:rsidP="00936F2A">
      <w:pPr>
        <w:spacing w:before="120" w:after="120"/>
        <w:jc w:val="both"/>
        <w:rPr>
          <w:rFonts w:ascii="StobiSerif Regular" w:eastAsia="Calibri" w:hAnsi="StobiSerif Regular" w:cs="Times New Roman"/>
          <w:color w:val="000000"/>
          <w:lang w:eastAsia="mk-MK"/>
        </w:rPr>
      </w:pPr>
      <w:r w:rsidRPr="00194389">
        <w:rPr>
          <w:rFonts w:ascii="StobiSerif Regular" w:eastAsia="Calibri" w:hAnsi="StobiSerif Regular" w:cs="Times New Roman"/>
          <w:color w:val="000000"/>
          <w:lang w:eastAsia="mk-MK"/>
        </w:rPr>
        <w:t>Врз основа на алатки за следење на системот, НАО воспостави регистар на слабостите на внатрешната контрола, со цел да се следат активности за отстранување на слабостите.</w:t>
      </w:r>
    </w:p>
    <w:p w:rsidR="00194389" w:rsidRPr="00A60EA9" w:rsidRDefault="00194389" w:rsidP="00BA1CE8">
      <w:pPr>
        <w:numPr>
          <w:ilvl w:val="0"/>
          <w:numId w:val="8"/>
        </w:numPr>
        <w:spacing w:before="120" w:after="120"/>
        <w:contextualSpacing/>
        <w:jc w:val="both"/>
        <w:rPr>
          <w:rFonts w:ascii="StobiSerif Regular" w:eastAsia="Calibri" w:hAnsi="StobiSerif Regular" w:cs="Times New Roman"/>
          <w:color w:val="000000"/>
          <w:lang w:eastAsia="mk-MK"/>
        </w:rPr>
      </w:pPr>
      <w:r w:rsidRPr="00194389">
        <w:rPr>
          <w:rFonts w:ascii="StobiSerif Regular" w:eastAsia="Calibri" w:hAnsi="StobiSerif Regular" w:cs="Times New Roman"/>
          <w:color w:val="000000"/>
          <w:lang w:eastAsia="mk-MK"/>
        </w:rPr>
        <w:t xml:space="preserve">регистар на слабостите на внатрешната контрола бр.10-СЛ  од 29.08.2016 и </w:t>
      </w:r>
      <w:r w:rsidRPr="00A60EA9">
        <w:rPr>
          <w:rFonts w:ascii="StobiSerif Regular" w:eastAsia="Calibri" w:hAnsi="StobiSerif Regular" w:cs="Times New Roman"/>
          <w:color w:val="000000"/>
          <w:lang w:eastAsia="mk-MK"/>
        </w:rPr>
        <w:t>регистар на слабостите на внатрешната контрола бр.10-СЛ датира од 10.01.2017</w:t>
      </w:r>
    </w:p>
    <w:p w:rsidR="00194389" w:rsidRPr="00A60EA9" w:rsidRDefault="00194389" w:rsidP="00194389">
      <w:pPr>
        <w:spacing w:before="120" w:after="120"/>
        <w:jc w:val="both"/>
        <w:rPr>
          <w:rFonts w:ascii="StobiSerif Regular" w:eastAsia="Calibri" w:hAnsi="StobiSerif Regular" w:cs="Times New Roman"/>
          <w:lang w:eastAsia="mk-MK"/>
        </w:rPr>
      </w:pPr>
      <w:r w:rsidRPr="00A60EA9">
        <w:rPr>
          <w:rFonts w:ascii="StobiSerif Regular" w:eastAsia="Calibri" w:hAnsi="StobiSerif Regular" w:cs="Times New Roman"/>
          <w:u w:val="single"/>
          <w:lang w:eastAsia="mk-MK"/>
        </w:rPr>
        <w:t xml:space="preserve"> Финансиски менаџмент</w:t>
      </w:r>
    </w:p>
    <w:p w:rsidR="00194389" w:rsidRPr="00A60EA9" w:rsidRDefault="00534281" w:rsidP="00534281">
      <w:pPr>
        <w:numPr>
          <w:ilvl w:val="0"/>
          <w:numId w:val="22"/>
        </w:numPr>
        <w:spacing w:before="120" w:after="120"/>
        <w:contextualSpacing/>
        <w:jc w:val="both"/>
        <w:rPr>
          <w:rFonts w:ascii="StobiSerif Regular" w:eastAsia="Calibri" w:hAnsi="StobiSerif Regular" w:cs="Times New Roman"/>
          <w:color w:val="000000"/>
          <w:lang w:val="en-US" w:eastAsia="mk-MK"/>
        </w:rPr>
      </w:pPr>
      <w:r w:rsidRPr="00A60EA9">
        <w:rPr>
          <w:rFonts w:ascii="StobiSerif Regular" w:eastAsia="Calibri" w:hAnsi="StobiSerif Regular" w:cs="Times New Roman"/>
          <w:color w:val="000000"/>
          <w:lang w:val="en-US" w:eastAsia="mk-MK"/>
        </w:rPr>
        <w:t>Прогноза за парични приливи за 2016-2017 година испратена до ЕЗ бр.10-1436 / 1 од 26.02.2016 година;</w:t>
      </w:r>
      <w:r w:rsidR="00194389" w:rsidRPr="00A60EA9">
        <w:rPr>
          <w:rFonts w:ascii="StobiSerif Regular" w:eastAsia="Calibri" w:hAnsi="StobiSerif Regular" w:cs="Times New Roman"/>
          <w:color w:val="000000"/>
          <w:lang w:val="en-US" w:eastAsia="mk-MK"/>
        </w:rPr>
        <w:t>;</w:t>
      </w:r>
    </w:p>
    <w:p w:rsidR="00194389" w:rsidRPr="00A60EA9" w:rsidRDefault="00534281" w:rsidP="00534281">
      <w:pPr>
        <w:numPr>
          <w:ilvl w:val="0"/>
          <w:numId w:val="22"/>
        </w:numPr>
        <w:spacing w:before="120" w:after="120"/>
        <w:contextualSpacing/>
        <w:jc w:val="both"/>
        <w:rPr>
          <w:rFonts w:ascii="StobiSerif Regular" w:eastAsia="Calibri" w:hAnsi="StobiSerif Regular" w:cs="Times New Roman"/>
          <w:color w:val="000000"/>
          <w:lang w:val="en-US" w:eastAsia="mk-MK"/>
        </w:rPr>
      </w:pPr>
      <w:r w:rsidRPr="00A60EA9">
        <w:rPr>
          <w:rFonts w:ascii="StobiSerif Regular" w:eastAsia="Calibri" w:hAnsi="StobiSerif Regular" w:cs="Times New Roman"/>
          <w:color w:val="000000"/>
          <w:lang w:val="en-US" w:eastAsia="mk-MK"/>
        </w:rPr>
        <w:t>Налог за времено плаќање за првиот квартал бр. 10-2548 / 1 со датум од 15.04.2016 година</w:t>
      </w:r>
      <w:r w:rsidR="00194389" w:rsidRPr="00A60EA9">
        <w:rPr>
          <w:rFonts w:ascii="StobiSerif Regular" w:eastAsia="Calibri" w:hAnsi="StobiSerif Regular" w:cs="Times New Roman"/>
          <w:color w:val="000000"/>
          <w:lang w:val="en-US" w:eastAsia="mk-MK"/>
        </w:rPr>
        <w:t xml:space="preserve">; </w:t>
      </w:r>
    </w:p>
    <w:p w:rsidR="00194389" w:rsidRPr="00A60EA9" w:rsidRDefault="00534281" w:rsidP="00534281">
      <w:pPr>
        <w:numPr>
          <w:ilvl w:val="0"/>
          <w:numId w:val="22"/>
        </w:numPr>
        <w:spacing w:before="120" w:after="120"/>
        <w:contextualSpacing/>
        <w:jc w:val="both"/>
        <w:rPr>
          <w:rFonts w:ascii="StobiSerif Regular" w:eastAsia="Calibri" w:hAnsi="StobiSerif Regular" w:cs="Times New Roman"/>
          <w:color w:val="000000"/>
          <w:lang w:val="en-US" w:eastAsia="mk-MK"/>
        </w:rPr>
      </w:pPr>
      <w:r w:rsidRPr="00A60EA9">
        <w:rPr>
          <w:rFonts w:ascii="StobiSerif Regular" w:eastAsia="Calibri" w:hAnsi="StobiSerif Regular" w:cs="Times New Roman"/>
          <w:color w:val="000000"/>
          <w:lang w:val="en-US" w:eastAsia="mk-MK"/>
        </w:rPr>
        <w:t>Налог за времено плаќање за вториот квартал бр.10-4418 / 1 со датум од 27.07.2016 година;</w:t>
      </w:r>
    </w:p>
    <w:p w:rsidR="00194389" w:rsidRPr="00A60EA9" w:rsidRDefault="00534281" w:rsidP="00534281">
      <w:pPr>
        <w:numPr>
          <w:ilvl w:val="0"/>
          <w:numId w:val="22"/>
        </w:numPr>
        <w:spacing w:before="120" w:after="120"/>
        <w:contextualSpacing/>
        <w:jc w:val="both"/>
        <w:rPr>
          <w:rFonts w:ascii="StobiSerif Regular" w:eastAsia="Calibri" w:hAnsi="StobiSerif Regular" w:cs="Times New Roman"/>
          <w:color w:val="000000"/>
          <w:lang w:val="en-US" w:eastAsia="mk-MK"/>
        </w:rPr>
      </w:pPr>
      <w:r w:rsidRPr="00A60EA9">
        <w:rPr>
          <w:rFonts w:ascii="StobiSerif Regular" w:eastAsia="Calibri" w:hAnsi="StobiSerif Regular" w:cs="Times New Roman"/>
          <w:color w:val="000000"/>
          <w:lang w:val="en-US" w:eastAsia="mk-MK"/>
        </w:rPr>
        <w:t>Налог за времено плаќање за третиот квартал бр.10-6135 / 1 со датум од 31.10.2016 година;</w:t>
      </w:r>
    </w:p>
    <w:p w:rsidR="00194389" w:rsidRPr="00A60EA9" w:rsidRDefault="00910D95" w:rsidP="00910D95">
      <w:pPr>
        <w:numPr>
          <w:ilvl w:val="0"/>
          <w:numId w:val="22"/>
        </w:numPr>
        <w:spacing w:before="120" w:after="120"/>
        <w:contextualSpacing/>
        <w:jc w:val="both"/>
        <w:rPr>
          <w:rFonts w:ascii="StobiSerif Regular" w:eastAsia="Calibri" w:hAnsi="StobiSerif Regular" w:cs="Times New Roman"/>
          <w:color w:val="000000"/>
          <w:lang w:val="en-US" w:eastAsia="mk-MK"/>
        </w:rPr>
      </w:pPr>
      <w:r w:rsidRPr="00A60EA9">
        <w:rPr>
          <w:rFonts w:ascii="StobiSerif Regular" w:eastAsia="Calibri" w:hAnsi="StobiSerif Regular" w:cs="Times New Roman"/>
          <w:color w:val="000000"/>
          <w:lang w:val="en-US" w:eastAsia="mk-MK"/>
        </w:rPr>
        <w:t>Налог за времено плаќање за четвртиот квартал бр.10-673 / 1 од 31.01.2017 година</w:t>
      </w:r>
      <w:r w:rsidR="00194389" w:rsidRPr="00A60EA9">
        <w:rPr>
          <w:rFonts w:ascii="StobiSerif Regular" w:eastAsia="Calibri" w:hAnsi="StobiSerif Regular" w:cs="Times New Roman"/>
          <w:color w:val="000000"/>
          <w:lang w:val="en-US" w:eastAsia="mk-MK"/>
        </w:rPr>
        <w:t>.</w:t>
      </w:r>
    </w:p>
    <w:p w:rsidR="00A60EA9" w:rsidRPr="00A60EA9" w:rsidRDefault="00A60EA9" w:rsidP="00A60EA9">
      <w:pPr>
        <w:spacing w:before="120" w:after="120"/>
        <w:contextualSpacing/>
        <w:jc w:val="both"/>
        <w:rPr>
          <w:rFonts w:ascii="StobiSerif Regular" w:eastAsia="Calibri" w:hAnsi="StobiSerif Regular" w:cs="Times New Roman"/>
          <w:color w:val="000000"/>
          <w:lang w:val="en-US" w:eastAsia="mk-MK"/>
        </w:rPr>
      </w:pPr>
    </w:p>
    <w:p w:rsidR="00194389" w:rsidRPr="007C2528" w:rsidRDefault="00682FEE" w:rsidP="007C2528">
      <w:pPr>
        <w:pStyle w:val="ListParagraph"/>
        <w:numPr>
          <w:ilvl w:val="0"/>
          <w:numId w:val="31"/>
        </w:numPr>
        <w:spacing w:before="120" w:after="120"/>
        <w:jc w:val="both"/>
        <w:rPr>
          <w:rFonts w:ascii="StobiSerif Regular" w:eastAsia="Calibri" w:hAnsi="StobiSerif Regular" w:cs="Times New Roman"/>
          <w:lang w:eastAsia="mk-MK"/>
        </w:rPr>
      </w:pPr>
      <w:r w:rsidRPr="007C2528">
        <w:rPr>
          <w:rFonts w:ascii="StobiSerif Regular" w:eastAsia="Calibri" w:hAnsi="StobiSerif Regular" w:cs="Times New Roman"/>
          <w:b/>
          <w:u w:val="single"/>
          <w:lang w:eastAsia="mk-MK"/>
        </w:rPr>
        <w:t xml:space="preserve">Извршени </w:t>
      </w:r>
      <w:r w:rsidRPr="007C2528">
        <w:rPr>
          <w:rFonts w:ascii="StobiSerif Regular" w:eastAsia="Calibri" w:hAnsi="StobiSerif Regular" w:cs="Times New Roman"/>
          <w:b/>
          <w:u w:val="single"/>
          <w:lang w:val="en-US" w:eastAsia="mk-MK"/>
        </w:rPr>
        <w:t xml:space="preserve"> </w:t>
      </w:r>
      <w:r w:rsidRPr="007C2528">
        <w:rPr>
          <w:rFonts w:ascii="StobiSerif Regular" w:eastAsia="Calibri" w:hAnsi="StobiSerif Regular" w:cs="Times New Roman"/>
          <w:b/>
          <w:u w:val="single"/>
          <w:lang w:eastAsia="mk-MK"/>
        </w:rPr>
        <w:t>дејствија</w:t>
      </w:r>
      <w:r w:rsidRPr="007C2528">
        <w:rPr>
          <w:rFonts w:ascii="StobiSerif Regular" w:eastAsia="Calibri" w:hAnsi="StobiSerif Regular" w:cs="Times New Roman"/>
          <w:b/>
          <w:u w:val="single"/>
          <w:lang w:val="en-US" w:eastAsia="mk-MK"/>
        </w:rPr>
        <w:t xml:space="preserve"> на која е основана </w:t>
      </w:r>
      <w:r w:rsidRPr="007C2528">
        <w:rPr>
          <w:rFonts w:ascii="StobiSerif Regular" w:eastAsia="Calibri" w:hAnsi="StobiSerif Regular" w:cs="Times New Roman"/>
          <w:b/>
          <w:u w:val="single"/>
          <w:lang w:eastAsia="mk-MK"/>
        </w:rPr>
        <w:t>ИзГ</w:t>
      </w:r>
      <w:r w:rsidR="00194389" w:rsidRPr="007C2528">
        <w:rPr>
          <w:rFonts w:ascii="StobiSerif Regular" w:eastAsia="Calibri" w:hAnsi="StobiSerif Regular" w:cs="Times New Roman"/>
          <w:lang w:val="en-US" w:eastAsia="mk-MK"/>
        </w:rPr>
        <w:t xml:space="preserve"> </w:t>
      </w:r>
    </w:p>
    <w:p w:rsidR="00194389" w:rsidRPr="00A60EA9" w:rsidRDefault="00682FEE" w:rsidP="00682FEE">
      <w:pPr>
        <w:numPr>
          <w:ilvl w:val="1"/>
          <w:numId w:val="32"/>
        </w:numPr>
        <w:spacing w:before="120" w:after="120"/>
        <w:ind w:left="709" w:hanging="425"/>
        <w:contextualSpacing/>
        <w:jc w:val="both"/>
        <w:rPr>
          <w:rFonts w:ascii="StobiSerif Regular" w:eastAsia="Calibri" w:hAnsi="StobiSerif Regular" w:cs="Times New Roman"/>
          <w:lang w:eastAsia="mk-MK"/>
        </w:rPr>
      </w:pPr>
      <w:r w:rsidRPr="00A60EA9">
        <w:rPr>
          <w:rFonts w:ascii="StobiSerif Regular" w:eastAsia="Calibri" w:hAnsi="StobiSerif Regular" w:cs="Times New Roman"/>
          <w:lang w:eastAsia="mk-MK"/>
        </w:rPr>
        <w:t>Извршена работа поврзана со управувањето со ризикот на структурите на ИПАРД</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A60EA9">
        <w:rPr>
          <w:rFonts w:ascii="StobiSerif Regular" w:eastAsia="Calibri" w:hAnsi="StobiSerif Regular" w:cs="Times New Roman"/>
          <w:lang w:val="en-US" w:eastAsia="mk-MK"/>
        </w:rPr>
        <w:t>Постапката за управување со ризи</w:t>
      </w:r>
      <w:r w:rsidRPr="00A60EA9">
        <w:rPr>
          <w:rFonts w:ascii="StobiSerif Regular" w:eastAsia="Calibri" w:hAnsi="StobiSerif Regular" w:cs="Times New Roman"/>
          <w:lang w:eastAsia="mk-MK"/>
        </w:rPr>
        <w:t>ци</w:t>
      </w:r>
      <w:r w:rsidRPr="00A60EA9">
        <w:rPr>
          <w:rFonts w:ascii="StobiSerif Regular" w:eastAsia="Calibri" w:hAnsi="StobiSerif Regular" w:cs="Times New Roman"/>
          <w:lang w:val="en-US" w:eastAsia="mk-MK"/>
        </w:rPr>
        <w:t xml:space="preserve"> се врши редовно двапати годишно од страна на </w:t>
      </w:r>
      <w:r w:rsidRPr="00A60EA9">
        <w:rPr>
          <w:rFonts w:ascii="StobiSerif Regular" w:eastAsia="Calibri" w:hAnsi="StobiSerif Regular" w:cs="Times New Roman"/>
          <w:lang w:eastAsia="mk-MK"/>
        </w:rPr>
        <w:t>С</w:t>
      </w:r>
      <w:r w:rsidRPr="00A60EA9">
        <w:rPr>
          <w:rFonts w:ascii="StobiSerif Regular" w:eastAsia="Calibri" w:hAnsi="StobiSerif Regular" w:cs="Times New Roman"/>
          <w:lang w:val="en-US" w:eastAsia="mk-MK"/>
        </w:rPr>
        <w:t>труктура</w:t>
      </w:r>
      <w:r w:rsidRPr="00A60EA9">
        <w:rPr>
          <w:rFonts w:ascii="StobiSerif Regular" w:eastAsia="Calibri" w:hAnsi="StobiSerif Regular" w:cs="Times New Roman"/>
          <w:lang w:eastAsia="mk-MK"/>
        </w:rPr>
        <w:t xml:space="preserve"> за</w:t>
      </w:r>
      <w:r w:rsidRPr="00A60EA9">
        <w:rPr>
          <w:rFonts w:ascii="StobiSerif Regular" w:eastAsia="Calibri" w:hAnsi="StobiSerif Regular" w:cs="Times New Roman"/>
          <w:lang w:val="en-US" w:eastAsia="mk-MK"/>
        </w:rPr>
        <w:t xml:space="preserve"> управување со ризи</w:t>
      </w:r>
      <w:r w:rsidRPr="00A60EA9">
        <w:rPr>
          <w:rFonts w:ascii="StobiSerif Regular" w:eastAsia="Calibri" w:hAnsi="StobiSerif Regular" w:cs="Times New Roman"/>
          <w:lang w:eastAsia="mk-MK"/>
        </w:rPr>
        <w:t>ци</w:t>
      </w:r>
      <w:r w:rsidRPr="00A60EA9">
        <w:rPr>
          <w:rFonts w:ascii="StobiSerif Regular" w:eastAsia="Calibri" w:hAnsi="StobiSerif Regular" w:cs="Times New Roman"/>
          <w:lang w:val="en-US" w:eastAsia="mk-MK"/>
        </w:rPr>
        <w:t xml:space="preserve"> за компонентата V</w:t>
      </w:r>
      <w:r w:rsidRPr="00A60EA9">
        <w:rPr>
          <w:rFonts w:ascii="StobiSerif Regular" w:eastAsia="Calibri" w:hAnsi="StobiSerif Regular" w:cs="Times New Roman"/>
          <w:lang w:eastAsia="mk-MK"/>
        </w:rPr>
        <w:t xml:space="preserve"> </w:t>
      </w:r>
      <w:r w:rsidRPr="00A60EA9">
        <w:rPr>
          <w:rFonts w:ascii="StobiSerif Regular" w:eastAsia="Calibri" w:hAnsi="StobiSerif Regular" w:cs="Times New Roman"/>
          <w:lang w:val="en-US" w:eastAsia="mk-MK"/>
        </w:rPr>
        <w:t xml:space="preserve">. </w:t>
      </w:r>
      <w:r w:rsidRPr="00A60EA9">
        <w:rPr>
          <w:rFonts w:ascii="StobiSerif Regular" w:eastAsia="Calibri" w:hAnsi="StobiSerif Regular" w:cs="Times New Roman"/>
          <w:lang w:eastAsia="mk-MK"/>
        </w:rPr>
        <w:t>Р</w:t>
      </w:r>
      <w:r w:rsidRPr="00A60EA9">
        <w:rPr>
          <w:rFonts w:ascii="StobiSerif Regular" w:eastAsia="Calibri" w:hAnsi="StobiSerif Regular" w:cs="Times New Roman"/>
          <w:lang w:val="en-US" w:eastAsia="mk-MK"/>
        </w:rPr>
        <w:t>егистри</w:t>
      </w:r>
      <w:r w:rsidRPr="00A60EA9">
        <w:rPr>
          <w:rFonts w:ascii="StobiSerif Regular" w:eastAsia="Calibri" w:hAnsi="StobiSerif Regular" w:cs="Times New Roman"/>
          <w:lang w:eastAsia="mk-MK"/>
        </w:rPr>
        <w:t xml:space="preserve">те со </w:t>
      </w:r>
      <w:r w:rsidRPr="00A60EA9">
        <w:rPr>
          <w:rFonts w:ascii="StobiSerif Regular" w:eastAsia="Calibri" w:hAnsi="StobiSerif Regular" w:cs="Times New Roman"/>
          <w:lang w:val="en-US" w:eastAsia="mk-MK"/>
        </w:rPr>
        <w:t>ризи</w:t>
      </w:r>
      <w:r w:rsidRPr="00A60EA9">
        <w:rPr>
          <w:rFonts w:ascii="StobiSerif Regular" w:eastAsia="Calibri" w:hAnsi="StobiSerif Regular" w:cs="Times New Roman"/>
          <w:lang w:eastAsia="mk-MK"/>
        </w:rPr>
        <w:t>ци</w:t>
      </w:r>
      <w:r w:rsidRPr="00A60EA9">
        <w:rPr>
          <w:rFonts w:ascii="StobiSerif Regular" w:eastAsia="Calibri" w:hAnsi="StobiSerif Regular" w:cs="Times New Roman"/>
          <w:lang w:val="en-US" w:eastAsia="mk-MK"/>
        </w:rPr>
        <w:t xml:space="preserve"> од сите институции кои се вклучени во сп</w:t>
      </w:r>
      <w:r w:rsidRPr="00194389">
        <w:rPr>
          <w:rFonts w:ascii="StobiSerif Regular" w:eastAsia="Calibri" w:hAnsi="StobiSerif Regular" w:cs="Times New Roman"/>
          <w:lang w:val="en-US" w:eastAsia="mk-MK"/>
        </w:rPr>
        <w:t>роведувањето на Компонента V (</w:t>
      </w:r>
      <w:r w:rsidRPr="00194389">
        <w:rPr>
          <w:rFonts w:ascii="StobiSerif Regular" w:eastAsia="Calibri" w:hAnsi="StobiSerif Regular" w:cs="Times New Roman"/>
          <w:lang w:eastAsia="mk-MK"/>
        </w:rPr>
        <w:t xml:space="preserve">Оперативната </w:t>
      </w:r>
      <w:r w:rsidRPr="00194389">
        <w:rPr>
          <w:rFonts w:ascii="StobiSerif Regular" w:eastAsia="Calibri" w:hAnsi="StobiSerif Regular" w:cs="Times New Roman"/>
          <w:lang w:val="en-US" w:eastAsia="mk-MK"/>
        </w:rPr>
        <w:t xml:space="preserve">структура, </w:t>
      </w:r>
      <w:r w:rsidRPr="00194389">
        <w:rPr>
          <w:rFonts w:ascii="StobiSerif Regular" w:eastAsia="Calibri" w:hAnsi="StobiSerif Regular" w:cs="Times New Roman"/>
          <w:lang w:eastAsia="mk-MK"/>
        </w:rPr>
        <w:t>ТУ</w:t>
      </w:r>
      <w:r w:rsidRPr="00194389">
        <w:rPr>
          <w:rFonts w:ascii="StobiSerif Regular" w:eastAsia="Calibri" w:hAnsi="StobiSerif Regular" w:cs="Times New Roman"/>
          <w:lang w:val="en-US" w:eastAsia="mk-MK"/>
        </w:rPr>
        <w:t xml:space="preserve"> и ИПАРД Агенцијата) редовно се ажурира</w:t>
      </w:r>
      <w:r w:rsidRPr="00194389">
        <w:rPr>
          <w:rFonts w:ascii="StobiSerif Regular" w:eastAsia="Calibri" w:hAnsi="StobiSerif Regular" w:cs="Times New Roman"/>
          <w:lang w:eastAsia="mk-MK"/>
        </w:rPr>
        <w:t>ат</w:t>
      </w:r>
      <w:r w:rsidRPr="00194389">
        <w:rPr>
          <w:rFonts w:ascii="StobiSerif Regular" w:eastAsia="Calibri" w:hAnsi="StobiSerif Regular" w:cs="Times New Roman"/>
          <w:lang w:val="en-US" w:eastAsia="mk-MK"/>
        </w:rPr>
        <w:t xml:space="preserve"> и се превземаат активности за </w:t>
      </w:r>
      <w:r w:rsidRPr="00194389">
        <w:rPr>
          <w:rFonts w:ascii="StobiSerif Regular" w:eastAsia="Calibri" w:hAnsi="StobiSerif Regular" w:cs="Times New Roman"/>
          <w:lang w:eastAsia="mk-MK"/>
        </w:rPr>
        <w:t>надминување</w:t>
      </w:r>
      <w:r w:rsidRPr="00194389">
        <w:rPr>
          <w:rFonts w:ascii="StobiSerif Regular" w:eastAsia="Calibri" w:hAnsi="StobiSerif Regular" w:cs="Times New Roman"/>
          <w:lang w:val="en-US" w:eastAsia="mk-MK"/>
        </w:rPr>
        <w:t xml:space="preserve"> на ризиците</w:t>
      </w:r>
      <w:r w:rsidRPr="00194389">
        <w:rPr>
          <w:rFonts w:ascii="StobiSerif Regular" w:eastAsia="Calibri" w:hAnsi="StobiSerif Regular" w:cs="Times New Roman"/>
          <w:lang w:eastAsia="mk-MK"/>
        </w:rPr>
        <w:t xml:space="preserve"> кои редовно</w:t>
      </w:r>
      <w:r w:rsidRPr="00194389">
        <w:rPr>
          <w:rFonts w:ascii="StobiSerif Regular" w:eastAsia="Calibri" w:hAnsi="StobiSerif Regular" w:cs="Times New Roman"/>
          <w:lang w:val="en-US" w:eastAsia="mk-MK"/>
        </w:rPr>
        <w:t xml:space="preserve"> беа пријавени  на квартална основа. Два панели за управување со ризици се организирани во септември 2016 година, а вториот во јануари 2017. По состаноците</w:t>
      </w:r>
      <w:r w:rsidRPr="00194389">
        <w:rPr>
          <w:rFonts w:ascii="StobiSerif Regular" w:eastAsia="Calibri" w:hAnsi="StobiSerif Regular" w:cs="Times New Roman"/>
          <w:lang w:eastAsia="mk-MK"/>
        </w:rPr>
        <w:t>/ панелите</w:t>
      </w:r>
      <w:r w:rsidRPr="00194389">
        <w:rPr>
          <w:rFonts w:ascii="StobiSerif Regular" w:eastAsia="Calibri" w:hAnsi="StobiSerif Regular" w:cs="Times New Roman"/>
          <w:lang w:val="en-US" w:eastAsia="mk-MK"/>
        </w:rPr>
        <w:t xml:space="preserve"> за управување со ризици, Консолидиран</w:t>
      </w:r>
      <w:r w:rsidRPr="00194389">
        <w:rPr>
          <w:rFonts w:ascii="StobiSerif Regular" w:eastAsia="Calibri" w:hAnsi="StobiSerif Regular" w:cs="Times New Roman"/>
          <w:lang w:eastAsia="mk-MK"/>
        </w:rPr>
        <w:t xml:space="preserve"> регистар на</w:t>
      </w:r>
      <w:r w:rsidRPr="00194389">
        <w:rPr>
          <w:rFonts w:ascii="StobiSerif Regular" w:eastAsia="Calibri" w:hAnsi="StobiSerif Regular" w:cs="Times New Roman"/>
          <w:lang w:val="en-US" w:eastAsia="mk-MK"/>
        </w:rPr>
        <w:t xml:space="preserve"> ризи</w:t>
      </w:r>
      <w:r w:rsidRPr="00194389">
        <w:rPr>
          <w:rFonts w:ascii="StobiSerif Regular" w:eastAsia="Calibri" w:hAnsi="StobiSerif Regular" w:cs="Times New Roman"/>
          <w:lang w:eastAsia="mk-MK"/>
        </w:rPr>
        <w:t>ци</w:t>
      </w:r>
      <w:r w:rsidRPr="00194389">
        <w:rPr>
          <w:rFonts w:ascii="StobiSerif Regular" w:eastAsia="Calibri" w:hAnsi="StobiSerif Regular" w:cs="Times New Roman"/>
          <w:lang w:val="en-US" w:eastAsia="mk-MK"/>
        </w:rPr>
        <w:t xml:space="preserve"> за Компонента V (акциски планови за намалување на ризици) се донесени од страна на НАО, </w:t>
      </w:r>
      <w:r w:rsidRPr="00194389">
        <w:rPr>
          <w:rFonts w:ascii="StobiSerif Regular" w:eastAsia="Calibri" w:hAnsi="StobiSerif Regular" w:cs="Times New Roman"/>
          <w:lang w:eastAsia="mk-MK"/>
        </w:rPr>
        <w:t xml:space="preserve">и </w:t>
      </w:r>
      <w:r w:rsidRPr="00194389">
        <w:rPr>
          <w:rFonts w:ascii="StobiSerif Regular" w:eastAsia="Calibri" w:hAnsi="StobiSerif Regular" w:cs="Times New Roman"/>
          <w:lang w:val="en-US" w:eastAsia="mk-MK"/>
        </w:rPr>
        <w:t>следствено официјално доставен до сите засегнати страни.</w:t>
      </w:r>
    </w:p>
    <w:p w:rsidR="00194389" w:rsidRPr="00194389" w:rsidRDefault="00194389" w:rsidP="00194389">
      <w:pPr>
        <w:spacing w:before="120" w:after="120"/>
        <w:ind w:left="360"/>
        <w:jc w:val="both"/>
        <w:rPr>
          <w:rFonts w:ascii="StobiSerif Regular" w:eastAsia="Calibri" w:hAnsi="StobiSerif Regular" w:cs="Times New Roman"/>
          <w:lang w:eastAsia="mk-MK"/>
        </w:rPr>
      </w:pPr>
      <w:r w:rsidRPr="00194389">
        <w:rPr>
          <w:rFonts w:ascii="StobiSerif Regular" w:eastAsia="Calibri" w:hAnsi="StobiSerif Regular" w:cs="Times New Roman"/>
          <w:lang w:eastAsia="mk-MK"/>
        </w:rPr>
        <w:t>Според последниот  Консолидирани регистар на ризици за Компонента V (акциски планови за надминување на ризиците), следниве ризици на ниво на ентитет / активност се сметаат за високи:</w:t>
      </w:r>
    </w:p>
    <w:p w:rsidR="00194389" w:rsidRPr="00194389" w:rsidRDefault="00194389" w:rsidP="00BA1CE8">
      <w:pPr>
        <w:numPr>
          <w:ilvl w:val="0"/>
          <w:numId w:val="41"/>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lang w:eastAsia="mk-MK"/>
        </w:rPr>
        <w:t xml:space="preserve"> Трансфер на вработени, недостаток на кадар, преоптоварување на работните задачи </w:t>
      </w:r>
      <w:r w:rsidRPr="00682FEE">
        <w:rPr>
          <w:rFonts w:ascii="StobiSerif Regular" w:eastAsia="Calibri" w:hAnsi="StobiSerif Regular" w:cs="Times New Roman"/>
          <w:lang w:eastAsia="mk-MK"/>
        </w:rPr>
        <w:t>и недостаток на обуки;</w:t>
      </w:r>
    </w:p>
    <w:p w:rsidR="00194389" w:rsidRPr="00194389" w:rsidRDefault="00194389" w:rsidP="00BA1CE8">
      <w:pPr>
        <w:numPr>
          <w:ilvl w:val="0"/>
          <w:numId w:val="41"/>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lang w:eastAsia="mk-MK"/>
        </w:rPr>
        <w:t>Губење на средства од ИПАРД фондовите во согласност со правилото n + 3;</w:t>
      </w:r>
    </w:p>
    <w:p w:rsidR="00194389" w:rsidRPr="00194389" w:rsidRDefault="00682FEE" w:rsidP="00682FEE">
      <w:pPr>
        <w:numPr>
          <w:ilvl w:val="0"/>
          <w:numId w:val="41"/>
        </w:numPr>
        <w:spacing w:before="120" w:after="120"/>
        <w:contextualSpacing/>
        <w:jc w:val="both"/>
        <w:rPr>
          <w:rFonts w:ascii="StobiSerif Regular" w:eastAsia="Calibri" w:hAnsi="StobiSerif Regular" w:cs="Times New Roman"/>
          <w:lang w:eastAsia="mk-MK"/>
        </w:rPr>
      </w:pPr>
      <w:r w:rsidRPr="00682FEE">
        <w:rPr>
          <w:rFonts w:ascii="StobiSerif Regular" w:eastAsia="Calibri" w:hAnsi="StobiSerif Regular" w:cs="Times New Roman"/>
          <w:lang w:val="en-US" w:eastAsia="mk-MK"/>
        </w:rPr>
        <w:t>Прифатени законски тужби за претрпена штета и заложба од страна на судот за плаќање на штетата</w:t>
      </w:r>
      <w:r w:rsidR="00194389" w:rsidRPr="00194389">
        <w:rPr>
          <w:rFonts w:ascii="StobiSerif Regular" w:eastAsia="Calibri" w:hAnsi="StobiSerif Regular" w:cs="Times New Roman"/>
          <w:lang w:eastAsia="mk-MK"/>
        </w:rPr>
        <w:t>.</w:t>
      </w:r>
    </w:p>
    <w:p w:rsidR="00194389" w:rsidRPr="00194389" w:rsidRDefault="00194389" w:rsidP="00194389">
      <w:pPr>
        <w:spacing w:before="120" w:after="120"/>
        <w:ind w:left="360"/>
        <w:jc w:val="both"/>
        <w:rPr>
          <w:rFonts w:ascii="StobiSerif Regular" w:eastAsia="Calibri" w:hAnsi="StobiSerif Regular" w:cs="Times New Roman"/>
          <w:lang w:eastAsia="mk-MK"/>
        </w:rPr>
      </w:pPr>
      <w:r w:rsidRPr="00194389">
        <w:rPr>
          <w:rFonts w:ascii="StobiSerif Regular" w:eastAsia="Calibri" w:hAnsi="StobiSerif Regular" w:cs="Times New Roman"/>
          <w:lang w:eastAsia="mk-MK"/>
        </w:rPr>
        <w:t>Со цел да се надминат идентификуваните ризици дефинирани се соодветни активности во Акцискиот план. Активностите се започнати и се во тек.</w:t>
      </w:r>
    </w:p>
    <w:p w:rsidR="00194389" w:rsidRPr="00194389" w:rsidRDefault="00194389" w:rsidP="00194389">
      <w:pPr>
        <w:spacing w:before="120" w:after="120"/>
        <w:ind w:left="360"/>
        <w:jc w:val="both"/>
        <w:rPr>
          <w:rFonts w:ascii="StobiSerif Regular" w:eastAsia="Calibri" w:hAnsi="StobiSerif Regular" w:cs="Times New Roman"/>
          <w:lang w:eastAsia="mk-MK"/>
        </w:rPr>
      </w:pPr>
    </w:p>
    <w:p w:rsidR="00194389" w:rsidRPr="00194389" w:rsidRDefault="00194389" w:rsidP="00BA1CE8">
      <w:pPr>
        <w:numPr>
          <w:ilvl w:val="0"/>
          <w:numId w:val="32"/>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eastAsia="mk-MK"/>
        </w:rPr>
        <w:t>Верификациски посети спроведени од страна на НАО/МС</w:t>
      </w:r>
    </w:p>
    <w:p w:rsidR="00194389" w:rsidRPr="00194389" w:rsidRDefault="00194389" w:rsidP="00194389">
      <w:pPr>
        <w:spacing w:before="120" w:after="120"/>
        <w:ind w:firstLine="720"/>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Според Годишниот</w:t>
      </w:r>
      <w:r w:rsidRPr="00194389">
        <w:rPr>
          <w:rFonts w:ascii="StobiSerif Regular" w:eastAsia="Calibri" w:hAnsi="StobiSerif Regular" w:cs="Times New Roman"/>
          <w:color w:val="000000"/>
          <w:lang w:eastAsia="mk-MK"/>
        </w:rPr>
        <w:t xml:space="preserve"> план за верификациски посети </w:t>
      </w:r>
      <w:r w:rsidRPr="00194389">
        <w:rPr>
          <w:rFonts w:ascii="StobiSerif Regular" w:eastAsia="Calibri" w:hAnsi="StobiSerif Regular" w:cs="Times New Roman"/>
          <w:color w:val="000000"/>
          <w:lang w:val="en-US" w:eastAsia="mk-MK"/>
        </w:rPr>
        <w:t xml:space="preserve">за 2016 година, </w:t>
      </w:r>
      <w:r w:rsidRPr="00194389">
        <w:rPr>
          <w:rFonts w:ascii="StobiSerif Regular" w:eastAsia="Calibri" w:hAnsi="StobiSerif Regular" w:cs="Times New Roman"/>
          <w:color w:val="000000"/>
          <w:lang w:eastAsia="mk-MK"/>
        </w:rPr>
        <w:t xml:space="preserve">беше планирана </w:t>
      </w:r>
      <w:r w:rsidRPr="00194389">
        <w:rPr>
          <w:rFonts w:ascii="StobiSerif Regular" w:eastAsia="Calibri" w:hAnsi="StobiSerif Regular" w:cs="Times New Roman"/>
          <w:color w:val="000000"/>
          <w:lang w:val="en-US" w:eastAsia="mk-MK"/>
        </w:rPr>
        <w:t xml:space="preserve">една </w:t>
      </w:r>
      <w:r w:rsidRPr="00194389">
        <w:rPr>
          <w:rFonts w:ascii="StobiSerif Regular" w:eastAsia="Calibri" w:hAnsi="StobiSerif Regular" w:cs="Times New Roman"/>
          <w:color w:val="000000"/>
          <w:lang w:eastAsia="mk-MK"/>
        </w:rPr>
        <w:t xml:space="preserve">верификациска </w:t>
      </w:r>
      <w:r w:rsidRPr="00194389">
        <w:rPr>
          <w:rFonts w:ascii="StobiSerif Regular" w:eastAsia="Calibri" w:hAnsi="StobiSerif Regular" w:cs="Times New Roman"/>
          <w:color w:val="000000"/>
          <w:lang w:val="en-US" w:eastAsia="mk-MK"/>
        </w:rPr>
        <w:t xml:space="preserve">посета во </w:t>
      </w:r>
      <w:r w:rsidRPr="00194389">
        <w:rPr>
          <w:rFonts w:ascii="StobiSerif Regular" w:eastAsia="Calibri" w:hAnsi="StobiSerif Regular" w:cs="Times New Roman"/>
          <w:color w:val="000000"/>
          <w:lang w:eastAsia="mk-MK"/>
        </w:rPr>
        <w:t>ТУ</w:t>
      </w:r>
      <w:r w:rsidRPr="00194389">
        <w:rPr>
          <w:rFonts w:ascii="StobiSerif Regular" w:eastAsia="Calibri" w:hAnsi="StobiSerif Regular" w:cs="Times New Roman"/>
          <w:color w:val="000000"/>
          <w:lang w:val="en-US" w:eastAsia="mk-MK"/>
        </w:rPr>
        <w:t xml:space="preserve"> и две</w:t>
      </w:r>
      <w:r w:rsidRPr="00194389">
        <w:rPr>
          <w:rFonts w:ascii="StobiSerif Regular" w:eastAsia="Calibri" w:hAnsi="StobiSerif Regular" w:cs="Times New Roman"/>
          <w:color w:val="000000"/>
          <w:lang w:eastAsia="mk-MK"/>
        </w:rPr>
        <w:t xml:space="preserve"> верификациски</w:t>
      </w:r>
      <w:r w:rsidRPr="00194389">
        <w:rPr>
          <w:rFonts w:ascii="StobiSerif Regular" w:eastAsia="Calibri" w:hAnsi="StobiSerif Regular" w:cs="Times New Roman"/>
          <w:color w:val="000000"/>
          <w:lang w:val="en-US" w:eastAsia="mk-MK"/>
        </w:rPr>
        <w:t xml:space="preserve"> пос</w:t>
      </w:r>
      <w:r w:rsidRPr="00194389">
        <w:rPr>
          <w:rFonts w:ascii="StobiSerif Regular" w:eastAsia="Calibri" w:hAnsi="StobiSerif Regular" w:cs="Times New Roman"/>
          <w:color w:val="000000"/>
          <w:lang w:eastAsia="mk-MK"/>
        </w:rPr>
        <w:t>ети</w:t>
      </w:r>
      <w:r w:rsidRPr="00194389">
        <w:rPr>
          <w:rFonts w:ascii="StobiSerif Regular" w:eastAsia="Calibri" w:hAnsi="StobiSerif Regular" w:cs="Times New Roman"/>
          <w:color w:val="000000"/>
          <w:lang w:val="en-US" w:eastAsia="mk-MK"/>
        </w:rPr>
        <w:t xml:space="preserve"> во ИПАРД Агенцијата, </w:t>
      </w:r>
      <w:r w:rsidRPr="00194389">
        <w:rPr>
          <w:rFonts w:ascii="StobiSerif Regular" w:eastAsia="Calibri" w:hAnsi="StobiSerif Regular" w:cs="Times New Roman"/>
          <w:color w:val="000000"/>
          <w:lang w:eastAsia="mk-MK"/>
        </w:rPr>
        <w:t>и истите беа спроведени</w:t>
      </w:r>
      <w:r w:rsidRPr="00194389">
        <w:rPr>
          <w:rFonts w:ascii="StobiSerif Regular" w:eastAsia="Calibri" w:hAnsi="StobiSerif Regular" w:cs="Times New Roman"/>
          <w:color w:val="000000"/>
          <w:lang w:val="en-US" w:eastAsia="mk-MK"/>
        </w:rPr>
        <w:t xml:space="preserve">. </w:t>
      </w:r>
      <w:r w:rsidRPr="00194389">
        <w:rPr>
          <w:rFonts w:ascii="StobiSerif Regular" w:eastAsia="Calibri" w:hAnsi="StobiSerif Regular" w:cs="Times New Roman"/>
          <w:color w:val="000000"/>
          <w:lang w:eastAsia="mk-MK"/>
        </w:rPr>
        <w:t xml:space="preserve">Верификациската посета беше спроведена </w:t>
      </w:r>
      <w:r w:rsidRPr="00194389">
        <w:rPr>
          <w:rFonts w:ascii="StobiSerif Regular" w:eastAsia="Calibri" w:hAnsi="StobiSerif Regular" w:cs="Times New Roman"/>
          <w:color w:val="000000"/>
          <w:lang w:val="en-US" w:eastAsia="mk-MK"/>
        </w:rPr>
        <w:t xml:space="preserve">во текот на 2016 </w:t>
      </w:r>
      <w:r w:rsidRPr="00194389">
        <w:rPr>
          <w:rFonts w:ascii="StobiSerif Regular" w:eastAsia="Calibri" w:hAnsi="StobiSerif Regular" w:cs="Times New Roman"/>
          <w:color w:val="000000"/>
          <w:lang w:eastAsia="mk-MK"/>
        </w:rPr>
        <w:t>во самата ИПАРД</w:t>
      </w:r>
      <w:r w:rsidRPr="00194389">
        <w:rPr>
          <w:rFonts w:ascii="StobiSerif Regular" w:eastAsia="Calibri" w:hAnsi="StobiSerif Regular" w:cs="Times New Roman"/>
          <w:color w:val="000000"/>
          <w:lang w:val="en-US" w:eastAsia="mk-MK"/>
        </w:rPr>
        <w:t xml:space="preserve"> оперативната структура со цел да се осигура дека процесите за кои </w:t>
      </w:r>
      <w:r w:rsidRPr="00194389">
        <w:rPr>
          <w:rFonts w:ascii="StobiSerif Regular" w:eastAsia="Calibri" w:hAnsi="StobiSerif Regular" w:cs="Times New Roman"/>
          <w:color w:val="000000"/>
          <w:lang w:eastAsia="mk-MK"/>
        </w:rPr>
        <w:t xml:space="preserve">истите тие </w:t>
      </w:r>
      <w:r w:rsidRPr="00194389">
        <w:rPr>
          <w:rFonts w:ascii="StobiSerif Regular" w:eastAsia="Calibri" w:hAnsi="StobiSerif Regular" w:cs="Times New Roman"/>
          <w:color w:val="000000"/>
          <w:lang w:val="en-US" w:eastAsia="mk-MK"/>
        </w:rPr>
        <w:t xml:space="preserve">институции се одговорни се правилно </w:t>
      </w:r>
      <w:r w:rsidRPr="00194389">
        <w:rPr>
          <w:rFonts w:ascii="StobiSerif Regular" w:eastAsia="Calibri" w:hAnsi="StobiSerif Regular" w:cs="Times New Roman"/>
          <w:color w:val="000000"/>
          <w:lang w:eastAsia="mk-MK"/>
        </w:rPr>
        <w:t>извршени</w:t>
      </w:r>
      <w:r w:rsidRPr="00194389">
        <w:rPr>
          <w:rFonts w:ascii="StobiSerif Regular" w:eastAsia="Calibri" w:hAnsi="StobiSerif Regular" w:cs="Times New Roman"/>
          <w:color w:val="000000"/>
          <w:lang w:val="en-US" w:eastAsia="mk-MK"/>
        </w:rPr>
        <w:t xml:space="preserve"> и</w:t>
      </w:r>
      <w:r w:rsidRPr="00194389">
        <w:rPr>
          <w:rFonts w:ascii="StobiSerif Regular" w:eastAsia="Calibri" w:hAnsi="StobiSerif Regular" w:cs="Times New Roman"/>
          <w:color w:val="000000"/>
          <w:lang w:eastAsia="mk-MK"/>
        </w:rPr>
        <w:t xml:space="preserve"> да се изврши</w:t>
      </w:r>
      <w:r w:rsidRPr="00194389">
        <w:rPr>
          <w:rFonts w:ascii="StobiSerif Regular" w:eastAsia="Calibri" w:hAnsi="StobiSerif Regular" w:cs="Times New Roman"/>
          <w:color w:val="000000"/>
          <w:lang w:val="en-US" w:eastAsia="mk-MK"/>
        </w:rPr>
        <w:t xml:space="preserve"> проценка на функционирањето на системот за управување и контрола.</w:t>
      </w:r>
    </w:p>
    <w:p w:rsidR="00194389" w:rsidRPr="00194389" w:rsidRDefault="00194389" w:rsidP="00BA1CE8">
      <w:pPr>
        <w:numPr>
          <w:ilvl w:val="0"/>
          <w:numId w:val="32"/>
        </w:numPr>
        <w:spacing w:before="120" w:after="120"/>
        <w:contextualSpacing/>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 xml:space="preserve"> Спроведена верификациска посета во ТУ</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Целта на посетата на верификаци</w:t>
      </w:r>
      <w:r w:rsidRPr="00194389">
        <w:rPr>
          <w:rFonts w:ascii="StobiSerif Regular" w:eastAsia="Calibri" w:hAnsi="StobiSerif Regular" w:cs="Times New Roman"/>
          <w:lang w:eastAsia="mk-MK"/>
        </w:rPr>
        <w:t>ската посета во ТУ</w:t>
      </w:r>
      <w:r w:rsidRPr="00194389">
        <w:rPr>
          <w:rFonts w:ascii="StobiSerif Regular" w:eastAsia="Calibri" w:hAnsi="StobiSerif Regular" w:cs="Times New Roman"/>
          <w:lang w:val="en-US" w:eastAsia="mk-MK"/>
        </w:rPr>
        <w:t xml:space="preserve"> </w:t>
      </w:r>
      <w:r w:rsidRPr="00194389">
        <w:rPr>
          <w:rFonts w:ascii="StobiSerif Regular" w:eastAsia="Calibri" w:hAnsi="StobiSerif Regular" w:cs="Times New Roman"/>
          <w:lang w:eastAsia="mk-MK"/>
        </w:rPr>
        <w:t>беше</w:t>
      </w:r>
      <w:r w:rsidRPr="00194389">
        <w:rPr>
          <w:rFonts w:ascii="StobiSerif Regular" w:eastAsia="Calibri" w:hAnsi="StobiSerif Regular" w:cs="Times New Roman"/>
          <w:lang w:val="en-US" w:eastAsia="mk-MK"/>
        </w:rPr>
        <w:t xml:space="preserve"> надзор во системите за управување и контрола и да се потврди дека </w:t>
      </w:r>
      <w:r w:rsidRPr="00194389">
        <w:rPr>
          <w:rFonts w:ascii="StobiSerif Regular" w:eastAsia="Calibri" w:hAnsi="StobiSerif Regular" w:cs="Times New Roman"/>
          <w:lang w:eastAsia="mk-MK"/>
        </w:rPr>
        <w:t>ТУ ги</w:t>
      </w:r>
      <w:r w:rsidRPr="00194389">
        <w:rPr>
          <w:rFonts w:ascii="StobiSerif Regular" w:eastAsia="Calibri" w:hAnsi="StobiSerif Regular" w:cs="Times New Roman"/>
          <w:lang w:val="en-US" w:eastAsia="mk-MK"/>
        </w:rPr>
        <w:t xml:space="preserve"> спроведува своите активности во согласност со критериумите за акредитација </w:t>
      </w:r>
      <w:r w:rsidRPr="00194389">
        <w:rPr>
          <w:rFonts w:ascii="StobiSerif Regular" w:eastAsia="Calibri" w:hAnsi="StobiSerif Regular" w:cs="Times New Roman"/>
          <w:lang w:eastAsia="mk-MK"/>
        </w:rPr>
        <w:t xml:space="preserve">како и </w:t>
      </w:r>
      <w:r w:rsidRPr="00194389">
        <w:rPr>
          <w:rFonts w:ascii="StobiSerif Regular" w:eastAsia="Calibri" w:hAnsi="StobiSerif Regular" w:cs="Times New Roman"/>
          <w:lang w:val="en-US" w:eastAsia="mk-MK"/>
        </w:rPr>
        <w:t xml:space="preserve">функции и одговорности утврдени од страна на Секторскиот Договор. </w:t>
      </w:r>
      <w:r w:rsidRPr="00194389">
        <w:rPr>
          <w:rFonts w:ascii="StobiSerif Regular" w:eastAsia="Calibri" w:hAnsi="StobiSerif Regular" w:cs="Times New Roman"/>
          <w:lang w:eastAsia="mk-MK"/>
        </w:rPr>
        <w:t xml:space="preserve">Самата мисија на </w:t>
      </w:r>
      <w:r w:rsidRPr="00194389">
        <w:rPr>
          <w:rFonts w:ascii="StobiSerif Regular" w:eastAsia="Calibri" w:hAnsi="StobiSerif Regular" w:cs="Times New Roman"/>
          <w:lang w:val="en-US" w:eastAsia="mk-MK"/>
        </w:rPr>
        <w:t>Верификаци</w:t>
      </w:r>
      <w:r w:rsidRPr="00194389">
        <w:rPr>
          <w:rFonts w:ascii="StobiSerif Regular" w:eastAsia="Calibri" w:hAnsi="StobiSerif Regular" w:cs="Times New Roman"/>
          <w:lang w:eastAsia="mk-MK"/>
        </w:rPr>
        <w:t>ската</w:t>
      </w:r>
      <w:r w:rsidRPr="00194389">
        <w:rPr>
          <w:rFonts w:ascii="StobiSerif Regular" w:eastAsia="Calibri" w:hAnsi="StobiSerif Regular" w:cs="Times New Roman"/>
          <w:lang w:val="en-US" w:eastAsia="mk-MK"/>
        </w:rPr>
        <w:t xml:space="preserve"> посета е да се потврди дека системот за управување и контрола функционира на ефективен и ефикасен начин, преку спроведување на проектот во рамките на мерката за </w:t>
      </w:r>
      <w:r w:rsidRPr="00194389">
        <w:rPr>
          <w:rFonts w:ascii="StobiSerif Regular" w:eastAsia="Calibri" w:hAnsi="StobiSerif Regular" w:cs="Times New Roman"/>
          <w:lang w:eastAsia="mk-MK"/>
        </w:rPr>
        <w:t>Т</w:t>
      </w:r>
      <w:r w:rsidRPr="00194389">
        <w:rPr>
          <w:rFonts w:ascii="StobiSerif Regular" w:eastAsia="Calibri" w:hAnsi="StobiSerif Regular" w:cs="Times New Roman"/>
          <w:lang w:val="en-US" w:eastAsia="mk-MK"/>
        </w:rPr>
        <w:t>ехничка помош.</w:t>
      </w:r>
    </w:p>
    <w:p w:rsidR="00194389" w:rsidRPr="00194389" w:rsidRDefault="00194389" w:rsidP="00194389">
      <w:pPr>
        <w:spacing w:before="120" w:after="120"/>
        <w:ind w:firstLine="284"/>
        <w:jc w:val="both"/>
        <w:rPr>
          <w:rFonts w:ascii="StobiSerif Regular" w:eastAsia="Calibri" w:hAnsi="StobiSerif Regular" w:cs="Times New Roman"/>
          <w:lang w:eastAsia="mk-MK"/>
        </w:rPr>
      </w:pPr>
      <w:r w:rsidRPr="00194389">
        <w:rPr>
          <w:rFonts w:ascii="StobiSerif Regular" w:eastAsia="Calibri" w:hAnsi="StobiSerif Regular" w:cs="Times New Roman"/>
          <w:lang w:eastAsia="mk-MK"/>
        </w:rPr>
        <w:t>Севкупниот впечаток на оваа посета е дека генерално се применуваат соодветни контроли и спроведуваат во согласност со пропишаните внатрешни Процедури за работа. Меѓутоа, во некои специфични области е потребно понатамошно унапредување и препораките во овој поглед се детално претставени во Конечниот извештај од спроведена верификациска посета (Арх. Бр. 10-494 / 1 од од 26.01.2017).</w:t>
      </w:r>
    </w:p>
    <w:p w:rsidR="00194389" w:rsidRPr="00194389" w:rsidRDefault="00194389" w:rsidP="00D957AA">
      <w:pPr>
        <w:spacing w:before="120" w:after="120"/>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lang w:eastAsia="mk-MK"/>
        </w:rPr>
        <w:t>Во текот на посетата не беа утврдени наоди со висок ризик</w:t>
      </w:r>
      <w:r w:rsidRPr="00194389">
        <w:rPr>
          <w:rFonts w:ascii="StobiSerif Regular" w:eastAsia="Calibri" w:hAnsi="StobiSerif Regular" w:cs="Times New Roman"/>
          <w:color w:val="000000"/>
          <w:lang w:val="en-US" w:eastAsia="mk-MK"/>
        </w:rPr>
        <w:t>.</w:t>
      </w:r>
    </w:p>
    <w:p w:rsidR="00194389" w:rsidRPr="00194389" w:rsidRDefault="00194389" w:rsidP="00D957AA">
      <w:pPr>
        <w:spacing w:before="120" w:after="120"/>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eastAsia="mk-MK"/>
        </w:rPr>
        <w:t>Како наоди со среден ризик беа утврдени следниве</w:t>
      </w:r>
      <w:r w:rsidRPr="00194389">
        <w:rPr>
          <w:rFonts w:ascii="StobiSerif Regular" w:eastAsia="Calibri" w:hAnsi="StobiSerif Regular" w:cs="Times New Roman"/>
          <w:color w:val="000000"/>
          <w:lang w:val="en-US" w:eastAsia="mk-MK"/>
        </w:rPr>
        <w:t>:</w:t>
      </w:r>
    </w:p>
    <w:p w:rsidR="00194389" w:rsidRPr="00194389" w:rsidRDefault="00194389" w:rsidP="00BA1CE8">
      <w:pPr>
        <w:numPr>
          <w:ilvl w:val="0"/>
          <w:numId w:val="23"/>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eastAsia="mk-MK"/>
        </w:rPr>
        <w:t>Неискористени средства од мерката Техничка помош</w:t>
      </w:r>
      <w:r w:rsidRPr="00194389">
        <w:rPr>
          <w:rFonts w:ascii="StobiSerif Regular" w:eastAsia="Calibri" w:hAnsi="StobiSerif Regular" w:cs="Times New Roman"/>
          <w:lang w:val="en-US" w:eastAsia="mk-MK"/>
        </w:rPr>
        <w:t>;</w:t>
      </w:r>
    </w:p>
    <w:p w:rsidR="00194389" w:rsidRPr="00194389" w:rsidRDefault="00194389" w:rsidP="00BA1CE8">
      <w:pPr>
        <w:numPr>
          <w:ilvl w:val="0"/>
          <w:numId w:val="23"/>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несоодветно планирање на роковите за подмирување на обврските на трети страни во Договорот за финансиска поддршка;</w:t>
      </w:r>
    </w:p>
    <w:p w:rsidR="00194389" w:rsidRPr="00194389" w:rsidRDefault="00194389" w:rsidP="00BA1CE8">
      <w:pPr>
        <w:numPr>
          <w:ilvl w:val="0"/>
          <w:numId w:val="23"/>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потребата за промени од овластени потписници на сметката за реализација на техничка помош и</w:t>
      </w:r>
    </w:p>
    <w:p w:rsidR="00194389" w:rsidRPr="00194389" w:rsidRDefault="00194389" w:rsidP="00BA1CE8">
      <w:pPr>
        <w:numPr>
          <w:ilvl w:val="0"/>
          <w:numId w:val="23"/>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 xml:space="preserve">Потреба за воспоставување електронска база </w:t>
      </w:r>
      <w:r w:rsidR="00D957AA">
        <w:rPr>
          <w:rFonts w:ascii="StobiSerif Regular" w:eastAsia="Calibri" w:hAnsi="StobiSerif Regular" w:cs="Times New Roman"/>
          <w:lang w:val="en-US" w:eastAsia="mk-MK"/>
        </w:rPr>
        <w:t>на економски оператори (ROSTER)</w:t>
      </w:r>
      <w:r w:rsidRPr="00194389">
        <w:rPr>
          <w:rFonts w:ascii="StobiSerif Regular" w:eastAsia="Calibri" w:hAnsi="StobiSerif Regular" w:cs="Times New Roman"/>
          <w:lang w:val="en-US" w:eastAsia="mk-MK"/>
        </w:rPr>
        <w:t>.</w:t>
      </w:r>
    </w:p>
    <w:p w:rsidR="00194389" w:rsidRPr="00194389" w:rsidRDefault="00194389" w:rsidP="00194389">
      <w:pPr>
        <w:spacing w:before="120" w:after="120"/>
        <w:jc w:val="both"/>
        <w:rPr>
          <w:rFonts w:ascii="StobiSerif Regular" w:eastAsia="Calibri" w:hAnsi="StobiSerif Regular" w:cs="Times New Roman"/>
          <w:lang w:eastAsia="mk-MK"/>
        </w:rPr>
      </w:pPr>
      <w:r w:rsidRPr="00194389">
        <w:rPr>
          <w:rFonts w:ascii="StobiSerif Regular" w:eastAsia="Calibri" w:hAnsi="StobiSerif Regular" w:cs="Times New Roman"/>
          <w:color w:val="000000"/>
          <w:lang w:eastAsia="mk-MK"/>
        </w:rPr>
        <w:t xml:space="preserve"> За сите констатирани наоди во текот на В</w:t>
      </w:r>
      <w:r w:rsidR="00D957AA">
        <w:rPr>
          <w:rFonts w:ascii="StobiSerif Regular" w:eastAsia="Calibri" w:hAnsi="StobiSerif Regular" w:cs="Times New Roman"/>
          <w:color w:val="000000"/>
          <w:lang w:eastAsia="mk-MK"/>
        </w:rPr>
        <w:t>ерификациската</w:t>
      </w:r>
      <w:r w:rsidRPr="00194389">
        <w:rPr>
          <w:rFonts w:ascii="StobiSerif Regular" w:eastAsia="Calibri" w:hAnsi="StobiSerif Regular" w:cs="Times New Roman"/>
          <w:color w:val="000000"/>
          <w:lang w:eastAsia="mk-MK"/>
        </w:rPr>
        <w:t xml:space="preserve"> посета, беа издадени соодветни препораки и беше изготвен Акциски план за спроведување на препораките</w:t>
      </w:r>
    </w:p>
    <w:p w:rsidR="00194389" w:rsidRPr="00194389" w:rsidRDefault="00194389" w:rsidP="00BA1CE8">
      <w:pPr>
        <w:numPr>
          <w:ilvl w:val="0"/>
          <w:numId w:val="32"/>
        </w:numPr>
        <w:spacing w:before="120" w:after="120"/>
        <w:contextualSpacing/>
        <w:jc w:val="both"/>
        <w:rPr>
          <w:rFonts w:ascii="StobiSerif Regular" w:eastAsia="Calibri" w:hAnsi="StobiSerif Regular" w:cs="Times New Roman"/>
          <w:color w:val="000000"/>
          <w:u w:val="single"/>
          <w:lang w:val="en-US" w:eastAsia="mk-MK"/>
        </w:rPr>
      </w:pPr>
      <w:r w:rsidRPr="00194389">
        <w:rPr>
          <w:rFonts w:ascii="StobiSerif Regular" w:eastAsia="Calibri" w:hAnsi="StobiSerif Regular" w:cs="Times New Roman"/>
          <w:color w:val="000000"/>
          <w:lang w:eastAsia="mk-MK"/>
        </w:rPr>
        <w:t>Спроведена Верификациска посета во ИПАРД Агенција</w:t>
      </w:r>
    </w:p>
    <w:p w:rsidR="00194389" w:rsidRPr="00194389" w:rsidRDefault="00194389" w:rsidP="00194389">
      <w:pPr>
        <w:spacing w:before="120" w:after="120"/>
        <w:ind w:firstLine="284"/>
        <w:jc w:val="both"/>
        <w:rPr>
          <w:rFonts w:ascii="StobiSerif Regular" w:eastAsia="Calibri" w:hAnsi="StobiSerif Regular" w:cs="Times New Roman"/>
          <w:lang w:eastAsia="mk-MK"/>
        </w:rPr>
      </w:pPr>
      <w:r w:rsidRPr="00194389">
        <w:rPr>
          <w:rFonts w:ascii="StobiSerif Regular" w:eastAsia="Calibri" w:hAnsi="StobiSerif Regular" w:cs="Times New Roman"/>
          <w:lang w:eastAsia="mk-MK"/>
        </w:rPr>
        <w:t>Според Годишниот план за спроведување на Верификациски посети во 2016 година,  во ИА беа спроведени 2 верификациски посети.</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Прва</w:t>
      </w:r>
      <w:r w:rsidRPr="00194389">
        <w:rPr>
          <w:rFonts w:ascii="StobiSerif Regular" w:eastAsia="Calibri" w:hAnsi="StobiSerif Regular" w:cs="Times New Roman"/>
          <w:lang w:eastAsia="mk-MK"/>
        </w:rPr>
        <w:t>та</w:t>
      </w:r>
      <w:r w:rsidRPr="00194389">
        <w:rPr>
          <w:rFonts w:ascii="StobiSerif Regular" w:eastAsia="Calibri" w:hAnsi="StobiSerif Regular" w:cs="Times New Roman"/>
          <w:lang w:val="en-US" w:eastAsia="mk-MK"/>
        </w:rPr>
        <w:t xml:space="preserve"> Верификациска посета (со специфични обем) </w:t>
      </w:r>
      <w:r w:rsidRPr="00194389">
        <w:rPr>
          <w:rFonts w:ascii="StobiSerif Regular" w:eastAsia="Calibri" w:hAnsi="StobiSerif Regular" w:cs="Times New Roman"/>
          <w:lang w:eastAsia="mk-MK"/>
        </w:rPr>
        <w:t>се однесуваше</w:t>
      </w:r>
      <w:r w:rsidRPr="00194389">
        <w:rPr>
          <w:rFonts w:ascii="StobiSerif Regular" w:eastAsia="Calibri" w:hAnsi="StobiSerif Regular" w:cs="Times New Roman"/>
          <w:lang w:val="en-US" w:eastAsia="mk-MK"/>
        </w:rPr>
        <w:t xml:space="preserve"> на административна</w:t>
      </w:r>
      <w:r w:rsidRPr="00194389">
        <w:rPr>
          <w:rFonts w:ascii="StobiSerif Regular" w:eastAsia="Calibri" w:hAnsi="StobiSerif Regular" w:cs="Times New Roman"/>
          <w:lang w:eastAsia="mk-MK"/>
        </w:rPr>
        <w:t>та</w:t>
      </w:r>
      <w:r w:rsidRPr="00194389">
        <w:rPr>
          <w:rFonts w:ascii="StobiSerif Regular" w:eastAsia="Calibri" w:hAnsi="StobiSerif Regular" w:cs="Times New Roman"/>
          <w:lang w:val="en-US" w:eastAsia="mk-MK"/>
        </w:rPr>
        <w:t xml:space="preserve"> контрола на</w:t>
      </w:r>
      <w:r w:rsidRPr="00194389">
        <w:rPr>
          <w:rFonts w:ascii="StobiSerif Regular" w:eastAsia="Calibri" w:hAnsi="StobiSerif Regular" w:cs="Times New Roman"/>
          <w:lang w:eastAsia="mk-MK"/>
        </w:rPr>
        <w:t xml:space="preserve"> склучени</w:t>
      </w:r>
      <w:r w:rsidRPr="00194389">
        <w:rPr>
          <w:rFonts w:ascii="StobiSerif Regular" w:eastAsia="Calibri" w:hAnsi="StobiSerif Regular" w:cs="Times New Roman"/>
          <w:lang w:val="en-US" w:eastAsia="mk-MK"/>
        </w:rPr>
        <w:t xml:space="preserve"> проекти од вториот повик за апликации за 2014 година и првиот јавен повик за апликации за 2015 година Целта на посетата беше да се провери функционирањето на системите за управување и контрола во постапката за доделување на помош за одреден тип на земјоделска механизација односно трактори според одобрените процедури</w:t>
      </w:r>
      <w:r w:rsidRPr="00194389">
        <w:rPr>
          <w:rFonts w:ascii="StobiSerif Regular" w:eastAsia="Calibri" w:hAnsi="StobiSerif Regular" w:cs="Times New Roman"/>
          <w:lang w:eastAsia="mk-MK"/>
        </w:rPr>
        <w:t>,</w:t>
      </w:r>
      <w:r w:rsidRPr="00194389">
        <w:rPr>
          <w:rFonts w:ascii="StobiSerif Regular" w:eastAsia="Calibri" w:hAnsi="StobiSerif Regular" w:cs="Times New Roman"/>
          <w:lang w:val="en-US" w:eastAsia="mk-MK"/>
        </w:rPr>
        <w:t xml:space="preserve"> и проверка на контролите во доделување на зголемување на процентот на кофинансирање во согласност со член 57 од Секторската спогодба во однос на штетата </w:t>
      </w:r>
      <w:r w:rsidRPr="00194389">
        <w:rPr>
          <w:rFonts w:ascii="StobiSerif Regular" w:eastAsia="Calibri" w:hAnsi="StobiSerif Regular" w:cs="Times New Roman"/>
          <w:lang w:eastAsia="mk-MK"/>
        </w:rPr>
        <w:t xml:space="preserve">претрпена од                                                                                                                                                                                                                                                                                                                                                                                                                                                                                                                                                                                                                                                                                                                                                                                                                                                                                                                                                                                                                                                                                                                                                                                                                                                                                                                                                                                                                                                      </w:t>
      </w:r>
      <w:r w:rsidRPr="00194389">
        <w:rPr>
          <w:rFonts w:ascii="StobiSerif Regular" w:eastAsia="Calibri" w:hAnsi="StobiSerif Regular" w:cs="Times New Roman"/>
          <w:lang w:val="en-US" w:eastAsia="mk-MK"/>
        </w:rPr>
        <w:t xml:space="preserve"> поплавите од првиот квартал во 2015 година</w:t>
      </w:r>
      <w:r w:rsidRPr="00194389">
        <w:rPr>
          <w:rFonts w:ascii="StobiSerif Regular" w:eastAsia="Calibri" w:hAnsi="StobiSerif Regular" w:cs="Times New Roman"/>
          <w:lang w:eastAsia="mk-MK"/>
        </w:rPr>
        <w:t>.</w:t>
      </w:r>
      <w:r w:rsidRPr="00194389">
        <w:rPr>
          <w:rFonts w:ascii="StobiSerif Regular" w:eastAsia="Calibri" w:hAnsi="StobiSerif Regular" w:cs="Times New Roman"/>
          <w:lang w:val="en-US" w:eastAsia="mk-MK"/>
        </w:rPr>
        <w:t xml:space="preserve"> Детален опис на наодите и препораките од оваа верификациска посета се </w:t>
      </w:r>
      <w:r w:rsidRPr="00194389">
        <w:rPr>
          <w:rFonts w:ascii="StobiSerif Regular" w:eastAsia="Calibri" w:hAnsi="StobiSerif Regular" w:cs="Times New Roman"/>
          <w:lang w:eastAsia="mk-MK"/>
        </w:rPr>
        <w:t>наведени</w:t>
      </w:r>
      <w:r w:rsidRPr="00194389">
        <w:rPr>
          <w:rFonts w:ascii="StobiSerif Regular" w:eastAsia="Calibri" w:hAnsi="StobiSerif Regular" w:cs="Times New Roman"/>
          <w:lang w:val="en-US" w:eastAsia="mk-MK"/>
        </w:rPr>
        <w:t xml:space="preserve"> во Извештајот </w:t>
      </w:r>
      <w:r w:rsidRPr="00194389">
        <w:rPr>
          <w:rFonts w:ascii="StobiSerif Regular" w:eastAsia="Calibri" w:hAnsi="StobiSerif Regular" w:cs="Times New Roman"/>
          <w:lang w:eastAsia="mk-MK"/>
        </w:rPr>
        <w:t>(Арх.</w:t>
      </w:r>
      <w:r w:rsidRPr="00194389">
        <w:rPr>
          <w:rFonts w:ascii="StobiSerif Regular" w:eastAsia="Calibri" w:hAnsi="StobiSerif Regular" w:cs="Times New Roman"/>
          <w:lang w:val="en-US" w:eastAsia="mk-MK"/>
        </w:rPr>
        <w:t xml:space="preserve">бр 10-3550 / 3 од </w:t>
      </w:r>
      <w:r w:rsidRPr="00194389">
        <w:rPr>
          <w:rFonts w:ascii="StobiSerif Regular" w:eastAsia="Calibri" w:hAnsi="StobiSerif Regular" w:cs="Times New Roman"/>
          <w:lang w:eastAsia="mk-MK"/>
        </w:rPr>
        <w:t>06.09.2016)</w:t>
      </w:r>
      <w:r w:rsidRPr="00194389">
        <w:rPr>
          <w:rFonts w:ascii="StobiSerif Regular" w:eastAsia="Calibri" w:hAnsi="StobiSerif Regular" w:cs="Times New Roman"/>
          <w:lang w:val="en-US" w:eastAsia="mk-MK"/>
        </w:rPr>
        <w:t xml:space="preserve">. </w:t>
      </w:r>
      <w:r w:rsidRPr="00194389">
        <w:rPr>
          <w:rFonts w:ascii="StobiSerif Regular" w:eastAsia="Calibri" w:hAnsi="StobiSerif Regular" w:cs="Times New Roman"/>
          <w:lang w:eastAsia="mk-MK"/>
        </w:rPr>
        <w:t xml:space="preserve">Беа проверени вкупно 27 </w:t>
      </w:r>
      <w:r w:rsidRPr="00194389">
        <w:rPr>
          <w:rFonts w:ascii="StobiSerif Regular" w:eastAsia="Calibri" w:hAnsi="StobiSerif Regular" w:cs="Times New Roman"/>
          <w:lang w:val="en-US" w:eastAsia="mk-MK"/>
        </w:rPr>
        <w:t xml:space="preserve">од јавните повици 02/2014 и 01/2015. Според </w:t>
      </w:r>
      <w:r w:rsidRPr="00194389">
        <w:rPr>
          <w:rFonts w:ascii="StobiSerif Regular" w:eastAsia="Calibri" w:hAnsi="StobiSerif Regular" w:cs="Times New Roman"/>
          <w:lang w:eastAsia="mk-MK"/>
        </w:rPr>
        <w:t xml:space="preserve">извршената </w:t>
      </w:r>
      <w:r w:rsidRPr="00194389">
        <w:rPr>
          <w:rFonts w:ascii="StobiSerif Regular" w:eastAsia="Calibri" w:hAnsi="StobiSerif Regular" w:cs="Times New Roman"/>
          <w:lang w:val="en-US" w:eastAsia="mk-MK"/>
        </w:rPr>
        <w:t xml:space="preserve">проценка на ризикот, </w:t>
      </w:r>
      <w:r w:rsidRPr="00194389">
        <w:rPr>
          <w:rFonts w:ascii="StobiSerif Regular" w:eastAsia="Calibri" w:hAnsi="StobiSerif Regular" w:cs="Times New Roman"/>
          <w:lang w:eastAsia="mk-MK"/>
        </w:rPr>
        <w:t>видот</w:t>
      </w:r>
      <w:r w:rsidRPr="00194389">
        <w:rPr>
          <w:rFonts w:ascii="StobiSerif Regular" w:eastAsia="Calibri" w:hAnsi="StobiSerif Regular" w:cs="Times New Roman"/>
          <w:lang w:val="en-US" w:eastAsia="mk-MK"/>
        </w:rPr>
        <w:t xml:space="preserve"> на проекти избрани за проверка беше од мерката 101 - Инвестиции на земјоделските стопанства со цел нивно преструктуирање и надградба за достигнување стандардите на Европската Унија.</w:t>
      </w:r>
    </w:p>
    <w:p w:rsidR="00194389" w:rsidRPr="00194389" w:rsidRDefault="00194389" w:rsidP="00194389">
      <w:pPr>
        <w:spacing w:before="120" w:after="120"/>
        <w:ind w:firstLine="284"/>
        <w:jc w:val="both"/>
        <w:rPr>
          <w:rFonts w:ascii="StobiSerif Regular" w:eastAsia="Calibri" w:hAnsi="StobiSerif Regular" w:cs="Times New Roman"/>
          <w:lang w:eastAsia="mk-MK"/>
        </w:rPr>
      </w:pPr>
      <w:r w:rsidRPr="00194389">
        <w:rPr>
          <w:rFonts w:ascii="StobiSerif Regular" w:eastAsia="Calibri" w:hAnsi="StobiSerif Regular" w:cs="Times New Roman"/>
          <w:lang w:eastAsia="mk-MK"/>
        </w:rPr>
        <w:t>Главните наоди кои што беа идентификувани за време на верификациската посета пред склучување на договори од јавните повици 02/2014 и 01/2015, се:</w:t>
      </w:r>
    </w:p>
    <w:p w:rsidR="00194389" w:rsidRPr="00194389" w:rsidRDefault="00194389" w:rsidP="00194389">
      <w:pPr>
        <w:spacing w:before="120" w:after="120"/>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Наоди со голем ризик:</w:t>
      </w:r>
    </w:p>
    <w:p w:rsidR="00194389" w:rsidRPr="00194389" w:rsidRDefault="00194389" w:rsidP="00BA1CE8">
      <w:pPr>
        <w:numPr>
          <w:ilvl w:val="0"/>
          <w:numId w:val="42"/>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 xml:space="preserve">Одобрен зголемен процент за ко-финансирање на 75% (јавни придонеси) во </w:t>
      </w:r>
      <w:r w:rsidRPr="00194389">
        <w:rPr>
          <w:rFonts w:ascii="StobiSerif Regular" w:eastAsia="Calibri" w:hAnsi="StobiSerif Regular" w:cs="Times New Roman"/>
          <w:lang w:eastAsia="mk-MK"/>
        </w:rPr>
        <w:t>рамките на</w:t>
      </w:r>
      <w:r w:rsidRPr="00194389">
        <w:rPr>
          <w:rFonts w:ascii="StobiSerif Regular" w:eastAsia="Calibri" w:hAnsi="StobiSerif Regular" w:cs="Times New Roman"/>
          <w:lang w:val="en-US" w:eastAsia="mk-MK"/>
        </w:rPr>
        <w:t xml:space="preserve"> два договори </w:t>
      </w:r>
      <w:r w:rsidRPr="00194389">
        <w:rPr>
          <w:rFonts w:ascii="StobiSerif Regular" w:eastAsia="Calibri" w:hAnsi="StobiSerif Regular" w:cs="Times New Roman"/>
          <w:lang w:eastAsia="mk-MK"/>
        </w:rPr>
        <w:t>во однос на</w:t>
      </w:r>
      <w:r w:rsidRPr="00194389">
        <w:rPr>
          <w:rFonts w:ascii="StobiSerif Regular" w:eastAsia="Calibri" w:hAnsi="StobiSerif Regular" w:cs="Times New Roman"/>
          <w:lang w:val="en-US" w:eastAsia="mk-MK"/>
        </w:rPr>
        <w:t xml:space="preserve"> штетите предизвикани од поплавите, иако условите наведени во ИПАРД програмата не се исполнети (потенцијални</w:t>
      </w:r>
      <w:r w:rsidRPr="00194389">
        <w:rPr>
          <w:rFonts w:ascii="StobiSerif Regular" w:eastAsia="Calibri" w:hAnsi="StobiSerif Regular" w:cs="Times New Roman"/>
          <w:lang w:eastAsia="mk-MK"/>
        </w:rPr>
        <w:t>от</w:t>
      </w:r>
      <w:r w:rsidRPr="00194389">
        <w:rPr>
          <w:rFonts w:ascii="StobiSerif Regular" w:eastAsia="Calibri" w:hAnsi="StobiSerif Regular" w:cs="Times New Roman"/>
          <w:lang w:val="en-US" w:eastAsia="mk-MK"/>
        </w:rPr>
        <w:t xml:space="preserve"> финансиски ефект беше идентификуван во 7.209,00 евра);</w:t>
      </w:r>
    </w:p>
    <w:p w:rsidR="00194389" w:rsidRPr="00194389" w:rsidRDefault="00194389" w:rsidP="00BA1CE8">
      <w:pPr>
        <w:numPr>
          <w:ilvl w:val="0"/>
          <w:numId w:val="42"/>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доделена финансиска поддршка за опрема со поинакви технички карактеристики од оние кои се одобрени во договорот и</w:t>
      </w:r>
    </w:p>
    <w:p w:rsidR="00194389" w:rsidRPr="00194389" w:rsidRDefault="00D957AA" w:rsidP="00BA1CE8">
      <w:pPr>
        <w:numPr>
          <w:ilvl w:val="0"/>
          <w:numId w:val="42"/>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Неконзистентен</w:t>
      </w:r>
      <w:r w:rsidR="00194389" w:rsidRPr="00194389">
        <w:rPr>
          <w:rFonts w:ascii="StobiSerif Regular" w:eastAsia="Calibri" w:hAnsi="StobiSerif Regular" w:cs="Times New Roman"/>
          <w:lang w:val="en-US" w:eastAsia="mk-MK"/>
        </w:rPr>
        <w:t xml:space="preserve"> пристап од различни одделенија во Агенцијата, преку донесување на одлука на барање на корисникот </w:t>
      </w:r>
      <w:r w:rsidR="00194389" w:rsidRPr="00D957AA">
        <w:rPr>
          <w:rFonts w:ascii="StobiSerif Regular" w:eastAsia="Calibri" w:hAnsi="StobiSerif Regular" w:cs="Times New Roman"/>
          <w:lang w:val="en-US" w:eastAsia="mk-MK"/>
        </w:rPr>
        <w:t xml:space="preserve">за </w:t>
      </w:r>
      <w:r w:rsidR="00194389" w:rsidRPr="00D957AA">
        <w:rPr>
          <w:rFonts w:ascii="StobiSerif Regular" w:eastAsia="Calibri" w:hAnsi="StobiSerif Regular" w:cs="Times New Roman"/>
          <w:lang w:eastAsia="mk-MK"/>
        </w:rPr>
        <w:t>замена на</w:t>
      </w:r>
      <w:r w:rsidR="00194389" w:rsidRPr="00D957AA">
        <w:rPr>
          <w:rFonts w:ascii="StobiSerif Regular" w:eastAsia="Calibri" w:hAnsi="StobiSerif Regular" w:cs="Times New Roman"/>
          <w:lang w:val="en-US" w:eastAsia="mk-MK"/>
        </w:rPr>
        <w:t xml:space="preserve"> опрема</w:t>
      </w:r>
      <w:r w:rsidR="00194389" w:rsidRPr="00D957AA">
        <w:rPr>
          <w:rFonts w:ascii="StobiSerif Regular" w:eastAsia="Calibri" w:hAnsi="StobiSerif Regular" w:cs="Times New Roman"/>
          <w:lang w:eastAsia="mk-MK"/>
        </w:rPr>
        <w:t xml:space="preserve">та </w:t>
      </w:r>
      <w:r w:rsidR="00194389" w:rsidRPr="00194389">
        <w:rPr>
          <w:rFonts w:ascii="StobiSerif Regular" w:eastAsia="Calibri" w:hAnsi="StobiSerif Regular" w:cs="Times New Roman"/>
          <w:lang w:val="en-US" w:eastAsia="mk-MK"/>
        </w:rPr>
        <w:t>(трактори- ИМТ).</w:t>
      </w:r>
    </w:p>
    <w:p w:rsidR="00194389" w:rsidRPr="00194389" w:rsidRDefault="00194389" w:rsidP="00194389">
      <w:pPr>
        <w:spacing w:before="120" w:after="120"/>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Наоди со среден ризик:</w:t>
      </w:r>
    </w:p>
    <w:p w:rsidR="00194389" w:rsidRPr="00D957AA" w:rsidRDefault="00194389" w:rsidP="00D957AA">
      <w:pPr>
        <w:pStyle w:val="ListParagraph"/>
        <w:numPr>
          <w:ilvl w:val="0"/>
          <w:numId w:val="57"/>
        </w:numPr>
        <w:spacing w:before="120" w:after="120"/>
        <w:jc w:val="both"/>
        <w:rPr>
          <w:rFonts w:ascii="StobiSerif Regular" w:eastAsia="Calibri" w:hAnsi="StobiSerif Regular" w:cs="Times New Roman"/>
          <w:lang w:val="en-US" w:eastAsia="mk-MK"/>
        </w:rPr>
      </w:pPr>
      <w:r w:rsidRPr="00D957AA">
        <w:rPr>
          <w:rFonts w:ascii="StobiSerif Regular" w:eastAsia="Calibri" w:hAnsi="StobiSerif Regular" w:cs="Times New Roman"/>
          <w:lang w:val="en-US" w:eastAsia="mk-MK"/>
        </w:rPr>
        <w:t>За време на административната проверка на комплетноста и усогласување на барањето за финансиска поддршка идентификувани се грешки во обработката на барањата за финансиска поддршка од СОП.</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Сите големи и средни наоди од овој извештај биле соодветно следени од страна на НАО на редовна основа преку</w:t>
      </w:r>
      <w:r w:rsidRPr="00194389">
        <w:rPr>
          <w:rFonts w:ascii="StobiSerif Regular" w:eastAsia="Calibri" w:hAnsi="StobiSerif Regular" w:cs="Times New Roman"/>
          <w:lang w:eastAsia="mk-MK"/>
        </w:rPr>
        <w:t xml:space="preserve"> соодветно</w:t>
      </w:r>
      <w:r w:rsidRPr="00194389">
        <w:rPr>
          <w:rFonts w:ascii="StobiSerif Regular" w:eastAsia="Calibri" w:hAnsi="StobiSerif Regular" w:cs="Times New Roman"/>
          <w:lang w:val="en-US" w:eastAsia="mk-MK"/>
        </w:rPr>
        <w:t xml:space="preserve"> дизајниран систем. Во </w:t>
      </w:r>
      <w:r w:rsidRPr="00194389">
        <w:rPr>
          <w:rFonts w:ascii="StobiSerif Regular" w:eastAsia="Calibri" w:hAnsi="StobiSerif Regular" w:cs="Times New Roman"/>
          <w:lang w:eastAsia="mk-MK"/>
        </w:rPr>
        <w:t>однос на наодот во врска</w:t>
      </w:r>
      <w:r w:rsidRPr="00194389">
        <w:rPr>
          <w:rFonts w:ascii="StobiSerif Regular" w:eastAsia="Calibri" w:hAnsi="StobiSerif Regular" w:cs="Times New Roman"/>
          <w:lang w:val="en-US" w:eastAsia="mk-MK"/>
        </w:rPr>
        <w:t xml:space="preserve"> со потенцијалниот финансиски ефект кој беше утврден за време на посетата, корективна мерка од </w:t>
      </w:r>
      <w:r w:rsidRPr="00194389">
        <w:rPr>
          <w:rFonts w:ascii="StobiSerif Regular" w:eastAsia="Calibri" w:hAnsi="StobiSerif Regular" w:cs="Times New Roman"/>
          <w:lang w:eastAsia="mk-MK"/>
        </w:rPr>
        <w:t xml:space="preserve">страна на </w:t>
      </w:r>
      <w:r w:rsidRPr="00194389">
        <w:rPr>
          <w:rFonts w:ascii="StobiSerif Regular" w:eastAsia="Calibri" w:hAnsi="StobiSerif Regular" w:cs="Times New Roman"/>
          <w:lang w:val="en-US" w:eastAsia="mk-MK"/>
        </w:rPr>
        <w:t>ИПАРД Агенцијата</w:t>
      </w:r>
      <w:r w:rsidRPr="00194389">
        <w:rPr>
          <w:rFonts w:ascii="StobiSerif Regular" w:eastAsia="Calibri" w:hAnsi="StobiSerif Regular" w:cs="Times New Roman"/>
          <w:lang w:eastAsia="mk-MK"/>
        </w:rPr>
        <w:t xml:space="preserve"> беше</w:t>
      </w:r>
      <w:r w:rsidRPr="00194389">
        <w:rPr>
          <w:rFonts w:ascii="StobiSerif Regular" w:eastAsia="Calibri" w:hAnsi="StobiSerif Regular" w:cs="Times New Roman"/>
          <w:lang w:val="en-US" w:eastAsia="mk-MK"/>
        </w:rPr>
        <w:t xml:space="preserve"> веднаш </w:t>
      </w:r>
      <w:r w:rsidRPr="00194389">
        <w:rPr>
          <w:rFonts w:ascii="StobiSerif Regular" w:eastAsia="Calibri" w:hAnsi="StobiSerif Regular" w:cs="Times New Roman"/>
          <w:lang w:eastAsia="mk-MK"/>
        </w:rPr>
        <w:t xml:space="preserve">применета </w:t>
      </w:r>
      <w:r w:rsidRPr="00194389">
        <w:rPr>
          <w:rFonts w:ascii="StobiSerif Regular" w:eastAsia="Calibri" w:hAnsi="StobiSerif Regular" w:cs="Times New Roman"/>
          <w:lang w:val="en-US" w:eastAsia="mk-MK"/>
        </w:rPr>
        <w:t xml:space="preserve">со потпишување на Анекс на договорите со крајните корисници, </w:t>
      </w:r>
      <w:r w:rsidRPr="00194389">
        <w:rPr>
          <w:rFonts w:ascii="StobiSerif Regular" w:eastAsia="Calibri" w:hAnsi="StobiSerif Regular" w:cs="Times New Roman"/>
          <w:lang w:eastAsia="mk-MK"/>
        </w:rPr>
        <w:t xml:space="preserve">со што, </w:t>
      </w:r>
      <w:r w:rsidRPr="00194389">
        <w:rPr>
          <w:rFonts w:ascii="StobiSerif Regular" w:eastAsia="Calibri" w:hAnsi="StobiSerif Regular" w:cs="Times New Roman"/>
          <w:lang w:val="en-US" w:eastAsia="mk-MK"/>
        </w:rPr>
        <w:t xml:space="preserve"> потенцијалниот финансиски ефект (од околу 443.412,30 денари</w:t>
      </w:r>
      <w:r w:rsidRPr="00194389">
        <w:rPr>
          <w:rFonts w:ascii="StobiSerif Regular" w:eastAsia="Calibri" w:hAnsi="StobiSerif Regular" w:cs="Times New Roman"/>
          <w:lang w:eastAsia="mk-MK"/>
        </w:rPr>
        <w:t xml:space="preserve"> или</w:t>
      </w:r>
      <w:r w:rsidRPr="00194389">
        <w:rPr>
          <w:rFonts w:ascii="StobiSerif Regular" w:eastAsia="Calibri" w:hAnsi="StobiSerif Regular" w:cs="Times New Roman"/>
          <w:lang w:val="en-US" w:eastAsia="mk-MK"/>
        </w:rPr>
        <w:t xml:space="preserve"> 7.209,00 евра) беше елиминиран.</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Втората</w:t>
      </w:r>
      <w:r w:rsidRPr="00194389">
        <w:rPr>
          <w:rFonts w:ascii="StobiSerif Regular" w:eastAsia="Calibri" w:hAnsi="StobiSerif Regular" w:cs="Times New Roman"/>
          <w:lang w:eastAsia="mk-MK"/>
        </w:rPr>
        <w:t xml:space="preserve"> верификациска</w:t>
      </w:r>
      <w:r w:rsidRPr="00194389">
        <w:rPr>
          <w:rFonts w:ascii="StobiSerif Regular" w:eastAsia="Calibri" w:hAnsi="StobiSerif Regular" w:cs="Times New Roman"/>
          <w:lang w:val="en-US" w:eastAsia="mk-MK"/>
        </w:rPr>
        <w:t xml:space="preserve"> посета во ИПАРД Агенцијата </w:t>
      </w:r>
      <w:r w:rsidRPr="00194389">
        <w:rPr>
          <w:rFonts w:ascii="StobiSerif Regular" w:eastAsia="Calibri" w:hAnsi="StobiSerif Regular" w:cs="Times New Roman"/>
          <w:lang w:eastAsia="mk-MK"/>
        </w:rPr>
        <w:t>се однесуваше</w:t>
      </w:r>
      <w:r w:rsidRPr="00194389">
        <w:rPr>
          <w:rFonts w:ascii="StobiSerif Regular" w:eastAsia="Calibri" w:hAnsi="StobiSerif Regular" w:cs="Times New Roman"/>
          <w:lang w:val="en-US" w:eastAsia="mk-MK"/>
        </w:rPr>
        <w:t xml:space="preserve"> на платени проекти во III квартал 2016 година </w:t>
      </w:r>
      <w:r w:rsidR="000D47E0">
        <w:rPr>
          <w:rFonts w:ascii="StobiSerif Regular" w:eastAsia="Calibri" w:hAnsi="StobiSerif Regular" w:cs="Times New Roman"/>
          <w:lang w:eastAsia="mk-MK"/>
        </w:rPr>
        <w:t>што беа посочени од Комисијата</w:t>
      </w:r>
      <w:r w:rsidRPr="00194389">
        <w:rPr>
          <w:rFonts w:ascii="StobiSerif Regular" w:eastAsia="Calibri" w:hAnsi="StobiSerif Regular" w:cs="Times New Roman"/>
          <w:lang w:val="en-US" w:eastAsia="mk-MK"/>
        </w:rPr>
        <w:t xml:space="preserve">. Целта на овие посети </w:t>
      </w:r>
      <w:r w:rsidRPr="00194389">
        <w:rPr>
          <w:rFonts w:ascii="StobiSerif Regular" w:eastAsia="Calibri" w:hAnsi="StobiSerif Regular" w:cs="Times New Roman"/>
          <w:lang w:eastAsia="mk-MK"/>
        </w:rPr>
        <w:t>беше да се проверат</w:t>
      </w:r>
      <w:r w:rsidRPr="00194389">
        <w:rPr>
          <w:rFonts w:ascii="StobiSerif Regular" w:eastAsia="Calibri" w:hAnsi="StobiSerif Regular" w:cs="Times New Roman"/>
          <w:lang w:val="en-US" w:eastAsia="mk-MK"/>
        </w:rPr>
        <w:t xml:space="preserve"> системите за управување и контрола, </w:t>
      </w:r>
      <w:r w:rsidRPr="00194389">
        <w:rPr>
          <w:rFonts w:ascii="StobiSerif Regular" w:eastAsia="Calibri" w:hAnsi="StobiSerif Regular" w:cs="Times New Roman"/>
          <w:lang w:eastAsia="mk-MK"/>
        </w:rPr>
        <w:t>односно да се утврди</w:t>
      </w:r>
      <w:r w:rsidRPr="00194389">
        <w:rPr>
          <w:rFonts w:ascii="StobiSerif Regular" w:eastAsia="Calibri" w:hAnsi="StobiSerif Regular" w:cs="Times New Roman"/>
          <w:lang w:val="en-US" w:eastAsia="mk-MK"/>
        </w:rPr>
        <w:t xml:space="preserve"> дека системите за управување и за контрола функционираат на ефективен и ефикасен начин, како и да се потврди дека плаќањата кон крајните корисници, се во согласност со пропишаните правила за користење на средствата од ИПАРД програмата.</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 xml:space="preserve">Детален опис на наодите и препораките </w:t>
      </w:r>
      <w:r w:rsidRPr="00194389">
        <w:rPr>
          <w:rFonts w:ascii="StobiSerif Regular" w:eastAsia="Calibri" w:hAnsi="StobiSerif Regular" w:cs="Times New Roman"/>
          <w:lang w:eastAsia="mk-MK"/>
        </w:rPr>
        <w:t>од оваа посета</w:t>
      </w:r>
      <w:r w:rsidRPr="00194389">
        <w:rPr>
          <w:rFonts w:ascii="StobiSerif Regular" w:eastAsia="Calibri" w:hAnsi="StobiSerif Regular" w:cs="Times New Roman"/>
          <w:lang w:val="en-US" w:eastAsia="mk-MK"/>
        </w:rPr>
        <w:t xml:space="preserve"> се презентирани во Извештајот </w:t>
      </w:r>
      <w:r w:rsidRPr="00194389">
        <w:rPr>
          <w:rFonts w:ascii="StobiSerif Regular" w:eastAsia="Calibri" w:hAnsi="StobiSerif Regular" w:cs="Times New Roman"/>
          <w:lang w:eastAsia="mk-MK"/>
        </w:rPr>
        <w:t>(Арх.бр.</w:t>
      </w:r>
      <w:r w:rsidRPr="00194389">
        <w:rPr>
          <w:rFonts w:ascii="StobiSerif Regular" w:eastAsia="Calibri" w:hAnsi="StobiSerif Regular" w:cs="Times New Roman"/>
          <w:lang w:val="en-US" w:eastAsia="mk-MK"/>
        </w:rPr>
        <w:t>No.10-493 / 1 од 26.01.2017) за</w:t>
      </w:r>
      <w:r w:rsidRPr="00194389">
        <w:rPr>
          <w:rFonts w:ascii="StobiSerif Regular" w:eastAsia="Calibri" w:hAnsi="StobiSerif Regular" w:cs="Times New Roman"/>
          <w:lang w:eastAsia="mk-MK"/>
        </w:rPr>
        <w:t xml:space="preserve"> В.посета</w:t>
      </w:r>
      <w:r w:rsidRPr="00194389">
        <w:rPr>
          <w:rFonts w:ascii="StobiSerif Regular" w:eastAsia="Calibri" w:hAnsi="StobiSerif Regular" w:cs="Times New Roman"/>
          <w:lang w:val="en-US" w:eastAsia="mk-MK"/>
        </w:rPr>
        <w:t xml:space="preserve"> посетата во ИПАРД Агенцијата за платени проекти во третиот квартал на 2016 година, дел од Изјавата за трошоци до ЕК.</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Во текот оваа верификациска посета според анализите, беше одлучено да се проверат 5 проекти од мерката / тип на инвестиција 10111, 10121, 10132 и 10322 од вкупно 29 проекти платени во текот на третиот квартал на 2016 година</w:t>
      </w:r>
      <w:r w:rsidRPr="00194389">
        <w:rPr>
          <w:rFonts w:ascii="StobiSerif Regular" w:eastAsia="Calibri" w:hAnsi="StobiSerif Regular" w:cs="Times New Roman"/>
          <w:lang w:eastAsia="mk-MK"/>
        </w:rPr>
        <w:t>.</w:t>
      </w:r>
      <w:r w:rsidRPr="00194389">
        <w:rPr>
          <w:rFonts w:ascii="StobiSerif Regular" w:eastAsia="Calibri" w:hAnsi="StobiSerif Regular" w:cs="Times New Roman"/>
          <w:lang w:val="en-US" w:eastAsia="mk-MK"/>
        </w:rPr>
        <w:t xml:space="preserve"> Вкупниот износ од 3.852.049MKD ( околу 62,516 евра) </w:t>
      </w:r>
      <w:r w:rsidRPr="00194389">
        <w:rPr>
          <w:rFonts w:ascii="StobiSerif Regular" w:eastAsia="Calibri" w:hAnsi="StobiSerif Regular" w:cs="Times New Roman"/>
          <w:lang w:eastAsia="mk-MK"/>
        </w:rPr>
        <w:t>беше</w:t>
      </w:r>
      <w:r w:rsidRPr="00194389">
        <w:rPr>
          <w:rFonts w:ascii="StobiSerif Regular" w:eastAsia="Calibri" w:hAnsi="StobiSerif Regular" w:cs="Times New Roman"/>
          <w:lang w:val="en-US" w:eastAsia="mk-MK"/>
        </w:rPr>
        <w:t xml:space="preserve"> покриен со оваа верификациска посета од 8.882.265 денари (околу 144,421 евра) исплатени во трет квартал од 2016 година и претставува 43,36% . </w:t>
      </w:r>
      <w:r w:rsidRPr="00194389">
        <w:rPr>
          <w:rFonts w:ascii="StobiSerif Regular" w:eastAsia="Calibri" w:hAnsi="StobiSerif Regular" w:cs="Times New Roman"/>
          <w:lang w:eastAsia="mk-MK"/>
        </w:rPr>
        <w:t>Како заклучок од</w:t>
      </w:r>
      <w:r w:rsidRPr="00194389">
        <w:rPr>
          <w:rFonts w:ascii="StobiSerif Regular" w:eastAsia="Calibri" w:hAnsi="StobiSerif Regular" w:cs="Times New Roman"/>
          <w:lang w:val="en-US" w:eastAsia="mk-MK"/>
        </w:rPr>
        <w:t xml:space="preserve"> извршените</w:t>
      </w:r>
      <w:r w:rsidRPr="00194389">
        <w:rPr>
          <w:rFonts w:ascii="StobiSerif Regular" w:eastAsia="Calibri" w:hAnsi="StobiSerif Regular" w:cs="Times New Roman"/>
          <w:lang w:eastAsia="mk-MK"/>
        </w:rPr>
        <w:t xml:space="preserve"> верификациски</w:t>
      </w:r>
      <w:r w:rsidRPr="00194389">
        <w:rPr>
          <w:rFonts w:ascii="StobiSerif Regular" w:eastAsia="Calibri" w:hAnsi="StobiSerif Regular" w:cs="Times New Roman"/>
          <w:lang w:val="en-US" w:eastAsia="mk-MK"/>
        </w:rPr>
        <w:t xml:space="preserve"> </w:t>
      </w:r>
      <w:r w:rsidRPr="00194389">
        <w:rPr>
          <w:rFonts w:ascii="StobiSerif Regular" w:eastAsia="Calibri" w:hAnsi="StobiSerif Regular" w:cs="Times New Roman"/>
          <w:lang w:eastAsia="mk-MK"/>
        </w:rPr>
        <w:t>посети</w:t>
      </w:r>
      <w:r w:rsidRPr="00194389">
        <w:rPr>
          <w:rFonts w:ascii="StobiSerif Regular" w:eastAsia="Calibri" w:hAnsi="StobiSerif Regular" w:cs="Times New Roman"/>
          <w:lang w:val="en-US" w:eastAsia="mk-MK"/>
        </w:rPr>
        <w:t xml:space="preserve"> е дека</w:t>
      </w:r>
      <w:r w:rsidRPr="00194389">
        <w:rPr>
          <w:rFonts w:ascii="StobiSerif Regular" w:eastAsia="Calibri" w:hAnsi="StobiSerif Regular" w:cs="Times New Roman"/>
          <w:lang w:eastAsia="mk-MK"/>
        </w:rPr>
        <w:t>,</w:t>
      </w:r>
      <w:r w:rsidRPr="00194389">
        <w:rPr>
          <w:rFonts w:ascii="StobiSerif Regular" w:eastAsia="Calibri" w:hAnsi="StobiSerif Regular" w:cs="Times New Roman"/>
          <w:lang w:val="en-US" w:eastAsia="mk-MK"/>
        </w:rPr>
        <w:t xml:space="preserve"> со исклучок на некои</w:t>
      </w:r>
      <w:r w:rsidRPr="00194389">
        <w:rPr>
          <w:rFonts w:ascii="StobiSerif Regular" w:eastAsia="Calibri" w:hAnsi="StobiSerif Regular" w:cs="Times New Roman"/>
          <w:lang w:eastAsia="mk-MK"/>
        </w:rPr>
        <w:t xml:space="preserve"> од</w:t>
      </w:r>
      <w:r w:rsidRPr="00194389">
        <w:rPr>
          <w:rFonts w:ascii="StobiSerif Regular" w:eastAsia="Calibri" w:hAnsi="StobiSerif Regular" w:cs="Times New Roman"/>
          <w:lang w:val="en-US" w:eastAsia="mk-MK"/>
        </w:rPr>
        <w:t xml:space="preserve"> утврдените недостатоци, </w:t>
      </w:r>
      <w:r w:rsidRPr="00194389">
        <w:rPr>
          <w:rFonts w:ascii="StobiSerif Regular" w:eastAsia="Calibri" w:hAnsi="StobiSerif Regular" w:cs="Times New Roman"/>
          <w:lang w:eastAsia="mk-MK"/>
        </w:rPr>
        <w:t>генерално</w:t>
      </w:r>
      <w:r w:rsidRPr="00194389">
        <w:rPr>
          <w:rFonts w:ascii="StobiSerif Regular" w:eastAsia="Calibri" w:hAnsi="StobiSerif Regular" w:cs="Times New Roman"/>
          <w:lang w:val="en-US" w:eastAsia="mk-MK"/>
        </w:rPr>
        <w:t xml:space="preserve"> , се применуваат соодветни контроли и</w:t>
      </w:r>
      <w:r w:rsidRPr="00194389">
        <w:rPr>
          <w:rFonts w:ascii="StobiSerif Regular" w:eastAsia="Calibri" w:hAnsi="StobiSerif Regular" w:cs="Times New Roman"/>
          <w:lang w:eastAsia="mk-MK"/>
        </w:rPr>
        <w:t xml:space="preserve"> истите се</w:t>
      </w:r>
      <w:r w:rsidRPr="00194389">
        <w:rPr>
          <w:rFonts w:ascii="StobiSerif Regular" w:eastAsia="Calibri" w:hAnsi="StobiSerif Regular" w:cs="Times New Roman"/>
          <w:lang w:val="en-US" w:eastAsia="mk-MK"/>
        </w:rPr>
        <w:t xml:space="preserve"> спроведуваат во согласност со пропишаните Процедури за работа.</w:t>
      </w:r>
    </w:p>
    <w:p w:rsidR="00194389" w:rsidRPr="00194389" w:rsidRDefault="00194389" w:rsidP="00194389">
      <w:pPr>
        <w:spacing w:before="120" w:after="120"/>
        <w:ind w:firstLine="284"/>
        <w:jc w:val="both"/>
        <w:rPr>
          <w:rFonts w:ascii="StobiSerif Regular" w:eastAsia="Calibri" w:hAnsi="StobiSerif Regular" w:cs="Times New Roman"/>
          <w:lang w:eastAsia="mk-MK"/>
        </w:rPr>
      </w:pPr>
      <w:r w:rsidRPr="00194389">
        <w:rPr>
          <w:rFonts w:ascii="StobiSerif Regular" w:eastAsia="Calibri" w:hAnsi="StobiSerif Regular" w:cs="Times New Roman"/>
          <w:lang w:val="en-US" w:eastAsia="mk-MK"/>
        </w:rPr>
        <w:t>Главните наоди идентификувани за време на верификациската посета во ИПАРД Агенцијата за платени проекти во третиот квартал на 2016 година, дел од Декларацијата за расходи до ЕК, може да</w:t>
      </w:r>
      <w:r w:rsidRPr="00194389">
        <w:rPr>
          <w:rFonts w:ascii="StobiSerif Regular" w:eastAsia="Calibri" w:hAnsi="StobiSerif Regular" w:cs="Times New Roman"/>
          <w:lang w:eastAsia="mk-MK"/>
        </w:rPr>
        <w:t xml:space="preserve"> се сумираат</w:t>
      </w:r>
      <w:r w:rsidRPr="00194389">
        <w:rPr>
          <w:rFonts w:ascii="StobiSerif Regular" w:eastAsia="Calibri" w:hAnsi="StobiSerif Regular" w:cs="Times New Roman"/>
          <w:lang w:val="en-US" w:eastAsia="mk-MK"/>
        </w:rPr>
        <w:t xml:space="preserve"> </w:t>
      </w:r>
      <w:r w:rsidRPr="00194389">
        <w:rPr>
          <w:rFonts w:ascii="StobiSerif Regular" w:eastAsia="Calibri" w:hAnsi="StobiSerif Regular" w:cs="Times New Roman"/>
          <w:lang w:eastAsia="mk-MK"/>
        </w:rPr>
        <w:t>односно:</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Наоди со среден ризик:</w:t>
      </w:r>
    </w:p>
    <w:p w:rsidR="00194389" w:rsidRPr="00194389" w:rsidRDefault="00194389" w:rsidP="00BA1CE8">
      <w:pPr>
        <w:numPr>
          <w:ilvl w:val="0"/>
          <w:numId w:val="43"/>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Идентификувани неусогласености помеѓу одобрените трошоци за плаќање со всушност извршената работа;</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Средниот наод од овој извештај се уште</w:t>
      </w:r>
      <w:r w:rsidRPr="00194389">
        <w:rPr>
          <w:rFonts w:ascii="StobiSerif Regular" w:eastAsia="Calibri" w:hAnsi="StobiSerif Regular" w:cs="Times New Roman"/>
          <w:lang w:eastAsia="mk-MK"/>
        </w:rPr>
        <w:t xml:space="preserve"> се следи</w:t>
      </w:r>
      <w:r w:rsidRPr="00194389">
        <w:rPr>
          <w:rFonts w:ascii="StobiSerif Regular" w:eastAsia="Calibri" w:hAnsi="StobiSerif Regular" w:cs="Times New Roman"/>
          <w:lang w:val="en-US" w:eastAsia="mk-MK"/>
        </w:rPr>
        <w:t xml:space="preserve"> соодветно од страна на НАО / МС на редовна основа до конечната реализација на издадени</w:t>
      </w:r>
      <w:r w:rsidRPr="00194389">
        <w:rPr>
          <w:rFonts w:ascii="StobiSerif Regular" w:eastAsia="Calibri" w:hAnsi="StobiSerif Regular" w:cs="Times New Roman"/>
          <w:lang w:eastAsia="mk-MK"/>
        </w:rPr>
        <w:t>те</w:t>
      </w:r>
      <w:r w:rsidRPr="00194389">
        <w:rPr>
          <w:rFonts w:ascii="StobiSerif Regular" w:eastAsia="Calibri" w:hAnsi="StobiSerif Regular" w:cs="Times New Roman"/>
          <w:lang w:val="en-US" w:eastAsia="mk-MK"/>
        </w:rPr>
        <w:t xml:space="preserve"> препораки.</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Сите идентификувани пропусти и препораките дадени со наодите ќе бидат предмет на понатамошно следење за време на посетите на проверка од страна на НАО / MС на редовна основа, исто така, сите препораки дадени за време на</w:t>
      </w:r>
      <w:r w:rsidRPr="00194389">
        <w:rPr>
          <w:rFonts w:ascii="StobiSerif Regular" w:eastAsia="Calibri" w:hAnsi="StobiSerif Regular" w:cs="Times New Roman"/>
          <w:lang w:eastAsia="mk-MK"/>
        </w:rPr>
        <w:t xml:space="preserve"> верификациските</w:t>
      </w:r>
      <w:r w:rsidRPr="00194389">
        <w:rPr>
          <w:rFonts w:ascii="StobiSerif Regular" w:eastAsia="Calibri" w:hAnsi="StobiSerif Regular" w:cs="Times New Roman"/>
          <w:lang w:val="en-US" w:eastAsia="mk-MK"/>
        </w:rPr>
        <w:t xml:space="preserve"> ќе се смета како можност за подобрување на воспоставен</w:t>
      </w:r>
      <w:r w:rsidRPr="00194389">
        <w:rPr>
          <w:rFonts w:ascii="StobiSerif Regular" w:eastAsia="Calibri" w:hAnsi="StobiSerif Regular" w:cs="Times New Roman"/>
          <w:lang w:eastAsia="mk-MK"/>
        </w:rPr>
        <w:t>иот</w:t>
      </w:r>
      <w:r w:rsidRPr="00194389">
        <w:rPr>
          <w:rFonts w:ascii="StobiSerif Regular" w:eastAsia="Calibri" w:hAnsi="StobiSerif Regular" w:cs="Times New Roman"/>
          <w:lang w:val="en-US" w:eastAsia="mk-MK"/>
        </w:rPr>
        <w:t xml:space="preserve"> систем за управување и контрола.</w:t>
      </w:r>
    </w:p>
    <w:p w:rsidR="00194389" w:rsidRPr="00194389" w:rsidRDefault="00194389" w:rsidP="00BA1CE8">
      <w:pPr>
        <w:numPr>
          <w:ilvl w:val="0"/>
          <w:numId w:val="32"/>
        </w:numPr>
        <w:spacing w:before="120" w:after="120"/>
        <w:contextualSpacing/>
        <w:jc w:val="both"/>
        <w:rPr>
          <w:rFonts w:ascii="StobiSerif Regular" w:eastAsia="Calibri" w:hAnsi="StobiSerif Regular" w:cs="Times New Roman"/>
          <w:lang w:eastAsia="mk-MK"/>
        </w:rPr>
      </w:pPr>
      <w:r w:rsidRPr="00194389">
        <w:rPr>
          <w:rFonts w:ascii="StobiSerif Regular" w:eastAsia="Calibri" w:hAnsi="StobiSerif Regular" w:cs="Times New Roman"/>
          <w:color w:val="000000"/>
          <w:lang w:eastAsia="mk-MK"/>
        </w:rPr>
        <w:t>Следење на капацитетите во Оперативната структура</w:t>
      </w:r>
    </w:p>
    <w:p w:rsidR="00194389" w:rsidRPr="00194389" w:rsidRDefault="00194389" w:rsidP="00194389">
      <w:pPr>
        <w:spacing w:before="120" w:after="120"/>
        <w:ind w:firstLine="284"/>
        <w:jc w:val="both"/>
        <w:rPr>
          <w:rFonts w:ascii="StobiSerif Regular" w:eastAsia="Calibri" w:hAnsi="StobiSerif Regular" w:cs="Times New Roman"/>
          <w:u w:val="single"/>
          <w:lang w:eastAsia="mk-MK"/>
        </w:rPr>
      </w:pPr>
      <w:r w:rsidRPr="00194389">
        <w:rPr>
          <w:rFonts w:ascii="StobiSerif Regular" w:eastAsia="Calibri" w:hAnsi="StobiSerif Regular" w:cs="Times New Roman"/>
          <w:u w:val="single"/>
          <w:lang w:eastAsia="mk-MK"/>
        </w:rPr>
        <w:t xml:space="preserve"> Тело за управување</w:t>
      </w:r>
    </w:p>
    <w:p w:rsidR="00194389" w:rsidRPr="00194389" w:rsidRDefault="00194389" w:rsidP="00194389">
      <w:pPr>
        <w:spacing w:before="120" w:after="120"/>
        <w:ind w:firstLine="284"/>
        <w:jc w:val="both"/>
        <w:rPr>
          <w:rFonts w:ascii="StobiSerif Regular" w:eastAsia="Calibri" w:hAnsi="StobiSerif Regular" w:cs="Arial"/>
          <w:color w:val="000000"/>
          <w:lang w:eastAsia="mk-MK"/>
        </w:rPr>
      </w:pPr>
      <w:r w:rsidRPr="00194389">
        <w:rPr>
          <w:rFonts w:ascii="StobiSerif Regular" w:eastAsia="Calibri" w:hAnsi="StobiSerif Regular" w:cs="Arial"/>
          <w:color w:val="000000"/>
          <w:lang w:eastAsia="mk-MK"/>
        </w:rPr>
        <w:t>Согласно АОР на Оперативната структура за 2016 година, утврдено е дека оптималниот број на вработени за 2016 година е 21 (вклучувајќи го и НАО). На почетокот на 2016 година, бројот на вработени во ОС беше 19 (деветнаесет), вклучувајќи го НАО.</w:t>
      </w:r>
    </w:p>
    <w:p w:rsidR="00194389" w:rsidRPr="00194389" w:rsidRDefault="00194389" w:rsidP="00194389">
      <w:pPr>
        <w:spacing w:before="120" w:after="120"/>
        <w:ind w:firstLine="284"/>
        <w:jc w:val="both"/>
        <w:rPr>
          <w:rFonts w:ascii="StobiSerif Regular" w:eastAsia="Calibri" w:hAnsi="StobiSerif Regular" w:cs="Arial"/>
          <w:color w:val="000000"/>
          <w:lang w:eastAsia="mk-MK"/>
        </w:rPr>
      </w:pPr>
      <w:r w:rsidRPr="00194389">
        <w:rPr>
          <w:rFonts w:ascii="StobiSerif Regular" w:eastAsia="Calibri" w:hAnsi="StobiSerif Regular" w:cs="Arial"/>
          <w:color w:val="000000"/>
          <w:lang w:eastAsia="mk-MK"/>
        </w:rPr>
        <w:t xml:space="preserve">Во текот на март и септември 2016 година, на 2 (две) лица поднесоа оставка на своите работни места во ОС. </w:t>
      </w:r>
      <w:r w:rsidR="009E79D6" w:rsidRPr="009E79D6">
        <w:rPr>
          <w:rFonts w:ascii="StobiSerif Regular" w:eastAsia="Calibri" w:hAnsi="StobiSerif Regular" w:cs="Arial"/>
          <w:color w:val="000000"/>
          <w:lang w:eastAsia="mk-MK"/>
        </w:rPr>
        <w:t xml:space="preserve">И двете имаат </w:t>
      </w:r>
      <w:r w:rsidR="009E79D6">
        <w:rPr>
          <w:rFonts w:ascii="StobiSerif Regular" w:eastAsia="Calibri" w:hAnsi="StobiSerif Regular" w:cs="Arial"/>
          <w:color w:val="000000"/>
          <w:lang w:eastAsia="mk-MK"/>
        </w:rPr>
        <w:t>значај</w:t>
      </w:r>
      <w:r w:rsidR="009E79D6" w:rsidRPr="009E79D6">
        <w:rPr>
          <w:rFonts w:ascii="StobiSerif Regular" w:eastAsia="Calibri" w:hAnsi="StobiSerif Regular" w:cs="Arial"/>
          <w:color w:val="000000"/>
          <w:lang w:eastAsia="mk-MK"/>
        </w:rPr>
        <w:t xml:space="preserve"> за ефективно функционирање на службите за управување и контрола</w:t>
      </w:r>
      <w:r w:rsidRPr="00194389">
        <w:rPr>
          <w:rFonts w:ascii="StobiSerif Regular" w:eastAsia="Calibri" w:hAnsi="StobiSerif Regular" w:cs="Arial"/>
          <w:color w:val="000000"/>
          <w:lang w:eastAsia="mk-MK"/>
        </w:rPr>
        <w:t xml:space="preserve"> во рамките на Канцеларијата за поддршка на НАО.</w:t>
      </w:r>
    </w:p>
    <w:p w:rsidR="00194389" w:rsidRPr="00194389" w:rsidRDefault="00194389" w:rsidP="00194389">
      <w:pPr>
        <w:spacing w:before="120" w:after="120"/>
        <w:ind w:firstLine="284"/>
        <w:jc w:val="both"/>
        <w:rPr>
          <w:rFonts w:ascii="StobiSerif Regular" w:eastAsia="Calibri" w:hAnsi="StobiSerif Regular" w:cs="Arial"/>
          <w:color w:val="000000"/>
          <w:lang w:eastAsia="mk-MK"/>
        </w:rPr>
      </w:pPr>
      <w:r w:rsidRPr="00194389">
        <w:rPr>
          <w:rFonts w:ascii="StobiSerif Regular" w:eastAsia="Calibri" w:hAnsi="StobiSerif Regular" w:cs="Arial"/>
          <w:color w:val="000000"/>
          <w:lang w:eastAsia="mk-MK"/>
        </w:rPr>
        <w:t>Затоа, сегашниот број на вработени во управувачката структура е 17 (седумнаесет), вклучувајќи го НАО.</w:t>
      </w:r>
    </w:p>
    <w:p w:rsidR="00194389" w:rsidRPr="00194389" w:rsidRDefault="00194389" w:rsidP="00194389">
      <w:pPr>
        <w:spacing w:before="120" w:after="120"/>
        <w:ind w:firstLine="284"/>
        <w:jc w:val="both"/>
        <w:rPr>
          <w:rFonts w:ascii="StobiSerif Regular" w:eastAsia="Calibri" w:hAnsi="StobiSerif Regular" w:cs="Arial"/>
          <w:color w:val="000000"/>
          <w:lang w:eastAsia="mk-MK"/>
        </w:rPr>
      </w:pPr>
      <w:r w:rsidRPr="00194389">
        <w:rPr>
          <w:rFonts w:ascii="StobiSerif Regular" w:eastAsia="Calibri" w:hAnsi="StobiSerif Regular" w:cs="Arial"/>
          <w:color w:val="000000"/>
          <w:lang w:eastAsia="mk-MK"/>
        </w:rPr>
        <w:t>Имајќи го во предвид горенаведеното, потребни се дополнителни 4 (четири) лица за исполнување на потребните позиции - Помошник раководител на управувачката структура (раководно работно место), Менаџер за финансирање во Националниот фонд и 2  Помлади соработници за ефективно функционирање на фондовите на ЕУ (не раководни работни места). И покрај тоа што позицијата на помошник раководител на структурата за управување е менаџерска, тоа не е пресудно за спроведување на контрола во активностите и процедурите на структурата за управување. Оваа позиција ќе придонесе за обезбедување на соодветна политика  и продолжување на активностите во рамките на Министерството, како и подобрување на активностите на управување во структурата за управување .</w:t>
      </w:r>
    </w:p>
    <w:p w:rsidR="00194389" w:rsidRPr="00194389" w:rsidRDefault="00194389" w:rsidP="00194389">
      <w:pPr>
        <w:spacing w:before="120" w:after="120"/>
        <w:ind w:firstLine="284"/>
        <w:jc w:val="both"/>
        <w:rPr>
          <w:rFonts w:ascii="StobiSerif Regular" w:eastAsia="Calibri" w:hAnsi="StobiSerif Regular" w:cs="Arial"/>
          <w:color w:val="000000"/>
          <w:lang w:eastAsia="mk-MK"/>
        </w:rPr>
      </w:pPr>
      <w:r w:rsidRPr="00194389">
        <w:rPr>
          <w:rFonts w:ascii="StobiSerif Regular" w:eastAsia="Calibri" w:hAnsi="StobiSerif Regular" w:cs="Arial"/>
          <w:color w:val="000000"/>
          <w:lang w:eastAsia="mk-MK"/>
        </w:rPr>
        <w:t>Според сегашната состојба, стапката на пополнетост на работните места во Секторот за управување со ИПА фондовите е 81%, имајќи предвид дека АОР за 2016 година предвидува оптимален број од 21 вработени.</w:t>
      </w:r>
    </w:p>
    <w:p w:rsidR="00194389" w:rsidRPr="00194389" w:rsidRDefault="00194389" w:rsidP="00194389">
      <w:pPr>
        <w:spacing w:before="120" w:after="120"/>
        <w:ind w:firstLine="284"/>
        <w:jc w:val="both"/>
        <w:rPr>
          <w:rFonts w:ascii="StobiSerif Regular" w:eastAsia="Calibri" w:hAnsi="StobiSerif Regular" w:cs="Arial"/>
          <w:color w:val="000000"/>
          <w:lang w:eastAsia="mk-MK"/>
        </w:rPr>
      </w:pPr>
    </w:p>
    <w:p w:rsidR="00194389" w:rsidRPr="00194389" w:rsidRDefault="00194389" w:rsidP="00194389">
      <w:pPr>
        <w:spacing w:before="120" w:after="120"/>
        <w:jc w:val="both"/>
        <w:rPr>
          <w:rFonts w:ascii="StobiSerif Regular" w:eastAsia="Calibri" w:hAnsi="StobiSerif Regular" w:cs="Times New Roman"/>
          <w:lang w:eastAsia="mk-MK"/>
        </w:rPr>
      </w:pPr>
      <w:r w:rsidRPr="00194389">
        <w:rPr>
          <w:rFonts w:ascii="StobiSerif Regular" w:eastAsia="Calibri" w:hAnsi="StobiSerif Regular" w:cs="Times New Roman"/>
          <w:color w:val="000000"/>
          <w:u w:val="single"/>
          <w:lang w:eastAsia="mk-MK"/>
        </w:rPr>
        <w:t>ИПАРД Агенција</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 xml:space="preserve">Според </w:t>
      </w:r>
      <w:r w:rsidRPr="00194389">
        <w:rPr>
          <w:rFonts w:ascii="StobiSerif Regular" w:eastAsia="Calibri" w:hAnsi="StobiSerif Regular" w:cs="Times New Roman"/>
          <w:lang w:eastAsia="mk-MK"/>
        </w:rPr>
        <w:t>АОР</w:t>
      </w:r>
      <w:r w:rsidRPr="00194389">
        <w:rPr>
          <w:rFonts w:ascii="StobiSerif Regular" w:eastAsia="Calibri" w:hAnsi="StobiSerif Regular" w:cs="Times New Roman"/>
          <w:lang w:val="en-US" w:eastAsia="mk-MK"/>
        </w:rPr>
        <w:t xml:space="preserve"> за 2016 година оптималниот број на вработени потребни во ИПАРД Агенцијата за спроведување на ИПАРД Програмата беше 173 вработени. На почетокот на 2016 година, ИПАРД Агенцијата </w:t>
      </w:r>
      <w:r w:rsidRPr="00194389">
        <w:rPr>
          <w:rFonts w:ascii="StobiSerif Regular" w:eastAsia="Calibri" w:hAnsi="StobiSerif Regular" w:cs="Times New Roman"/>
          <w:lang w:eastAsia="mk-MK"/>
        </w:rPr>
        <w:t>броеше</w:t>
      </w:r>
      <w:r w:rsidRPr="00194389">
        <w:rPr>
          <w:rFonts w:ascii="StobiSerif Regular" w:eastAsia="Calibri" w:hAnsi="StobiSerif Regular" w:cs="Times New Roman"/>
          <w:lang w:val="en-US" w:eastAsia="mk-MK"/>
        </w:rPr>
        <w:t xml:space="preserve"> 97 вработени назначени да работат на прашања поврзани со ИПАРД.</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Во текот на 2016 година, 2 (две) лица од Секторот за внатрешна ревизија</w:t>
      </w:r>
      <w:r w:rsidRPr="00194389">
        <w:rPr>
          <w:rFonts w:ascii="StobiSerif Regular" w:eastAsia="Calibri" w:hAnsi="StobiSerif Regular" w:cs="Times New Roman"/>
          <w:lang w:eastAsia="mk-MK"/>
        </w:rPr>
        <w:t xml:space="preserve"> се префрлени на други работни позиции (истите не се поврзани со ИПАРД)</w:t>
      </w:r>
      <w:r w:rsidRPr="00194389">
        <w:rPr>
          <w:rFonts w:ascii="StobiSerif Regular" w:eastAsia="Calibri" w:hAnsi="StobiSerif Regular" w:cs="Times New Roman"/>
          <w:lang w:val="en-US" w:eastAsia="mk-MK"/>
        </w:rPr>
        <w:t xml:space="preserve"> и 1 (еден) вработен (в.д. раководител на Сектор за одобрување на проекти) ја напушти позицијата во Агенцијата. </w:t>
      </w:r>
      <w:r w:rsidRPr="00194389">
        <w:rPr>
          <w:rFonts w:ascii="StobiSerif Regular" w:eastAsia="Calibri" w:hAnsi="StobiSerif Regular" w:cs="Times New Roman"/>
          <w:lang w:eastAsia="mk-MK"/>
        </w:rPr>
        <w:t>Исто така,</w:t>
      </w:r>
      <w:r w:rsidRPr="00194389">
        <w:rPr>
          <w:rFonts w:ascii="StobiSerif Regular" w:eastAsia="Calibri" w:hAnsi="StobiSerif Regular" w:cs="Times New Roman"/>
          <w:lang w:val="en-US" w:eastAsia="mk-MK"/>
        </w:rPr>
        <w:t xml:space="preserve"> </w:t>
      </w:r>
      <w:r w:rsidRPr="00194389">
        <w:rPr>
          <w:rFonts w:ascii="StobiSerif Regular" w:eastAsia="Calibri" w:hAnsi="StobiSerif Regular" w:cs="Times New Roman"/>
          <w:lang w:eastAsia="mk-MK"/>
        </w:rPr>
        <w:t xml:space="preserve">една позиција односно работно место, </w:t>
      </w:r>
      <w:r w:rsidRPr="00194389">
        <w:rPr>
          <w:rFonts w:ascii="StobiSerif Regular" w:eastAsia="Calibri" w:hAnsi="StobiSerif Regular" w:cs="Times New Roman"/>
          <w:lang w:val="en-US" w:eastAsia="mk-MK"/>
        </w:rPr>
        <w:t>во секторот за ИТ со измените на систематизацијата во Агенцијата,  се смета</w:t>
      </w:r>
      <w:r w:rsidRPr="00194389">
        <w:rPr>
          <w:rFonts w:ascii="StobiSerif Regular" w:eastAsia="Calibri" w:hAnsi="StobiSerif Regular" w:cs="Times New Roman"/>
          <w:lang w:eastAsia="mk-MK"/>
        </w:rPr>
        <w:t>ше</w:t>
      </w:r>
      <w:r w:rsidRPr="00194389">
        <w:rPr>
          <w:rFonts w:ascii="StobiSerif Regular" w:eastAsia="Calibri" w:hAnsi="StobiSerif Regular" w:cs="Times New Roman"/>
          <w:lang w:val="en-US" w:eastAsia="mk-MK"/>
        </w:rPr>
        <w:t xml:space="preserve"> како позиција</w:t>
      </w:r>
      <w:r w:rsidRPr="00194389">
        <w:rPr>
          <w:rFonts w:ascii="StobiSerif Regular" w:eastAsia="Calibri" w:hAnsi="StobiSerif Regular" w:cs="Times New Roman"/>
          <w:lang w:eastAsia="mk-MK"/>
        </w:rPr>
        <w:t xml:space="preserve"> која што не е </w:t>
      </w:r>
      <w:r w:rsidRPr="00194389">
        <w:rPr>
          <w:rFonts w:ascii="StobiSerif Regular" w:eastAsia="Calibri" w:hAnsi="StobiSerif Regular" w:cs="Times New Roman"/>
          <w:lang w:val="en-US" w:eastAsia="mk-MK"/>
        </w:rPr>
        <w:t>поврзана со ИПАРД (промени предизвикани со трансферот на Одделението за база на податоци</w:t>
      </w:r>
      <w:r w:rsidRPr="00194389">
        <w:rPr>
          <w:rFonts w:ascii="StobiSerif Regular" w:eastAsia="Calibri" w:hAnsi="StobiSerif Regular" w:cs="Times New Roman"/>
          <w:lang w:eastAsia="mk-MK"/>
        </w:rPr>
        <w:t xml:space="preserve"> за</w:t>
      </w:r>
      <w:r w:rsidRPr="00194389">
        <w:rPr>
          <w:rFonts w:ascii="StobiSerif Regular" w:eastAsia="Calibri" w:hAnsi="StobiSerif Regular" w:cs="Times New Roman"/>
          <w:lang w:val="en-US" w:eastAsia="mk-MK"/>
        </w:rPr>
        <w:t xml:space="preserve"> референтни цени од Секторот за ИТ во новосоздаденото Одделение за бази на податоци - позиција Раководител на Сектор). Во однос на одливот на вработените, во текот на 2016 година, 3 (три) вработени </w:t>
      </w:r>
      <w:r w:rsidRPr="00194389">
        <w:rPr>
          <w:rFonts w:ascii="StobiSerif Regular" w:eastAsia="Calibri" w:hAnsi="StobiSerif Regular" w:cs="Times New Roman"/>
          <w:lang w:eastAsia="mk-MK"/>
        </w:rPr>
        <w:t xml:space="preserve"> кои што не работеле на ИПАРД </w:t>
      </w:r>
      <w:r w:rsidRPr="00194389">
        <w:rPr>
          <w:rFonts w:ascii="StobiSerif Regular" w:eastAsia="Calibri" w:hAnsi="StobiSerif Regular" w:cs="Times New Roman"/>
          <w:lang w:val="en-US" w:eastAsia="mk-MK"/>
        </w:rPr>
        <w:t xml:space="preserve">биле префрлени на работа поврзана со ИПАРД, од кои 1 (еден) вработен како </w:t>
      </w:r>
      <w:r w:rsidRPr="00194389">
        <w:rPr>
          <w:rFonts w:ascii="StobiSerif Regular" w:eastAsia="Calibri" w:hAnsi="StobiSerif Regular" w:cs="Times New Roman"/>
          <w:lang w:eastAsia="mk-MK"/>
        </w:rPr>
        <w:t xml:space="preserve">овластен Раководител </w:t>
      </w:r>
      <w:r w:rsidRPr="00194389">
        <w:rPr>
          <w:rFonts w:ascii="StobiSerif Regular" w:eastAsia="Calibri" w:hAnsi="StobiSerif Regular" w:cs="Times New Roman"/>
          <w:lang w:val="en-US" w:eastAsia="mk-MK"/>
        </w:rPr>
        <w:t>на Сектор за одобрување на проекти (иако оваа позиција е менаџерска), а двајца вработени во Секторот за одобрување на исплати. Тековниот број на вработени во Агенцијата е 96 вработени.</w:t>
      </w:r>
    </w:p>
    <w:p w:rsidR="00194389" w:rsidRPr="00194389" w:rsidRDefault="00194389" w:rsidP="00194389">
      <w:pPr>
        <w:spacing w:before="120" w:after="120"/>
        <w:ind w:firstLine="284"/>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Според сегашната ситуација, стапката на искористеност на работните места за спроведување на ИПАРД Програмата во Агенцијата, во согласност со АОР е 55%</w:t>
      </w:r>
      <w:r w:rsidRPr="00194389">
        <w:rPr>
          <w:rFonts w:ascii="StobiSerif Regular" w:eastAsia="Times New Roman" w:hAnsi="StobiSerif Regular" w:cs="Times New Roman"/>
          <w:color w:val="000000"/>
          <w:vertAlign w:val="superscript"/>
          <w:lang w:val="en-US" w:eastAsia="mk-MK"/>
        </w:rPr>
        <w:footnoteReference w:id="2"/>
      </w:r>
      <w:r w:rsidRPr="00194389">
        <w:rPr>
          <w:rFonts w:ascii="StobiSerif Regular" w:eastAsia="Calibri" w:hAnsi="StobiSerif Regular" w:cs="Times New Roman"/>
          <w:color w:val="000000"/>
          <w:lang w:val="en-US" w:eastAsia="mk-MK"/>
        </w:rPr>
        <w:t>.</w:t>
      </w:r>
    </w:p>
    <w:p w:rsidR="00194389" w:rsidRPr="00194389" w:rsidRDefault="00194389" w:rsidP="00194389">
      <w:pPr>
        <w:spacing w:before="120" w:after="120"/>
        <w:jc w:val="both"/>
        <w:rPr>
          <w:rFonts w:ascii="StobiSerif Regular" w:eastAsia="Calibri" w:hAnsi="StobiSerif Regular" w:cs="Times New Roman"/>
          <w:lang w:eastAsia="mk-MK"/>
        </w:rPr>
      </w:pPr>
      <w:r w:rsidRPr="00194389">
        <w:rPr>
          <w:rFonts w:ascii="StobiSerif Regular" w:eastAsia="Calibri" w:hAnsi="StobiSerif Regular" w:cs="Times New Roman"/>
          <w:color w:val="000000"/>
          <w:u w:val="single"/>
          <w:lang w:eastAsia="mk-MK"/>
        </w:rPr>
        <w:t>Тело за управување</w:t>
      </w:r>
    </w:p>
    <w:p w:rsidR="00194389" w:rsidRPr="00194389" w:rsidRDefault="00194389" w:rsidP="00194389">
      <w:pPr>
        <w:spacing w:before="120" w:after="120"/>
        <w:ind w:firstLine="284"/>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 xml:space="preserve">Според </w:t>
      </w:r>
      <w:r w:rsidRPr="00194389">
        <w:rPr>
          <w:rFonts w:ascii="StobiSerif Regular" w:eastAsia="Calibri" w:hAnsi="StobiSerif Regular" w:cs="Times New Roman"/>
          <w:color w:val="000000"/>
          <w:lang w:eastAsia="mk-MK"/>
        </w:rPr>
        <w:t>АОР</w:t>
      </w:r>
      <w:r w:rsidRPr="00194389">
        <w:rPr>
          <w:rFonts w:ascii="StobiSerif Regular" w:eastAsia="Calibri" w:hAnsi="StobiSerif Regular" w:cs="Times New Roman"/>
          <w:color w:val="000000"/>
          <w:lang w:val="en-US" w:eastAsia="mk-MK"/>
        </w:rPr>
        <w:t xml:space="preserve"> за 2016 година оптималниот број на вработени потребни во </w:t>
      </w:r>
      <w:r w:rsidRPr="00194389">
        <w:rPr>
          <w:rFonts w:ascii="StobiSerif Regular" w:eastAsia="Calibri" w:hAnsi="StobiSerif Regular" w:cs="Times New Roman"/>
          <w:color w:val="000000"/>
          <w:lang w:eastAsia="mk-MK"/>
        </w:rPr>
        <w:t xml:space="preserve">ТУ </w:t>
      </w:r>
      <w:r w:rsidRPr="00194389">
        <w:rPr>
          <w:rFonts w:ascii="StobiSerif Regular" w:eastAsia="Calibri" w:hAnsi="StobiSerif Regular" w:cs="Times New Roman"/>
          <w:color w:val="000000"/>
          <w:lang w:val="en-US" w:eastAsia="mk-MK"/>
        </w:rPr>
        <w:t>беше 21.</w:t>
      </w:r>
    </w:p>
    <w:p w:rsidR="00194389" w:rsidRPr="00194389" w:rsidRDefault="00194389" w:rsidP="00194389">
      <w:pPr>
        <w:spacing w:before="120" w:after="120"/>
        <w:ind w:firstLine="284"/>
        <w:jc w:val="both"/>
        <w:rPr>
          <w:rFonts w:ascii="StobiSerif Regular" w:eastAsia="Calibri" w:hAnsi="StobiSerif Regular" w:cs="Times New Roman"/>
          <w:color w:val="000000"/>
          <w:lang w:val="en-US" w:eastAsia="mk-MK"/>
        </w:rPr>
      </w:pPr>
      <w:r w:rsidRPr="00194389">
        <w:rPr>
          <w:rFonts w:ascii="StobiSerif Regular" w:eastAsia="Calibri" w:hAnsi="StobiSerif Regular" w:cs="Times New Roman"/>
          <w:color w:val="000000"/>
          <w:lang w:val="en-US" w:eastAsia="mk-MK"/>
        </w:rPr>
        <w:t>Во 2016 година имаше</w:t>
      </w:r>
      <w:r w:rsidRPr="00194389">
        <w:rPr>
          <w:rFonts w:ascii="StobiSerif Regular" w:eastAsia="Calibri" w:hAnsi="StobiSerif Regular" w:cs="Times New Roman"/>
          <w:color w:val="000000"/>
          <w:lang w:eastAsia="mk-MK"/>
        </w:rPr>
        <w:t xml:space="preserve"> ново назначување на РТУ, односно, </w:t>
      </w:r>
      <w:r w:rsidRPr="00194389">
        <w:rPr>
          <w:rFonts w:ascii="StobiSerif Regular" w:eastAsia="Calibri" w:hAnsi="StobiSerif Regular" w:cs="Times New Roman"/>
          <w:color w:val="000000"/>
          <w:lang w:val="en-US" w:eastAsia="mk-MK"/>
        </w:rPr>
        <w:t xml:space="preserve">со Решение бр 04- 585/2 од </w:t>
      </w:r>
      <w:r w:rsidRPr="00194389">
        <w:rPr>
          <w:rFonts w:ascii="StobiSerif Regular" w:eastAsia="Calibri" w:hAnsi="StobiSerif Regular" w:cs="Times New Roman"/>
          <w:color w:val="000000"/>
          <w:lang w:eastAsia="mk-MK"/>
        </w:rPr>
        <w:t>18.01.2016</w:t>
      </w:r>
      <w:r w:rsidRPr="00194389">
        <w:rPr>
          <w:rFonts w:ascii="StobiSerif Regular" w:eastAsia="Calibri" w:hAnsi="StobiSerif Regular" w:cs="Times New Roman"/>
          <w:color w:val="000000"/>
          <w:lang w:val="en-US" w:eastAsia="mk-MK"/>
        </w:rPr>
        <w:t xml:space="preserve">, Маргарита Делева, РТУ, поднесе оставка од позицијата државен советник во МЗШВ и раководител на </w:t>
      </w:r>
      <w:r w:rsidRPr="00194389">
        <w:rPr>
          <w:rFonts w:ascii="StobiSerif Regular" w:eastAsia="Calibri" w:hAnsi="StobiSerif Regular" w:cs="Times New Roman"/>
          <w:color w:val="000000"/>
          <w:lang w:eastAsia="mk-MK"/>
        </w:rPr>
        <w:t>Сектор</w:t>
      </w:r>
      <w:r w:rsidRPr="00194389">
        <w:rPr>
          <w:rFonts w:ascii="StobiSerif Regular" w:eastAsia="Calibri" w:hAnsi="StobiSerif Regular" w:cs="Times New Roman"/>
          <w:color w:val="000000"/>
          <w:lang w:val="en-US" w:eastAsia="mk-MK"/>
        </w:rPr>
        <w:t xml:space="preserve"> ИПАРД, </w:t>
      </w:r>
      <w:r w:rsidRPr="00194389">
        <w:rPr>
          <w:rFonts w:ascii="StobiSerif Regular" w:eastAsia="Calibri" w:hAnsi="StobiSerif Regular" w:cs="Times New Roman"/>
          <w:color w:val="000000"/>
          <w:lang w:eastAsia="mk-MK"/>
        </w:rPr>
        <w:t xml:space="preserve">по што, </w:t>
      </w:r>
      <w:r w:rsidRPr="00194389">
        <w:rPr>
          <w:rFonts w:ascii="StobiSerif Regular" w:eastAsia="Calibri" w:hAnsi="StobiSerif Regular" w:cs="Times New Roman"/>
          <w:color w:val="000000"/>
          <w:lang w:val="en-US" w:eastAsia="mk-MK"/>
        </w:rPr>
        <w:t>Билјана Костовска</w:t>
      </w:r>
      <w:r w:rsidRPr="00194389">
        <w:rPr>
          <w:rFonts w:ascii="StobiSerif Regular" w:eastAsia="Calibri" w:hAnsi="StobiSerif Regular" w:cs="Times New Roman"/>
          <w:color w:val="000000"/>
          <w:lang w:eastAsia="mk-MK"/>
        </w:rPr>
        <w:t xml:space="preserve"> беше назначен за нов раководител на Телото за управување со ИПАРД </w:t>
      </w:r>
      <w:r w:rsidRPr="00194389">
        <w:rPr>
          <w:rFonts w:ascii="StobiSerif Regular" w:eastAsia="Calibri" w:hAnsi="StobiSerif Regular" w:cs="Times New Roman"/>
          <w:color w:val="000000"/>
          <w:lang w:val="en-US" w:eastAsia="mk-MK"/>
        </w:rPr>
        <w:t xml:space="preserve"> 2007-2013 и ИПАРД 2014-2020 (Службен весник No.68 од 2016/06/04).</w:t>
      </w:r>
    </w:p>
    <w:p w:rsidR="00194389" w:rsidRPr="00194389" w:rsidRDefault="00194389" w:rsidP="00194389">
      <w:pPr>
        <w:spacing w:before="120" w:after="120"/>
        <w:jc w:val="both"/>
        <w:rPr>
          <w:rFonts w:ascii="StobiSerif Regular" w:eastAsia="Calibri" w:hAnsi="StobiSerif Regular" w:cs="Times New Roman"/>
          <w:lang w:val="en-US" w:eastAsia="mk-MK"/>
        </w:rPr>
      </w:pPr>
      <w:r w:rsidRPr="00194389">
        <w:rPr>
          <w:rFonts w:ascii="StobiSerif Regular" w:eastAsia="Calibri" w:hAnsi="StobiSerif Regular" w:cs="Times New Roman"/>
          <w:lang w:eastAsia="mk-MK"/>
        </w:rPr>
        <w:t xml:space="preserve">Реализирани се две нови вработувања </w:t>
      </w:r>
      <w:r w:rsidRPr="00194389">
        <w:rPr>
          <w:rFonts w:ascii="StobiSerif Regular" w:eastAsia="Calibri" w:hAnsi="StobiSerif Regular" w:cs="Times New Roman"/>
          <w:lang w:val="en-US" w:eastAsia="mk-MK"/>
        </w:rPr>
        <w:t xml:space="preserve"> во текот на 2016</w:t>
      </w:r>
      <w:r w:rsidRPr="00194389">
        <w:rPr>
          <w:rFonts w:ascii="StobiSerif Regular" w:eastAsia="Calibri" w:hAnsi="StobiSerif Regular" w:cs="Times New Roman"/>
          <w:lang w:eastAsia="mk-MK"/>
        </w:rPr>
        <w:t xml:space="preserve"> и тоа</w:t>
      </w:r>
      <w:r w:rsidRPr="00194389">
        <w:rPr>
          <w:rFonts w:ascii="StobiSerif Regular" w:eastAsia="Calibri" w:hAnsi="StobiSerif Regular" w:cs="Times New Roman"/>
          <w:lang w:val="en-US" w:eastAsia="mk-MK"/>
        </w:rPr>
        <w:t>:</w:t>
      </w:r>
    </w:p>
    <w:p w:rsidR="00194389" w:rsidRPr="00194389" w:rsidRDefault="00194389" w:rsidP="00BA1CE8">
      <w:pPr>
        <w:numPr>
          <w:ilvl w:val="0"/>
          <w:numId w:val="44"/>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Помлад соработник за програмирање (</w:t>
      </w:r>
      <w:r w:rsidRPr="00194389">
        <w:rPr>
          <w:rFonts w:ascii="StobiSerif Regular" w:eastAsia="Calibri" w:hAnsi="StobiSerif Regular" w:cs="Times New Roman"/>
          <w:lang w:eastAsia="mk-MK"/>
        </w:rPr>
        <w:t>Решение Арх.бр.</w:t>
      </w:r>
      <w:r w:rsidRPr="00194389">
        <w:rPr>
          <w:rFonts w:ascii="StobiSerif Regular" w:eastAsia="Calibri" w:hAnsi="StobiSerif Regular" w:cs="Times New Roman"/>
          <w:lang w:val="en-US" w:eastAsia="mk-MK"/>
        </w:rPr>
        <w:t xml:space="preserve"> Бр.04-5702 / 1 од 20.05.2016) и</w:t>
      </w:r>
    </w:p>
    <w:p w:rsidR="00194389" w:rsidRPr="00194389" w:rsidRDefault="00194389" w:rsidP="00BA1CE8">
      <w:pPr>
        <w:numPr>
          <w:ilvl w:val="0"/>
          <w:numId w:val="44"/>
        </w:numPr>
        <w:spacing w:before="120" w:after="120"/>
        <w:contextualSpacing/>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Помлад соработник за поддршка на функции програмирање (</w:t>
      </w:r>
      <w:r w:rsidRPr="00194389">
        <w:rPr>
          <w:rFonts w:ascii="StobiSerif Regular" w:eastAsia="Calibri" w:hAnsi="StobiSerif Regular" w:cs="Times New Roman"/>
          <w:lang w:eastAsia="mk-MK"/>
        </w:rPr>
        <w:t>решение Арх.бр.</w:t>
      </w:r>
      <w:r w:rsidRPr="00194389">
        <w:rPr>
          <w:rFonts w:ascii="StobiSerif Regular" w:eastAsia="Calibri" w:hAnsi="StobiSerif Regular" w:cs="Times New Roman"/>
          <w:lang w:val="en-US" w:eastAsia="mk-MK"/>
        </w:rPr>
        <w:t xml:space="preserve">04- 7020/1 од </w:t>
      </w:r>
      <w:r w:rsidRPr="00194389">
        <w:rPr>
          <w:rFonts w:ascii="StobiSerif Regular" w:eastAsia="Calibri" w:hAnsi="StobiSerif Regular" w:cs="Times New Roman"/>
          <w:lang w:eastAsia="mk-MK"/>
        </w:rPr>
        <w:t>13.07.2016</w:t>
      </w:r>
      <w:r w:rsidRPr="00194389">
        <w:rPr>
          <w:rFonts w:ascii="StobiSerif Regular" w:eastAsia="Calibri" w:hAnsi="StobiSerif Regular" w:cs="Times New Roman"/>
          <w:lang w:val="en-US" w:eastAsia="mk-MK"/>
        </w:rPr>
        <w:t>)</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Со оваа промена, бројот на вработени во ТУ на крајот на 2016 година беше 16 (шеснаесет) и стапката на искористеност на работните места во во согласност со АОР за 2016 година е 76%.</w:t>
      </w:r>
    </w:p>
    <w:p w:rsidR="00194389" w:rsidRPr="00194389" w:rsidRDefault="00194389" w:rsidP="00194389">
      <w:pPr>
        <w:spacing w:before="120" w:after="120"/>
        <w:ind w:firstLine="284"/>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 xml:space="preserve">Во согласност со Актот за систематизација на МЗШВ, одобрен од страна на Агенцијата за администрација на 09.09.2015 (бр. 04-6397 / 3), во рамките на </w:t>
      </w:r>
      <w:r w:rsidRPr="00194389">
        <w:rPr>
          <w:rFonts w:ascii="StobiSerif Regular" w:eastAsia="Calibri" w:hAnsi="StobiSerif Regular" w:cs="Times New Roman"/>
          <w:lang w:eastAsia="mk-MK"/>
        </w:rPr>
        <w:t>ТУ</w:t>
      </w:r>
      <w:r w:rsidRPr="00194389">
        <w:rPr>
          <w:rFonts w:ascii="StobiSerif Regular" w:eastAsia="Calibri" w:hAnsi="StobiSerif Regular" w:cs="Times New Roman"/>
          <w:lang w:val="en-US" w:eastAsia="mk-MK"/>
        </w:rPr>
        <w:t xml:space="preserve">, се предвидени 22 работни места (вклучувајќи го и </w:t>
      </w:r>
      <w:r w:rsidRPr="00194389">
        <w:rPr>
          <w:rFonts w:ascii="StobiSerif Regular" w:eastAsia="Calibri" w:hAnsi="StobiSerif Regular" w:cs="Times New Roman"/>
          <w:lang w:eastAsia="mk-MK"/>
        </w:rPr>
        <w:t>РТУ</w:t>
      </w:r>
      <w:r w:rsidRPr="00194389">
        <w:rPr>
          <w:rFonts w:ascii="StobiSerif Regular" w:eastAsia="Calibri" w:hAnsi="StobiSerif Regular" w:cs="Times New Roman"/>
          <w:lang w:val="en-US" w:eastAsia="mk-MK"/>
        </w:rPr>
        <w:t>) (за веќе акредитирани мерки и мерки кои што ќе се спроведува</w:t>
      </w:r>
      <w:r w:rsidRPr="00194389">
        <w:rPr>
          <w:rFonts w:ascii="StobiSerif Regular" w:eastAsia="Calibri" w:hAnsi="StobiSerif Regular" w:cs="Times New Roman"/>
          <w:lang w:eastAsia="mk-MK"/>
        </w:rPr>
        <w:t>ат</w:t>
      </w:r>
      <w:r w:rsidRPr="00194389">
        <w:rPr>
          <w:rFonts w:ascii="StobiSerif Regular" w:eastAsia="Calibri" w:hAnsi="StobiSerif Regular" w:cs="Times New Roman"/>
          <w:lang w:val="en-US" w:eastAsia="mk-MK"/>
        </w:rPr>
        <w:t xml:space="preserve"> во рамките на ИПАРД II</w:t>
      </w:r>
      <w:r w:rsidRPr="00194389">
        <w:rPr>
          <w:rFonts w:ascii="StobiSerif Regular" w:eastAsia="Calibri" w:hAnsi="StobiSerif Regular" w:cs="Times New Roman"/>
          <w:lang w:eastAsia="mk-MK"/>
        </w:rPr>
        <w:t xml:space="preserve"> </w:t>
      </w:r>
      <w:r w:rsidRPr="00194389">
        <w:rPr>
          <w:rFonts w:ascii="StobiSerif Regular" w:eastAsia="Calibri" w:hAnsi="StobiSerif Regular" w:cs="Times New Roman"/>
          <w:lang w:val="en-US" w:eastAsia="mk-MK"/>
        </w:rPr>
        <w:t>програмата за време на 2017</w:t>
      </w:r>
      <w:r w:rsidRPr="00194389">
        <w:rPr>
          <w:rFonts w:ascii="StobiSerif Regular" w:eastAsia="Calibri" w:hAnsi="StobiSerif Regular" w:cs="Times New Roman"/>
          <w:lang w:eastAsia="mk-MK"/>
        </w:rPr>
        <w:t xml:space="preserve"> година</w:t>
      </w:r>
      <w:r w:rsidRPr="00194389">
        <w:rPr>
          <w:rFonts w:ascii="StobiSerif Regular" w:eastAsia="Calibri" w:hAnsi="StobiSerif Regular" w:cs="Times New Roman"/>
          <w:lang w:val="en-US" w:eastAsia="mk-MK"/>
        </w:rPr>
        <w:t>).</w:t>
      </w:r>
    </w:p>
    <w:p w:rsidR="00194389" w:rsidRPr="00194389" w:rsidRDefault="00194389" w:rsidP="00194389">
      <w:pPr>
        <w:spacing w:before="120" w:after="120"/>
        <w:jc w:val="both"/>
        <w:rPr>
          <w:rFonts w:ascii="StobiSerif Regular" w:eastAsia="Calibri" w:hAnsi="StobiSerif Regular" w:cs="Times New Roman"/>
          <w:lang w:val="en-US" w:eastAsia="mk-MK"/>
        </w:rPr>
      </w:pPr>
      <w:r w:rsidRPr="00194389">
        <w:rPr>
          <w:rFonts w:ascii="StobiSerif Regular" w:eastAsia="Calibri" w:hAnsi="StobiSerif Regular" w:cs="Times New Roman"/>
          <w:lang w:val="en-US" w:eastAsia="mk-MK"/>
        </w:rPr>
        <w:t xml:space="preserve">Со изработката на </w:t>
      </w:r>
      <w:r w:rsidRPr="00194389">
        <w:rPr>
          <w:rFonts w:ascii="StobiSerif Regular" w:eastAsia="Calibri" w:hAnsi="StobiSerif Regular" w:cs="Times New Roman"/>
          <w:lang w:eastAsia="mk-MK"/>
        </w:rPr>
        <w:t>АОР, забележани се разлики помеѓу</w:t>
      </w:r>
      <w:r w:rsidRPr="00194389">
        <w:rPr>
          <w:rFonts w:ascii="StobiSerif Regular" w:eastAsia="Calibri" w:hAnsi="StobiSerif Regular" w:cs="Times New Roman"/>
          <w:lang w:val="en-US" w:eastAsia="mk-MK"/>
        </w:rPr>
        <w:t xml:space="preserve"> Актот за систематизација на МЗШВ и пресметки</w:t>
      </w:r>
      <w:r w:rsidRPr="00194389">
        <w:rPr>
          <w:rFonts w:ascii="StobiSerif Regular" w:eastAsia="Calibri" w:hAnsi="StobiSerif Regular" w:cs="Times New Roman"/>
          <w:lang w:eastAsia="mk-MK"/>
        </w:rPr>
        <w:t>те</w:t>
      </w:r>
      <w:r w:rsidRPr="00194389">
        <w:rPr>
          <w:rFonts w:ascii="StobiSerif Regular" w:eastAsia="Calibri" w:hAnsi="StobiSerif Regular" w:cs="Times New Roman"/>
          <w:lang w:val="en-US" w:eastAsia="mk-MK"/>
        </w:rPr>
        <w:t xml:space="preserve"> за оптималиот број на потребен кадар</w:t>
      </w:r>
      <w:r w:rsidRPr="00194389">
        <w:rPr>
          <w:rFonts w:ascii="StobiSerif Regular" w:eastAsia="Calibri" w:hAnsi="StobiSerif Regular" w:cs="Times New Roman"/>
          <w:lang w:eastAsia="mk-MK"/>
        </w:rPr>
        <w:t xml:space="preserve"> во</w:t>
      </w:r>
      <w:r w:rsidRPr="00194389">
        <w:rPr>
          <w:rFonts w:ascii="StobiSerif Regular" w:eastAsia="Calibri" w:hAnsi="StobiSerif Regular" w:cs="Times New Roman"/>
          <w:lang w:val="en-US" w:eastAsia="mk-MK"/>
        </w:rPr>
        <w:t xml:space="preserve"> рамките на ТУ. </w:t>
      </w:r>
      <w:r w:rsidRPr="00194389">
        <w:rPr>
          <w:rFonts w:ascii="StobiSerif Regular" w:eastAsia="Calibri" w:hAnsi="StobiSerif Regular" w:cs="Times New Roman"/>
          <w:lang w:eastAsia="mk-MK"/>
        </w:rPr>
        <w:t>АОР</w:t>
      </w:r>
      <w:r w:rsidRPr="00194389">
        <w:rPr>
          <w:rFonts w:ascii="StobiSerif Regular" w:eastAsia="Calibri" w:hAnsi="StobiSerif Regular" w:cs="Times New Roman"/>
          <w:lang w:val="en-US" w:eastAsia="mk-MK"/>
        </w:rPr>
        <w:t xml:space="preserve"> за 2017 година покажува потреба од зголемување на работните места - советници во Т</w:t>
      </w:r>
      <w:r w:rsidRPr="00194389">
        <w:rPr>
          <w:rFonts w:ascii="StobiSerif Regular" w:eastAsia="Calibri" w:hAnsi="StobiSerif Regular" w:cs="Times New Roman"/>
          <w:lang w:eastAsia="mk-MK"/>
        </w:rPr>
        <w:t>У</w:t>
      </w:r>
      <w:r w:rsidRPr="00194389">
        <w:rPr>
          <w:rFonts w:ascii="StobiSerif Regular" w:eastAsia="Calibri" w:hAnsi="StobiSerif Regular" w:cs="Times New Roman"/>
          <w:lang w:val="en-US" w:eastAsia="mk-MK"/>
        </w:rPr>
        <w:t>. Според бројот на работните места</w:t>
      </w:r>
      <w:r w:rsidRPr="00194389">
        <w:rPr>
          <w:rFonts w:ascii="StobiSerif Regular" w:eastAsia="Calibri" w:hAnsi="StobiSerif Regular" w:cs="Times New Roman"/>
          <w:lang w:eastAsia="mk-MK"/>
        </w:rPr>
        <w:t xml:space="preserve"> истиот</w:t>
      </w:r>
      <w:r w:rsidRPr="00194389">
        <w:rPr>
          <w:rFonts w:ascii="StobiSerif Regular" w:eastAsia="Calibri" w:hAnsi="StobiSerif Regular" w:cs="Times New Roman"/>
          <w:lang w:val="en-US" w:eastAsia="mk-MK"/>
        </w:rPr>
        <w:t xml:space="preserve"> е зголемен од 22 на 24. Со допис број 11- 9427/ 1 од 20.10.2016, ТУ до Секторот за човечки ресурси при МЗШВ достави барање за измена на систематизацијата односно усогласување на Правилникот за систематизација на работни места во МЗШВ со АОР за ТУ. Постапката за промена на Законот за систематизација се уште е во тек.</w:t>
      </w:r>
    </w:p>
    <w:p w:rsidR="00194389" w:rsidRPr="00194389" w:rsidRDefault="00194389" w:rsidP="00194389">
      <w:pPr>
        <w:spacing w:after="120" w:line="240" w:lineRule="auto"/>
        <w:ind w:firstLine="284"/>
        <w:rPr>
          <w:rFonts w:ascii="StobiSerif Regular" w:hAnsi="StobiSerif Regular"/>
        </w:rPr>
      </w:pPr>
      <w:r w:rsidRPr="00194389">
        <w:rPr>
          <w:rFonts w:ascii="StobiSerif Regular" w:hAnsi="StobiSerif Regular"/>
          <w:lang w:val="en-US"/>
        </w:rPr>
        <w:t>Во табелата подолу се претставени податоците во однос на човечките капацитети во ИПАРД структурата за 2016 година</w:t>
      </w:r>
      <w:r w:rsidRPr="00194389">
        <w:rPr>
          <w:rFonts w:ascii="StobiSerif Regular" w:hAnsi="StobiSerif Regular"/>
        </w:rPr>
        <w:t>:</w:t>
      </w:r>
    </w:p>
    <w:p w:rsidR="00194389" w:rsidRPr="00194389" w:rsidRDefault="00194389" w:rsidP="00194389">
      <w:pPr>
        <w:spacing w:after="120" w:line="240" w:lineRule="auto"/>
        <w:ind w:firstLine="284"/>
        <w:rPr>
          <w:rFonts w:ascii="StobiSerif Regular" w:hAnsi="StobiSerif Regular"/>
        </w:rPr>
      </w:pPr>
    </w:p>
    <w:tbl>
      <w:tblPr>
        <w:tblW w:w="9930"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1266"/>
        <w:gridCol w:w="1134"/>
        <w:gridCol w:w="992"/>
        <w:gridCol w:w="993"/>
        <w:gridCol w:w="992"/>
        <w:gridCol w:w="1134"/>
        <w:gridCol w:w="992"/>
        <w:gridCol w:w="1276"/>
        <w:gridCol w:w="1134"/>
        <w:gridCol w:w="17"/>
      </w:tblGrid>
      <w:tr w:rsidR="00194389" w:rsidRPr="003D3D92" w:rsidTr="00EE5E4C">
        <w:trPr>
          <w:gridAfter w:val="1"/>
          <w:wAfter w:w="17" w:type="dxa"/>
          <w:tblCellSpacing w:w="0" w:type="dxa"/>
        </w:trPr>
        <w:tc>
          <w:tcPr>
            <w:tcW w:w="1266"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b/>
                <w:bCs/>
                <w:color w:val="000000"/>
                <w:sz w:val="16"/>
                <w:szCs w:val="16"/>
                <w:lang w:val="en-US" w:eastAsia="mk-MK"/>
              </w:rPr>
              <w:t>Институција</w:t>
            </w:r>
          </w:p>
        </w:tc>
        <w:tc>
          <w:tcPr>
            <w:tcW w:w="1134"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b/>
                <w:bCs/>
                <w:color w:val="000000"/>
                <w:sz w:val="16"/>
                <w:szCs w:val="16"/>
                <w:lang w:eastAsia="mk-MK"/>
              </w:rPr>
              <w:t xml:space="preserve">Број на вработени на </w:t>
            </w:r>
            <w:r w:rsidRPr="003D3D92">
              <w:rPr>
                <w:rFonts w:ascii="StobiSerif Regular" w:eastAsia="Times New Roman" w:hAnsi="StobiSerif Regular" w:cs="Times New Roman"/>
                <w:b/>
                <w:bCs/>
                <w:color w:val="000000"/>
                <w:sz w:val="16"/>
                <w:szCs w:val="16"/>
                <w:lang w:val="en-US" w:eastAsia="mk-MK"/>
              </w:rPr>
              <w:t xml:space="preserve"> 31.12.2015</w:t>
            </w:r>
          </w:p>
        </w:tc>
        <w:tc>
          <w:tcPr>
            <w:tcW w:w="992"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b/>
                <w:bCs/>
                <w:color w:val="000000"/>
                <w:sz w:val="16"/>
                <w:szCs w:val="16"/>
                <w:lang w:eastAsia="mk-MK"/>
              </w:rPr>
              <w:t>Потребен број на вработени согласно АОР</w:t>
            </w:r>
            <w:r w:rsidRPr="003D3D92">
              <w:rPr>
                <w:rFonts w:ascii="StobiSerif Regular" w:eastAsia="Times New Roman" w:hAnsi="StobiSerif Regular" w:cs="Times New Roman"/>
                <w:b/>
                <w:bCs/>
                <w:color w:val="000000"/>
                <w:sz w:val="16"/>
                <w:szCs w:val="16"/>
                <w:lang w:val="en-US" w:eastAsia="mk-MK"/>
              </w:rPr>
              <w:t xml:space="preserve"> 2016</w:t>
            </w:r>
          </w:p>
        </w:tc>
        <w:tc>
          <w:tcPr>
            <w:tcW w:w="993"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b/>
                <w:bCs/>
                <w:color w:val="000000"/>
                <w:sz w:val="16"/>
                <w:szCs w:val="16"/>
                <w:lang w:eastAsia="mk-MK"/>
              </w:rPr>
              <w:t>Релизирани нови вработувања</w:t>
            </w:r>
            <w:r w:rsidRPr="003D3D92">
              <w:rPr>
                <w:rFonts w:ascii="StobiSerif Regular" w:eastAsia="Times New Roman" w:hAnsi="StobiSerif Regular" w:cs="Times New Roman"/>
                <w:b/>
                <w:bCs/>
                <w:color w:val="000000"/>
                <w:sz w:val="16"/>
                <w:szCs w:val="16"/>
                <w:lang w:val="en-US" w:eastAsia="mk-MK"/>
              </w:rPr>
              <w:t xml:space="preserve"> 2016</w:t>
            </w:r>
          </w:p>
        </w:tc>
        <w:tc>
          <w:tcPr>
            <w:tcW w:w="992"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b/>
                <w:bCs/>
                <w:color w:val="000000"/>
                <w:sz w:val="16"/>
                <w:szCs w:val="16"/>
                <w:lang w:eastAsia="mk-MK"/>
              </w:rPr>
              <w:t>Унапредување на вработените во</w:t>
            </w:r>
            <w:r w:rsidRPr="003D3D92">
              <w:rPr>
                <w:rFonts w:ascii="StobiSerif Regular" w:eastAsia="Times New Roman" w:hAnsi="StobiSerif Regular" w:cs="Times New Roman"/>
                <w:b/>
                <w:bCs/>
                <w:color w:val="000000"/>
                <w:sz w:val="16"/>
                <w:szCs w:val="16"/>
                <w:lang w:val="en-US" w:eastAsia="mk-MK"/>
              </w:rPr>
              <w:t xml:space="preserve"> 2016</w:t>
            </w:r>
          </w:p>
        </w:tc>
        <w:tc>
          <w:tcPr>
            <w:tcW w:w="1134"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eastAsia="mk-MK"/>
              </w:rPr>
            </w:pPr>
            <w:r w:rsidRPr="003D3D92">
              <w:rPr>
                <w:rFonts w:ascii="StobiSerif Regular" w:eastAsia="Times New Roman" w:hAnsi="StobiSerif Regular" w:cs="Times New Roman"/>
                <w:b/>
                <w:bCs/>
                <w:color w:val="000000"/>
                <w:sz w:val="16"/>
                <w:szCs w:val="16"/>
                <w:lang w:eastAsia="mk-MK"/>
              </w:rPr>
              <w:t>Број на вработени кои што ја напуштиле работната позиција</w:t>
            </w:r>
            <w:r w:rsidRPr="003D3D92">
              <w:rPr>
                <w:rFonts w:ascii="Times New Roman" w:eastAsia="Times New Roman" w:hAnsi="Times New Roman" w:cs="Times New Roman"/>
                <w:color w:val="000000"/>
                <w:sz w:val="16"/>
                <w:szCs w:val="16"/>
                <w:lang w:eastAsia="mk-MK"/>
              </w:rPr>
              <w:t xml:space="preserve"> </w:t>
            </w:r>
            <w:r w:rsidRPr="003D3D92">
              <w:rPr>
                <w:rFonts w:ascii="StobiSerif Regular" w:eastAsia="Times New Roman" w:hAnsi="StobiSerif Regular" w:cs="Times New Roman"/>
                <w:b/>
                <w:bCs/>
                <w:color w:val="000000"/>
                <w:sz w:val="16"/>
                <w:szCs w:val="16"/>
                <w:lang w:val="en-US" w:eastAsia="mk-MK"/>
              </w:rPr>
              <w:t>2016</w:t>
            </w:r>
          </w:p>
        </w:tc>
        <w:tc>
          <w:tcPr>
            <w:tcW w:w="992"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eastAsia="mk-MK"/>
              </w:rPr>
            </w:pPr>
            <w:r w:rsidRPr="003D3D92">
              <w:rPr>
                <w:rFonts w:ascii="StobiSerif Regular" w:eastAsia="Times New Roman" w:hAnsi="StobiSerif Regular" w:cs="Times New Roman"/>
                <w:b/>
                <w:bCs/>
                <w:color w:val="000000"/>
                <w:sz w:val="16"/>
                <w:szCs w:val="16"/>
                <w:lang w:eastAsia="mk-MK"/>
              </w:rPr>
              <w:t>Моментален број на вработени</w:t>
            </w:r>
          </w:p>
        </w:tc>
        <w:tc>
          <w:tcPr>
            <w:tcW w:w="1276"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SimSun" w:hAnsi="StobiSerif Regular" w:cs="StobiSerif Regular"/>
                <w:b/>
                <w:bCs/>
                <w:color w:val="000000"/>
                <w:kern w:val="1"/>
                <w:sz w:val="16"/>
                <w:szCs w:val="16"/>
                <w:lang w:eastAsia="mk-MK" w:bidi="hi-IN"/>
              </w:rPr>
              <w:t>Стапка на искористеност</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cMar>
              <w:top w:w="29" w:type="dxa"/>
              <w:left w:w="29" w:type="dxa"/>
              <w:bottom w:w="29" w:type="dxa"/>
              <w:right w:w="29" w:type="dxa"/>
            </w:tcMar>
            <w:vAlign w:val="center"/>
          </w:tcPr>
          <w:p w:rsidR="00194389" w:rsidRPr="003D3D92" w:rsidRDefault="00194389" w:rsidP="00194389">
            <w:pPr>
              <w:spacing w:before="100" w:beforeAutospacing="1" w:after="0" w:line="240" w:lineRule="auto"/>
              <w:ind w:hanging="29"/>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b/>
                <w:bCs/>
                <w:color w:val="000000"/>
                <w:sz w:val="16"/>
                <w:szCs w:val="16"/>
                <w:lang w:eastAsia="mk-MK"/>
              </w:rPr>
              <w:t>Стапка на обрт на вработени</w:t>
            </w:r>
          </w:p>
        </w:tc>
      </w:tr>
      <w:tr w:rsidR="00194389" w:rsidRPr="003D3D92" w:rsidTr="00EE5E4C">
        <w:trPr>
          <w:trHeight w:val="415"/>
          <w:tblCellSpacing w:w="0" w:type="dxa"/>
        </w:trPr>
        <w:tc>
          <w:tcPr>
            <w:tcW w:w="1266"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НАО/НФ</w:t>
            </w:r>
          </w:p>
        </w:tc>
        <w:tc>
          <w:tcPr>
            <w:tcW w:w="1134"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19</w:t>
            </w:r>
          </w:p>
        </w:tc>
        <w:tc>
          <w:tcPr>
            <w:tcW w:w="992"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21</w:t>
            </w:r>
          </w:p>
        </w:tc>
        <w:tc>
          <w:tcPr>
            <w:tcW w:w="99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w:t>
            </w:r>
          </w:p>
        </w:tc>
        <w:tc>
          <w:tcPr>
            <w:tcW w:w="992"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w:t>
            </w:r>
          </w:p>
        </w:tc>
        <w:tc>
          <w:tcPr>
            <w:tcW w:w="1134"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2</w:t>
            </w:r>
          </w:p>
        </w:tc>
        <w:tc>
          <w:tcPr>
            <w:tcW w:w="992"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17</w:t>
            </w:r>
          </w:p>
        </w:tc>
        <w:tc>
          <w:tcPr>
            <w:tcW w:w="1276"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81%</w:t>
            </w:r>
          </w:p>
        </w:tc>
        <w:tc>
          <w:tcPr>
            <w:tcW w:w="1151" w:type="dxa"/>
            <w:gridSpan w:val="2"/>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10.5%</w:t>
            </w:r>
          </w:p>
        </w:tc>
      </w:tr>
      <w:tr w:rsidR="00194389" w:rsidRPr="003D3D92" w:rsidTr="00EE5E4C">
        <w:trPr>
          <w:tblCellSpacing w:w="0" w:type="dxa"/>
        </w:trPr>
        <w:tc>
          <w:tcPr>
            <w:tcW w:w="1266"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ИПАРД Агенција</w:t>
            </w:r>
          </w:p>
        </w:tc>
        <w:tc>
          <w:tcPr>
            <w:tcW w:w="1134"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97</w:t>
            </w:r>
          </w:p>
        </w:tc>
        <w:tc>
          <w:tcPr>
            <w:tcW w:w="992"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173</w:t>
            </w:r>
          </w:p>
        </w:tc>
        <w:tc>
          <w:tcPr>
            <w:tcW w:w="99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3</w:t>
            </w:r>
          </w:p>
        </w:tc>
        <w:tc>
          <w:tcPr>
            <w:tcW w:w="992"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w:t>
            </w:r>
          </w:p>
        </w:tc>
        <w:tc>
          <w:tcPr>
            <w:tcW w:w="1134"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4</w:t>
            </w:r>
          </w:p>
        </w:tc>
        <w:tc>
          <w:tcPr>
            <w:tcW w:w="992"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96</w:t>
            </w:r>
          </w:p>
        </w:tc>
        <w:tc>
          <w:tcPr>
            <w:tcW w:w="1276"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55%</w:t>
            </w:r>
          </w:p>
        </w:tc>
        <w:tc>
          <w:tcPr>
            <w:tcW w:w="1151" w:type="dxa"/>
            <w:gridSpan w:val="2"/>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4.12%</w:t>
            </w:r>
          </w:p>
        </w:tc>
      </w:tr>
      <w:tr w:rsidR="00194389" w:rsidRPr="003D3D92" w:rsidTr="00EE5E4C">
        <w:trPr>
          <w:tblCellSpacing w:w="0" w:type="dxa"/>
        </w:trPr>
        <w:tc>
          <w:tcPr>
            <w:tcW w:w="1266"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eastAsia="mk-MK"/>
              </w:rPr>
            </w:pPr>
            <w:r w:rsidRPr="003D3D92">
              <w:rPr>
                <w:rFonts w:ascii="StobiSerif Regular" w:eastAsia="Times New Roman" w:hAnsi="StobiSerif Regular" w:cs="Times New Roman"/>
                <w:color w:val="000000"/>
                <w:sz w:val="16"/>
                <w:szCs w:val="16"/>
                <w:lang w:eastAsia="mk-MK"/>
              </w:rPr>
              <w:t>ТУ</w:t>
            </w:r>
          </w:p>
        </w:tc>
        <w:tc>
          <w:tcPr>
            <w:tcW w:w="1134"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15</w:t>
            </w:r>
          </w:p>
        </w:tc>
        <w:tc>
          <w:tcPr>
            <w:tcW w:w="992"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21</w:t>
            </w:r>
          </w:p>
        </w:tc>
        <w:tc>
          <w:tcPr>
            <w:tcW w:w="99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2</w:t>
            </w:r>
          </w:p>
        </w:tc>
        <w:tc>
          <w:tcPr>
            <w:tcW w:w="992"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w:t>
            </w:r>
          </w:p>
        </w:tc>
        <w:tc>
          <w:tcPr>
            <w:tcW w:w="1134"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1</w:t>
            </w:r>
          </w:p>
        </w:tc>
        <w:tc>
          <w:tcPr>
            <w:tcW w:w="992"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16</w:t>
            </w:r>
          </w:p>
        </w:tc>
        <w:tc>
          <w:tcPr>
            <w:tcW w:w="1276"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76%</w:t>
            </w:r>
          </w:p>
        </w:tc>
        <w:tc>
          <w:tcPr>
            <w:tcW w:w="1151" w:type="dxa"/>
            <w:gridSpan w:val="2"/>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6.6%</w:t>
            </w:r>
          </w:p>
        </w:tc>
      </w:tr>
      <w:tr w:rsidR="00194389" w:rsidRPr="003D3D92" w:rsidTr="00EE5E4C">
        <w:trPr>
          <w:trHeight w:val="458"/>
          <w:tblCellSpacing w:w="0" w:type="dxa"/>
        </w:trPr>
        <w:tc>
          <w:tcPr>
            <w:tcW w:w="1266"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Вкупно</w:t>
            </w:r>
          </w:p>
        </w:tc>
        <w:tc>
          <w:tcPr>
            <w:tcW w:w="1134"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131</w:t>
            </w:r>
          </w:p>
        </w:tc>
        <w:tc>
          <w:tcPr>
            <w:tcW w:w="992"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215</w:t>
            </w:r>
          </w:p>
        </w:tc>
        <w:tc>
          <w:tcPr>
            <w:tcW w:w="993"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5</w:t>
            </w:r>
          </w:p>
        </w:tc>
        <w:tc>
          <w:tcPr>
            <w:tcW w:w="992"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w:t>
            </w:r>
          </w:p>
        </w:tc>
        <w:tc>
          <w:tcPr>
            <w:tcW w:w="1134"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7</w:t>
            </w:r>
          </w:p>
        </w:tc>
        <w:tc>
          <w:tcPr>
            <w:tcW w:w="992"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129</w:t>
            </w:r>
          </w:p>
        </w:tc>
        <w:tc>
          <w:tcPr>
            <w:tcW w:w="1276"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61%</w:t>
            </w:r>
          </w:p>
        </w:tc>
        <w:tc>
          <w:tcPr>
            <w:tcW w:w="1151" w:type="dxa"/>
            <w:gridSpan w:val="2"/>
            <w:tcBorders>
              <w:top w:val="nil"/>
              <w:left w:val="single" w:sz="8" w:space="0" w:color="000000"/>
              <w:bottom w:val="single" w:sz="8" w:space="0" w:color="000000"/>
              <w:right w:val="single" w:sz="8" w:space="0" w:color="000000"/>
            </w:tcBorders>
            <w:shd w:val="clear" w:color="auto" w:fill="BFBFBF"/>
            <w:tcMar>
              <w:top w:w="0" w:type="dxa"/>
              <w:left w:w="29" w:type="dxa"/>
              <w:bottom w:w="29" w:type="dxa"/>
              <w:right w:w="29" w:type="dxa"/>
            </w:tcMar>
            <w:vAlign w:val="center"/>
          </w:tcPr>
          <w:p w:rsidR="00194389" w:rsidRPr="003D3D92" w:rsidRDefault="00194389" w:rsidP="00194389">
            <w:pPr>
              <w:spacing w:before="100" w:beforeAutospacing="1" w:after="0" w:line="240" w:lineRule="auto"/>
              <w:jc w:val="center"/>
              <w:rPr>
                <w:rFonts w:ascii="Times New Roman" w:eastAsia="Times New Roman" w:hAnsi="Times New Roman" w:cs="Times New Roman"/>
                <w:sz w:val="16"/>
                <w:szCs w:val="16"/>
                <w:lang w:val="en-US" w:eastAsia="mk-MK"/>
              </w:rPr>
            </w:pPr>
            <w:r w:rsidRPr="003D3D92">
              <w:rPr>
                <w:rFonts w:ascii="StobiSerif Regular" w:eastAsia="Times New Roman" w:hAnsi="StobiSerif Regular" w:cs="Times New Roman"/>
                <w:color w:val="000000"/>
                <w:sz w:val="16"/>
                <w:szCs w:val="16"/>
                <w:lang w:val="en-US" w:eastAsia="mk-MK"/>
              </w:rPr>
              <w:t>5,3%</w:t>
            </w:r>
          </w:p>
        </w:tc>
      </w:tr>
    </w:tbl>
    <w:p w:rsidR="00194389" w:rsidRPr="00194389" w:rsidRDefault="00194389" w:rsidP="00194389">
      <w:pPr>
        <w:spacing w:after="0" w:line="240" w:lineRule="auto"/>
        <w:jc w:val="both"/>
        <w:rPr>
          <w:rFonts w:ascii="StobiSerif Regular" w:eastAsia="Times New Roman" w:hAnsi="StobiSerif Regular" w:cs="Times New Roman"/>
          <w:b/>
          <w:bCs/>
          <w:color w:val="000000"/>
          <w:sz w:val="16"/>
          <w:szCs w:val="16"/>
          <w:lang w:val="en-US" w:eastAsia="mk-MK"/>
        </w:rPr>
      </w:pPr>
      <w:r w:rsidRPr="00194389">
        <w:rPr>
          <w:rFonts w:ascii="StobiSerif Regular" w:eastAsia="Times New Roman" w:hAnsi="StobiSerif Regular" w:cs="Times New Roman"/>
          <w:b/>
          <w:bCs/>
          <w:color w:val="000000"/>
          <w:sz w:val="16"/>
          <w:szCs w:val="16"/>
          <w:lang w:val="en-US" w:eastAsia="mk-MK"/>
        </w:rPr>
        <w:t>Извор: НАО</w:t>
      </w:r>
    </w:p>
    <w:p w:rsidR="00194389" w:rsidRPr="00194389" w:rsidRDefault="00194389" w:rsidP="00BA1CE8">
      <w:pPr>
        <w:numPr>
          <w:ilvl w:val="0"/>
          <w:numId w:val="32"/>
        </w:numPr>
        <w:spacing w:before="274" w:after="120" w:line="240" w:lineRule="auto"/>
        <w:contextualSpacing/>
        <w:jc w:val="both"/>
        <w:rPr>
          <w:rFonts w:ascii="StobiSerif Regular" w:eastAsia="Times New Roman" w:hAnsi="StobiSerif Regular" w:cs="Times New Roman"/>
          <w:bCs/>
          <w:color w:val="000000"/>
          <w:lang w:val="en-US" w:eastAsia="mk-MK"/>
        </w:rPr>
      </w:pPr>
      <w:r w:rsidRPr="00194389">
        <w:rPr>
          <w:rFonts w:ascii="StobiSerif Regular" w:eastAsia="Times New Roman" w:hAnsi="StobiSerif Regular" w:cs="Times New Roman"/>
          <w:bCs/>
          <w:color w:val="000000"/>
          <w:lang w:eastAsia="mk-MK"/>
        </w:rPr>
        <w:t>Управување со нерегуларности</w:t>
      </w:r>
    </w:p>
    <w:p w:rsidR="00194389" w:rsidRPr="00194389" w:rsidRDefault="00194389" w:rsidP="00194389">
      <w:pPr>
        <w:spacing w:after="120" w:line="240" w:lineRule="auto"/>
        <w:ind w:firstLine="284"/>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Во текот на 2016 година НАО доби случаи на неправилности од ИПАРД Агенцијата</w:t>
      </w:r>
      <w:r w:rsidRPr="00194389">
        <w:rPr>
          <w:rFonts w:ascii="StobiSerif Regular" w:eastAsia="Times New Roman" w:hAnsi="StobiSerif Regular" w:cs="Times New Roman"/>
          <w:lang w:eastAsia="mk-MK"/>
        </w:rPr>
        <w:t>.</w:t>
      </w:r>
      <w:r w:rsidRPr="00194389">
        <w:rPr>
          <w:rFonts w:ascii="StobiSerif Regular" w:eastAsia="Times New Roman" w:hAnsi="StobiSerif Regular" w:cs="Times New Roman"/>
          <w:lang w:val="en-US" w:eastAsia="mk-MK"/>
        </w:rPr>
        <w:t xml:space="preserve"> За целите на </w:t>
      </w:r>
      <w:r w:rsidRPr="00194389">
        <w:rPr>
          <w:rFonts w:ascii="StobiSerif Regular" w:eastAsia="Times New Roman" w:hAnsi="StobiSerif Regular" w:cs="Times New Roman"/>
          <w:lang w:eastAsia="mk-MK"/>
        </w:rPr>
        <w:t>Изјвата за гаранција</w:t>
      </w:r>
      <w:r w:rsidRPr="00194389">
        <w:rPr>
          <w:rFonts w:ascii="StobiSerif Regular" w:eastAsia="Times New Roman" w:hAnsi="StobiSerif Regular" w:cs="Times New Roman"/>
          <w:lang w:val="en-US" w:eastAsia="mk-MK"/>
        </w:rPr>
        <w:t>, беа анализирани идентификувани</w:t>
      </w:r>
      <w:r w:rsidRPr="00194389">
        <w:rPr>
          <w:rFonts w:ascii="StobiSerif Regular" w:eastAsia="Times New Roman" w:hAnsi="StobiSerif Regular" w:cs="Times New Roman"/>
          <w:lang w:eastAsia="mk-MK"/>
        </w:rPr>
        <w:t>те нерегуларности</w:t>
      </w:r>
      <w:r w:rsidRPr="00194389">
        <w:rPr>
          <w:rFonts w:ascii="StobiSerif Regular" w:eastAsia="Times New Roman" w:hAnsi="StobiSerif Regular" w:cs="Times New Roman"/>
          <w:lang w:val="en-US" w:eastAsia="mk-MK"/>
        </w:rPr>
        <w:t xml:space="preserve"> во текот на 2016 година, како и ажурирани претходно утврдените неправилности.</w:t>
      </w:r>
    </w:p>
    <w:p w:rsidR="00194389" w:rsidRPr="00194389" w:rsidRDefault="00194389" w:rsidP="003D3D92">
      <w:pPr>
        <w:spacing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Имајќи ги во предвид пријавените неправилности, превземени се активности за решавање на</w:t>
      </w:r>
      <w:r w:rsidRPr="00194389">
        <w:rPr>
          <w:rFonts w:ascii="StobiSerif Regular" w:eastAsia="Times New Roman" w:hAnsi="StobiSerif Regular" w:cs="Times New Roman"/>
          <w:lang w:eastAsia="mk-MK"/>
        </w:rPr>
        <w:t xml:space="preserve"> тие</w:t>
      </w:r>
      <w:r w:rsidRPr="00194389">
        <w:rPr>
          <w:rFonts w:ascii="StobiSerif Regular" w:eastAsia="Times New Roman" w:hAnsi="StobiSerif Regular" w:cs="Times New Roman"/>
          <w:lang w:val="en-US" w:eastAsia="mk-MK"/>
        </w:rPr>
        <w:t xml:space="preserve"> случаи.</w:t>
      </w:r>
    </w:p>
    <w:p w:rsidR="00194389" w:rsidRPr="00194389" w:rsidRDefault="00194389" w:rsidP="003D3D92">
      <w:pPr>
        <w:spacing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Во текот на 2016 година, идентификувани се 22 нови случаи на нерегуларности. Овие случаи беа анализирани и соодветни корективни мерки беа преземени од страна на релевантните институции, под координација на НАО.</w:t>
      </w:r>
    </w:p>
    <w:p w:rsidR="00194389" w:rsidRPr="00194389" w:rsidRDefault="00194389" w:rsidP="00194389">
      <w:pPr>
        <w:spacing w:after="0" w:line="240" w:lineRule="auto"/>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22 нови утврдени неправилности можат да се утврдат од следните аспекти, како што е прикажано подолу:</w:t>
      </w:r>
    </w:p>
    <w:p w:rsidR="00194389" w:rsidRPr="00194389" w:rsidRDefault="00194389" w:rsidP="00BA1CE8">
      <w:pPr>
        <w:numPr>
          <w:ilvl w:val="0"/>
          <w:numId w:val="45"/>
        </w:numPr>
        <w:spacing w:after="0" w:line="240" w:lineRule="auto"/>
        <w:contextualSpacing/>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5 (пет) случаи се квалификува</w:t>
      </w:r>
      <w:r w:rsidRPr="00194389">
        <w:rPr>
          <w:rFonts w:ascii="StobiSerif Regular" w:eastAsia="Times New Roman" w:hAnsi="StobiSerif Regular" w:cs="Times New Roman"/>
          <w:color w:val="000000"/>
          <w:lang w:eastAsia="mk-MK"/>
        </w:rPr>
        <w:t>ат</w:t>
      </w:r>
      <w:r w:rsidRPr="00194389">
        <w:rPr>
          <w:rFonts w:ascii="StobiSerif Regular" w:eastAsia="Times New Roman" w:hAnsi="StobiSerif Regular" w:cs="Times New Roman"/>
          <w:color w:val="000000"/>
          <w:lang w:val="en-US" w:eastAsia="mk-MK"/>
        </w:rPr>
        <w:t xml:space="preserve"> како неправилности и 17 (седумнаесет) случаи се квалификува</w:t>
      </w:r>
      <w:r w:rsidRPr="00194389">
        <w:rPr>
          <w:rFonts w:ascii="StobiSerif Regular" w:eastAsia="Times New Roman" w:hAnsi="StobiSerif Regular" w:cs="Times New Roman"/>
          <w:color w:val="000000"/>
          <w:lang w:eastAsia="mk-MK"/>
        </w:rPr>
        <w:t>ат</w:t>
      </w:r>
      <w:r w:rsidRPr="00194389">
        <w:rPr>
          <w:rFonts w:ascii="StobiSerif Regular" w:eastAsia="Times New Roman" w:hAnsi="StobiSerif Regular" w:cs="Times New Roman"/>
          <w:color w:val="000000"/>
          <w:lang w:val="en-US" w:eastAsia="mk-MK"/>
        </w:rPr>
        <w:t xml:space="preserve"> како сомневање за измама.</w:t>
      </w:r>
    </w:p>
    <w:p w:rsidR="00194389" w:rsidRPr="00194389" w:rsidRDefault="00194389" w:rsidP="00BA1CE8">
      <w:pPr>
        <w:numPr>
          <w:ilvl w:val="0"/>
          <w:numId w:val="45"/>
        </w:numPr>
        <w:spacing w:after="0" w:line="240" w:lineRule="auto"/>
        <w:contextualSpacing/>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Сите (22) случаи се уште отворени.</w:t>
      </w:r>
    </w:p>
    <w:p w:rsidR="00194389" w:rsidRPr="00194389" w:rsidRDefault="00194389" w:rsidP="00BA1CE8">
      <w:pPr>
        <w:numPr>
          <w:ilvl w:val="0"/>
          <w:numId w:val="45"/>
        </w:numPr>
        <w:spacing w:after="0" w:line="240" w:lineRule="auto"/>
        <w:contextualSpacing/>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Дваесет (20)</w:t>
      </w:r>
      <w:r w:rsidRPr="00194389">
        <w:rPr>
          <w:rFonts w:ascii="StobiSerif Regular" w:eastAsia="Times New Roman" w:hAnsi="StobiSerif Regular" w:cs="Times New Roman"/>
          <w:color w:val="000000"/>
          <w:lang w:eastAsia="mk-MK"/>
        </w:rPr>
        <w:t xml:space="preserve"> од вкупниот број</w:t>
      </w:r>
      <w:r w:rsidRPr="00194389">
        <w:rPr>
          <w:rFonts w:ascii="StobiSerif Regular" w:eastAsia="Times New Roman" w:hAnsi="StobiSerif Regular" w:cs="Times New Roman"/>
          <w:color w:val="000000"/>
          <w:lang w:val="en-US" w:eastAsia="mk-MK"/>
        </w:rPr>
        <w:t xml:space="preserve"> на неправилност</w:t>
      </w:r>
      <w:r w:rsidRPr="00194389">
        <w:rPr>
          <w:rFonts w:ascii="StobiSerif Regular" w:eastAsia="Times New Roman" w:hAnsi="StobiSerif Regular" w:cs="Times New Roman"/>
          <w:color w:val="000000"/>
          <w:lang w:eastAsia="mk-MK"/>
        </w:rPr>
        <w:t>и</w:t>
      </w:r>
      <w:r w:rsidRPr="00194389">
        <w:rPr>
          <w:rFonts w:ascii="StobiSerif Regular" w:eastAsia="Times New Roman" w:hAnsi="StobiSerif Regular" w:cs="Times New Roman"/>
          <w:color w:val="000000"/>
          <w:lang w:val="en-US" w:eastAsia="mk-MK"/>
        </w:rPr>
        <w:t xml:space="preserve"> (отворени случаи) беа идентификувани пред исплата и две (2) на неправилностите (отворени случаи) биле идентификувани откако е извршено плаќање.</w:t>
      </w:r>
    </w:p>
    <w:p w:rsidR="00194389" w:rsidRPr="00194389" w:rsidRDefault="00194389" w:rsidP="003D3D92">
      <w:pPr>
        <w:spacing w:before="120" w:after="120" w:line="240" w:lineRule="auto"/>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 xml:space="preserve">Врз основа на член 28 (2) и член 36 од Регулативата на Комисијата </w:t>
      </w:r>
      <w:r w:rsidRPr="00194389">
        <w:rPr>
          <w:rFonts w:ascii="StobiSerif Regular" w:eastAsia="Times New Roman" w:hAnsi="StobiSerif Regular" w:cs="Times New Roman"/>
          <w:color w:val="000000"/>
          <w:lang w:eastAsia="mk-MK"/>
        </w:rPr>
        <w:t xml:space="preserve">Бр. </w:t>
      </w:r>
      <w:r w:rsidRPr="00194389">
        <w:rPr>
          <w:rFonts w:ascii="StobiSerif Regular" w:eastAsia="Times New Roman" w:hAnsi="StobiSerif Regular" w:cs="Times New Roman"/>
          <w:color w:val="000000"/>
          <w:lang w:val="en-US" w:eastAsia="mk-MK"/>
        </w:rPr>
        <w:t xml:space="preserve">1828 од 8 декември 2006 година, Националниот координатор за авторизација испраќа извештаи за нерегуларностите до Европската комисија известувајќи за неправилностите </w:t>
      </w:r>
      <w:r w:rsidRPr="00194389">
        <w:rPr>
          <w:rFonts w:ascii="StobiSerif Regular" w:eastAsia="Times New Roman" w:hAnsi="StobiSerif Regular" w:cs="Times New Roman"/>
          <w:color w:val="000000"/>
          <w:lang w:eastAsia="mk-MK"/>
        </w:rPr>
        <w:t>утврдени</w:t>
      </w:r>
      <w:r w:rsidRPr="00194389">
        <w:rPr>
          <w:rFonts w:ascii="StobiSerif Regular" w:eastAsia="Times New Roman" w:hAnsi="StobiSerif Regular" w:cs="Times New Roman"/>
          <w:color w:val="000000"/>
          <w:lang w:val="en-US" w:eastAsia="mk-MK"/>
        </w:rPr>
        <w:t xml:space="preserve"> во </w:t>
      </w:r>
      <w:r w:rsidRPr="00194389">
        <w:rPr>
          <w:rFonts w:ascii="StobiSerif Regular" w:eastAsia="Times New Roman" w:hAnsi="StobiSerif Regular" w:cs="Times New Roman"/>
          <w:color w:val="000000"/>
          <w:lang w:eastAsia="mk-MK"/>
        </w:rPr>
        <w:t xml:space="preserve"> текот на </w:t>
      </w:r>
      <w:r w:rsidRPr="00194389">
        <w:rPr>
          <w:rFonts w:ascii="StobiSerif Regular" w:eastAsia="Times New Roman" w:hAnsi="StobiSerif Regular" w:cs="Times New Roman"/>
          <w:color w:val="000000"/>
          <w:lang w:val="en-US" w:eastAsia="mk-MK"/>
        </w:rPr>
        <w:t>спроведувањето на ИПАРД Програмата во Република Македонија.</w:t>
      </w:r>
    </w:p>
    <w:p w:rsidR="00194389" w:rsidRPr="00194389" w:rsidRDefault="00194389" w:rsidP="00194389">
      <w:pPr>
        <w:spacing w:after="0" w:line="240" w:lineRule="auto"/>
        <w:jc w:val="both"/>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u w:val="single"/>
          <w:lang w:val="en-US" w:eastAsia="mk-MK"/>
        </w:rPr>
        <w:t>Табела</w:t>
      </w:r>
      <w:r w:rsidRPr="00194389">
        <w:rPr>
          <w:rFonts w:ascii="StobiSerif Regular" w:eastAsia="Times New Roman" w:hAnsi="StobiSerif Regular" w:cs="Times New Roman"/>
          <w:color w:val="000000"/>
          <w:u w:val="single"/>
          <w:lang w:val="en-US" w:eastAsia="mk-MK"/>
        </w:rPr>
        <w:t xml:space="preserve"> 1 </w:t>
      </w:r>
    </w:p>
    <w:p w:rsidR="00194389" w:rsidRPr="00194389" w:rsidRDefault="00194389" w:rsidP="00194389">
      <w:pPr>
        <w:spacing w:after="0" w:line="240" w:lineRule="auto"/>
        <w:ind w:firstLine="720"/>
        <w:jc w:val="both"/>
        <w:rPr>
          <w:rFonts w:ascii="StobiSerif Regular" w:eastAsia="Times New Roman" w:hAnsi="StobiSerif Regular" w:cs="Times New Roman"/>
          <w:u w:val="single"/>
          <w:lang w:val="en-US" w:eastAsia="mk-MK"/>
        </w:rPr>
      </w:pPr>
    </w:p>
    <w:tbl>
      <w:tblPr>
        <w:tblpPr w:leftFromText="180" w:rightFromText="180" w:vertAnchor="text" w:horzAnchor="margin" w:tblpXSpec="center" w:tblpY="-187"/>
        <w:tblOverlap w:val="never"/>
        <w:tblW w:w="9002"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1553"/>
        <w:gridCol w:w="1870"/>
        <w:gridCol w:w="1870"/>
        <w:gridCol w:w="1715"/>
        <w:gridCol w:w="1994"/>
      </w:tblGrid>
      <w:tr w:rsidR="00194389" w:rsidRPr="00194389" w:rsidTr="00EE5E4C">
        <w:trPr>
          <w:trHeight w:val="297"/>
          <w:tblCellSpacing w:w="0" w:type="dxa"/>
        </w:trPr>
        <w:tc>
          <w:tcPr>
            <w:tcW w:w="9002" w:type="dxa"/>
            <w:gridSpan w:val="5"/>
            <w:tcBorders>
              <w:top w:val="single" w:sz="8" w:space="0" w:color="000000"/>
              <w:left w:val="single" w:sz="8" w:space="0" w:color="000000"/>
              <w:bottom w:val="single" w:sz="8" w:space="0" w:color="000000"/>
              <w:right w:val="single" w:sz="8" w:space="0" w:color="000000"/>
            </w:tcBorders>
            <w:shd w:val="clear" w:color="auto" w:fill="BFBFBF"/>
            <w:tcMar>
              <w:top w:w="29" w:type="dxa"/>
              <w:left w:w="29" w:type="dxa"/>
              <w:bottom w:w="29" w:type="dxa"/>
              <w:right w:w="29" w:type="dxa"/>
            </w:tcMa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b/>
                <w:bCs/>
                <w:color w:val="000000"/>
                <w:sz w:val="20"/>
                <w:szCs w:val="18"/>
                <w:lang w:val="en-US" w:eastAsia="mk-MK"/>
              </w:rPr>
              <w:t>Нерегуларности утврдени во текот на 2016</w:t>
            </w:r>
          </w:p>
        </w:tc>
      </w:tr>
      <w:tr w:rsidR="00194389" w:rsidRPr="00194389" w:rsidTr="00EE5E4C">
        <w:trPr>
          <w:trHeight w:val="989"/>
          <w:tblCellSpacing w:w="0" w:type="dxa"/>
        </w:trPr>
        <w:tc>
          <w:tcPr>
            <w:tcW w:w="1553"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eastAsia="mk-MK"/>
              </w:rPr>
            </w:pPr>
            <w:r w:rsidRPr="00194389">
              <w:rPr>
                <w:rFonts w:ascii="StobiSerif Regular" w:eastAsia="Times New Roman" w:hAnsi="StobiSerif Regular" w:cs="Times New Roman"/>
                <w:b/>
                <w:bCs/>
                <w:color w:val="000000"/>
                <w:sz w:val="20"/>
                <w:szCs w:val="18"/>
                <w:lang w:eastAsia="mk-MK"/>
              </w:rPr>
              <w:t>Вкупен број на нерегуларности</w:t>
            </w:r>
          </w:p>
        </w:tc>
        <w:tc>
          <w:tcPr>
            <w:tcW w:w="1870"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eastAsia="mk-MK"/>
              </w:rPr>
            </w:pPr>
            <w:r w:rsidRPr="00194389">
              <w:rPr>
                <w:rFonts w:ascii="StobiSerif Regular" w:eastAsia="Times New Roman" w:hAnsi="StobiSerif Regular" w:cs="Times New Roman"/>
                <w:b/>
                <w:bCs/>
                <w:color w:val="000000"/>
                <w:sz w:val="20"/>
                <w:szCs w:val="18"/>
                <w:lang w:eastAsia="mk-MK"/>
              </w:rPr>
              <w:t xml:space="preserve">Нерегуларности пред одобрување на проект </w:t>
            </w:r>
          </w:p>
        </w:tc>
        <w:tc>
          <w:tcPr>
            <w:tcW w:w="1870"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eastAsia="mk-MK"/>
              </w:rPr>
            </w:pPr>
            <w:r w:rsidRPr="00194389">
              <w:rPr>
                <w:rFonts w:ascii="StobiSerif Regular" w:eastAsia="Times New Roman" w:hAnsi="StobiSerif Regular" w:cs="Times New Roman"/>
                <w:b/>
                <w:bCs/>
                <w:color w:val="000000"/>
                <w:sz w:val="20"/>
                <w:szCs w:val="18"/>
                <w:lang w:eastAsia="mk-MK"/>
              </w:rPr>
              <w:t xml:space="preserve">Нерегуларности пред исплата </w:t>
            </w:r>
          </w:p>
        </w:tc>
        <w:tc>
          <w:tcPr>
            <w:tcW w:w="1715"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eastAsia="mk-MK"/>
              </w:rPr>
            </w:pPr>
            <w:r w:rsidRPr="00194389">
              <w:rPr>
                <w:rFonts w:ascii="StobiSerif Regular" w:eastAsia="Times New Roman" w:hAnsi="StobiSerif Regular" w:cs="Times New Roman"/>
                <w:b/>
                <w:bCs/>
                <w:color w:val="000000"/>
                <w:sz w:val="20"/>
                <w:szCs w:val="18"/>
                <w:lang w:eastAsia="mk-MK"/>
              </w:rPr>
              <w:t>Нерегуларности по исплата</w:t>
            </w:r>
          </w:p>
        </w:tc>
        <w:tc>
          <w:tcPr>
            <w:tcW w:w="1994" w:type="dxa"/>
            <w:tcBorders>
              <w:top w:val="nil"/>
              <w:left w:val="single" w:sz="8" w:space="0" w:color="000000"/>
              <w:bottom w:val="single" w:sz="8" w:space="0" w:color="000000"/>
              <w:right w:val="single" w:sz="8" w:space="0" w:color="000000"/>
            </w:tcBorders>
            <w:shd w:val="clear" w:color="auto" w:fill="BFBFBF"/>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eastAsia="mk-MK"/>
              </w:rPr>
            </w:pPr>
            <w:r w:rsidRPr="00194389">
              <w:rPr>
                <w:rFonts w:ascii="StobiSerif Regular" w:eastAsia="Times New Roman" w:hAnsi="StobiSerif Regular" w:cs="Times New Roman"/>
                <w:b/>
                <w:bCs/>
                <w:color w:val="000000"/>
                <w:sz w:val="20"/>
                <w:szCs w:val="18"/>
                <w:lang w:eastAsia="mk-MK"/>
              </w:rPr>
              <w:t>Други случаи (не поврзани со апликантот)</w:t>
            </w:r>
          </w:p>
        </w:tc>
      </w:tr>
      <w:tr w:rsidR="00194389" w:rsidRPr="00194389" w:rsidTr="00EE5E4C">
        <w:trPr>
          <w:trHeight w:val="529"/>
          <w:tblCellSpacing w:w="0" w:type="dxa"/>
        </w:trPr>
        <w:tc>
          <w:tcPr>
            <w:tcW w:w="155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22</w:t>
            </w:r>
          </w:p>
        </w:tc>
        <w:tc>
          <w:tcPr>
            <w:tcW w:w="187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0</w:t>
            </w:r>
          </w:p>
        </w:tc>
        <w:tc>
          <w:tcPr>
            <w:tcW w:w="187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20</w:t>
            </w:r>
          </w:p>
        </w:tc>
        <w:tc>
          <w:tcPr>
            <w:tcW w:w="171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2</w:t>
            </w:r>
          </w:p>
        </w:tc>
        <w:tc>
          <w:tcPr>
            <w:tcW w:w="1994"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0</w:t>
            </w:r>
          </w:p>
        </w:tc>
      </w:tr>
    </w:tbl>
    <w:p w:rsidR="00194389" w:rsidRPr="00194389" w:rsidRDefault="00194389" w:rsidP="00194389">
      <w:pPr>
        <w:spacing w:after="0" w:line="240" w:lineRule="auto"/>
        <w:jc w:val="both"/>
        <w:rPr>
          <w:rFonts w:ascii="StobiSerif Regular" w:eastAsia="Times New Roman" w:hAnsi="StobiSerif Regular" w:cs="Times New Roman"/>
          <w:u w:val="single"/>
          <w:lang w:val="en-US" w:eastAsia="mk-MK"/>
        </w:rPr>
      </w:pPr>
      <w:r w:rsidRPr="00194389">
        <w:rPr>
          <w:rFonts w:ascii="StobiSerif Regular" w:eastAsia="Times New Roman" w:hAnsi="StobiSerif Regular" w:cs="Times New Roman"/>
          <w:lang w:val="en-US" w:eastAsia="mk-MK"/>
        </w:rPr>
        <w:t xml:space="preserve">   </w:t>
      </w:r>
      <w:r w:rsidRPr="00194389">
        <w:rPr>
          <w:rFonts w:ascii="StobiSerif Regular" w:eastAsia="Times New Roman" w:hAnsi="StobiSerif Regular" w:cs="Times New Roman"/>
          <w:u w:val="single"/>
          <w:lang w:val="en-US" w:eastAsia="mk-MK"/>
        </w:rPr>
        <w:t xml:space="preserve">Табела 2 </w:t>
      </w:r>
    </w:p>
    <w:p w:rsidR="00194389" w:rsidRPr="00194389" w:rsidRDefault="00194389" w:rsidP="00194389">
      <w:pPr>
        <w:spacing w:after="0" w:line="240" w:lineRule="auto"/>
        <w:ind w:firstLine="720"/>
        <w:jc w:val="both"/>
        <w:rPr>
          <w:rFonts w:ascii="StobiSerif Regular" w:eastAsia="Times New Roman" w:hAnsi="StobiSerif Regular" w:cs="Times New Roman"/>
          <w:u w:val="single"/>
          <w:lang w:val="en-US" w:eastAsia="mk-MK"/>
        </w:rPr>
      </w:pPr>
    </w:p>
    <w:p w:rsidR="00194389" w:rsidRPr="00194389" w:rsidRDefault="00194389" w:rsidP="00194389">
      <w:pPr>
        <w:spacing w:after="0" w:line="240" w:lineRule="auto"/>
        <w:ind w:left="357" w:hanging="357"/>
        <w:jc w:val="both"/>
        <w:rPr>
          <w:rFonts w:ascii="Times New Roman" w:eastAsia="Times New Roman" w:hAnsi="Times New Roman" w:cs="Times New Roman"/>
          <w:sz w:val="24"/>
          <w:szCs w:val="24"/>
          <w:lang w:eastAsia="mk-MK"/>
        </w:rPr>
      </w:pPr>
      <w:r w:rsidRPr="00194389">
        <w:rPr>
          <w:rFonts w:ascii="StobiSerif Regular" w:eastAsia="Times New Roman" w:hAnsi="StobiSerif Regular" w:cs="Times New Roman"/>
          <w:bCs/>
          <w:color w:val="000000"/>
          <w:sz w:val="16"/>
          <w:szCs w:val="16"/>
          <w:lang w:eastAsia="mk-MK"/>
        </w:rPr>
        <w:t>Извор; НАО</w:t>
      </w:r>
    </w:p>
    <w:tbl>
      <w:tblPr>
        <w:tblpPr w:leftFromText="180" w:rightFromText="180" w:vertAnchor="text" w:horzAnchor="margin" w:tblpXSpec="center" w:tblpY="-247"/>
        <w:tblOverlap w:val="never"/>
        <w:tblW w:w="8810"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1747"/>
        <w:gridCol w:w="2370"/>
        <w:gridCol w:w="1465"/>
        <w:gridCol w:w="1808"/>
        <w:gridCol w:w="1420"/>
      </w:tblGrid>
      <w:tr w:rsidR="00194389" w:rsidRPr="00194389" w:rsidTr="00EE5E4C">
        <w:trPr>
          <w:tblCellSpacing w:w="0" w:type="dxa"/>
        </w:trPr>
        <w:tc>
          <w:tcPr>
            <w:tcW w:w="1747" w:type="dxa"/>
            <w:vMerge w:val="restart"/>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bottom"/>
          </w:tcPr>
          <w:p w:rsidR="00194389" w:rsidRPr="00194389" w:rsidRDefault="00194389" w:rsidP="00194389">
            <w:pPr>
              <w:spacing w:before="100" w:beforeAutospacing="1" w:after="288"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Квалификација на неправилност</w:t>
            </w:r>
          </w:p>
        </w:tc>
        <w:tc>
          <w:tcPr>
            <w:tcW w:w="2370" w:type="dxa"/>
            <w:vMerge w:val="restart"/>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bottom"/>
          </w:tcPr>
          <w:p w:rsidR="00194389" w:rsidRPr="00194389" w:rsidRDefault="00194389" w:rsidP="00194389">
            <w:pPr>
              <w:spacing w:before="100" w:beforeAutospacing="1" w:after="288"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сомневање за измама</w:t>
            </w:r>
          </w:p>
        </w:tc>
        <w:tc>
          <w:tcPr>
            <w:tcW w:w="1465"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tcPr>
          <w:p w:rsidR="00194389" w:rsidRPr="00194389" w:rsidRDefault="00194389" w:rsidP="00194389">
            <w:pPr>
              <w:spacing w:before="100" w:beforeAutospacing="1" w:after="0" w:line="240" w:lineRule="auto"/>
              <w:rPr>
                <w:rFonts w:ascii="Times New Roman" w:eastAsia="Times New Roman" w:hAnsi="Times New Roman" w:cs="Times New Roman"/>
                <w:sz w:val="20"/>
                <w:szCs w:val="24"/>
                <w:lang w:eastAsia="mk-MK"/>
              </w:rPr>
            </w:pPr>
            <w:r w:rsidRPr="00194389">
              <w:rPr>
                <w:rFonts w:ascii="StobiSerif Regular" w:eastAsia="Times New Roman" w:hAnsi="StobiSerif Regular" w:cs="Times New Roman"/>
                <w:b/>
                <w:bCs/>
                <w:color w:val="000000"/>
                <w:sz w:val="20"/>
                <w:szCs w:val="18"/>
                <w:lang w:eastAsia="mk-MK"/>
              </w:rPr>
              <w:t xml:space="preserve">Отворен </w:t>
            </w:r>
          </w:p>
        </w:tc>
        <w:tc>
          <w:tcPr>
            <w:tcW w:w="1808"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eastAsia="mk-MK"/>
              </w:rPr>
            </w:pPr>
            <w:r w:rsidRPr="00194389">
              <w:rPr>
                <w:rFonts w:ascii="StobiSerif Regular" w:eastAsia="Times New Roman" w:hAnsi="StobiSerif Regular" w:cs="Times New Roman"/>
                <w:b/>
                <w:bCs/>
                <w:color w:val="000000"/>
                <w:sz w:val="20"/>
                <w:szCs w:val="18"/>
                <w:lang w:val="en-US" w:eastAsia="mk-MK"/>
              </w:rPr>
              <w:t xml:space="preserve">Затворен </w:t>
            </w:r>
          </w:p>
        </w:tc>
        <w:tc>
          <w:tcPr>
            <w:tcW w:w="1420" w:type="dxa"/>
            <w:tcBorders>
              <w:top w:val="single" w:sz="8" w:space="0" w:color="000000"/>
              <w:left w:val="single" w:sz="8" w:space="0" w:color="000000"/>
              <w:bottom w:val="single" w:sz="8" w:space="0" w:color="000000"/>
              <w:right w:val="single" w:sz="8" w:space="0" w:color="000000"/>
            </w:tcBorders>
            <w:shd w:val="clear" w:color="auto" w:fill="BFBFBF"/>
            <w:tcMar>
              <w:top w:w="29" w:type="dxa"/>
              <w:left w:w="29" w:type="dxa"/>
              <w:bottom w:w="29" w:type="dxa"/>
              <w:right w:w="29" w:type="dxa"/>
            </w:tcMa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eastAsia="mk-MK"/>
              </w:rPr>
            </w:pPr>
            <w:r w:rsidRPr="00194389">
              <w:rPr>
                <w:rFonts w:ascii="StobiSerif Regular" w:eastAsia="Times New Roman" w:hAnsi="StobiSerif Regular" w:cs="Times New Roman"/>
                <w:b/>
                <w:bCs/>
                <w:color w:val="000000"/>
                <w:sz w:val="20"/>
                <w:szCs w:val="18"/>
                <w:lang w:val="en-US" w:eastAsia="mk-MK"/>
              </w:rPr>
              <w:t xml:space="preserve">Вкупно </w:t>
            </w:r>
          </w:p>
        </w:tc>
      </w:tr>
      <w:tr w:rsidR="00194389" w:rsidRPr="00194389" w:rsidTr="00EE5E4C">
        <w:trPr>
          <w:trHeight w:val="30"/>
          <w:tblCellSpacing w:w="0" w:type="dxa"/>
        </w:trPr>
        <w:tc>
          <w:tcPr>
            <w:tcW w:w="1747" w:type="dxa"/>
            <w:vMerge/>
            <w:tcBorders>
              <w:top w:val="single" w:sz="8" w:space="0" w:color="000000"/>
              <w:left w:val="single" w:sz="8" w:space="0" w:color="000000"/>
              <w:bottom w:val="single" w:sz="8" w:space="0" w:color="000000"/>
              <w:right w:val="nil"/>
            </w:tcBorders>
            <w:shd w:val="clear" w:color="auto" w:fill="BFBFBF"/>
            <w:vAlign w:val="center"/>
          </w:tcPr>
          <w:p w:rsidR="00194389" w:rsidRPr="00194389" w:rsidRDefault="00194389" w:rsidP="00194389">
            <w:pPr>
              <w:spacing w:after="0" w:line="240" w:lineRule="auto"/>
              <w:jc w:val="center"/>
              <w:rPr>
                <w:rFonts w:ascii="Times New Roman" w:eastAsia="Times New Roman" w:hAnsi="Times New Roman" w:cs="Times New Roman"/>
                <w:sz w:val="20"/>
                <w:szCs w:val="24"/>
                <w:lang w:val="en-US" w:eastAsia="mk-MK"/>
              </w:rPr>
            </w:pPr>
          </w:p>
        </w:tc>
        <w:tc>
          <w:tcPr>
            <w:tcW w:w="2370" w:type="dxa"/>
            <w:vMerge/>
            <w:tcBorders>
              <w:top w:val="single" w:sz="8" w:space="0" w:color="000000"/>
              <w:left w:val="single" w:sz="8" w:space="0" w:color="000000"/>
              <w:bottom w:val="single" w:sz="8" w:space="0" w:color="000000"/>
              <w:right w:val="nil"/>
            </w:tcBorders>
            <w:shd w:val="clear" w:color="auto" w:fill="BFBFBF"/>
            <w:vAlign w:val="center"/>
          </w:tcPr>
          <w:p w:rsidR="00194389" w:rsidRPr="00194389" w:rsidRDefault="00194389" w:rsidP="00194389">
            <w:pPr>
              <w:spacing w:after="0" w:line="240" w:lineRule="auto"/>
              <w:jc w:val="center"/>
              <w:rPr>
                <w:rFonts w:ascii="Times New Roman" w:eastAsia="Times New Roman" w:hAnsi="Times New Roman" w:cs="Times New Roman"/>
                <w:sz w:val="20"/>
                <w:szCs w:val="24"/>
                <w:lang w:val="en-US" w:eastAsia="mk-MK"/>
              </w:rPr>
            </w:pPr>
          </w:p>
        </w:tc>
        <w:tc>
          <w:tcPr>
            <w:tcW w:w="146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Times New Roman" w:eastAsia="Times New Roman" w:hAnsi="Times New Roman" w:cs="Times New Roman"/>
                <w:sz w:val="20"/>
                <w:szCs w:val="24"/>
                <w:lang w:val="en-US" w:eastAsia="mk-MK"/>
              </w:rPr>
              <w:t>17</w:t>
            </w:r>
          </w:p>
        </w:tc>
        <w:tc>
          <w:tcPr>
            <w:tcW w:w="1808"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0</w:t>
            </w:r>
          </w:p>
        </w:tc>
        <w:tc>
          <w:tcPr>
            <w:tcW w:w="1420" w:type="dxa"/>
            <w:vMerge w:val="restart"/>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22</w:t>
            </w:r>
          </w:p>
        </w:tc>
      </w:tr>
      <w:tr w:rsidR="00194389" w:rsidRPr="00194389" w:rsidTr="00EE5E4C">
        <w:trPr>
          <w:trHeight w:val="30"/>
          <w:tblCellSpacing w:w="0" w:type="dxa"/>
        </w:trPr>
        <w:tc>
          <w:tcPr>
            <w:tcW w:w="1747" w:type="dxa"/>
            <w:vMerge/>
            <w:tcBorders>
              <w:top w:val="single" w:sz="8" w:space="0" w:color="000000"/>
              <w:left w:val="single" w:sz="8" w:space="0" w:color="000000"/>
              <w:bottom w:val="single" w:sz="8" w:space="0" w:color="000000"/>
              <w:right w:val="nil"/>
            </w:tcBorders>
            <w:shd w:val="clear" w:color="auto" w:fill="BFBFBF"/>
            <w:vAlign w:val="center"/>
          </w:tcPr>
          <w:p w:rsidR="00194389" w:rsidRPr="00194389" w:rsidRDefault="00194389" w:rsidP="00194389">
            <w:pPr>
              <w:spacing w:after="0" w:line="240" w:lineRule="auto"/>
              <w:jc w:val="center"/>
              <w:rPr>
                <w:rFonts w:ascii="Times New Roman" w:eastAsia="Times New Roman" w:hAnsi="Times New Roman" w:cs="Times New Roman"/>
                <w:sz w:val="20"/>
                <w:szCs w:val="24"/>
                <w:lang w:val="en-US" w:eastAsia="mk-MK"/>
              </w:rPr>
            </w:pPr>
          </w:p>
        </w:tc>
        <w:tc>
          <w:tcPr>
            <w:tcW w:w="2370"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eastAsia="mk-MK"/>
              </w:rPr>
            </w:pPr>
            <w:r w:rsidRPr="00194389">
              <w:rPr>
                <w:rFonts w:ascii="StobiSerif Regular" w:eastAsia="Times New Roman" w:hAnsi="StobiSerif Regular" w:cs="Times New Roman"/>
                <w:color w:val="000000"/>
                <w:sz w:val="20"/>
                <w:szCs w:val="18"/>
                <w:lang w:val="en-US" w:eastAsia="mk-MK"/>
              </w:rPr>
              <w:t xml:space="preserve">Неправилност </w:t>
            </w:r>
          </w:p>
        </w:tc>
        <w:tc>
          <w:tcPr>
            <w:tcW w:w="146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5</w:t>
            </w:r>
          </w:p>
        </w:tc>
        <w:tc>
          <w:tcPr>
            <w:tcW w:w="1808"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0</w:t>
            </w:r>
          </w:p>
        </w:tc>
        <w:tc>
          <w:tcPr>
            <w:tcW w:w="1420" w:type="dxa"/>
            <w:vMerge/>
            <w:tcBorders>
              <w:top w:val="nil"/>
              <w:left w:val="single" w:sz="8" w:space="0" w:color="000000"/>
              <w:bottom w:val="single" w:sz="8" w:space="0" w:color="000000"/>
              <w:right w:val="single" w:sz="8" w:space="0" w:color="000000"/>
            </w:tcBorders>
            <w:vAlign w:val="center"/>
          </w:tcPr>
          <w:p w:rsidR="00194389" w:rsidRPr="00194389" w:rsidRDefault="00194389" w:rsidP="00194389">
            <w:pPr>
              <w:spacing w:after="0" w:line="240" w:lineRule="auto"/>
              <w:jc w:val="center"/>
              <w:rPr>
                <w:rFonts w:ascii="Times New Roman" w:eastAsia="Times New Roman" w:hAnsi="Times New Roman" w:cs="Times New Roman"/>
                <w:sz w:val="20"/>
                <w:szCs w:val="24"/>
                <w:lang w:val="en-US" w:eastAsia="mk-MK"/>
              </w:rPr>
            </w:pPr>
          </w:p>
        </w:tc>
      </w:tr>
      <w:tr w:rsidR="00194389" w:rsidRPr="00194389" w:rsidTr="00EE5E4C">
        <w:trPr>
          <w:tblCellSpacing w:w="0" w:type="dxa"/>
        </w:trPr>
        <w:tc>
          <w:tcPr>
            <w:tcW w:w="1747" w:type="dxa"/>
            <w:vMerge w:val="restart"/>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4"/>
                <w:lang w:val="en-US" w:eastAsia="mk-MK"/>
              </w:rPr>
            </w:pPr>
            <w:r w:rsidRPr="00194389">
              <w:rPr>
                <w:rFonts w:ascii="StobiSerif Regular" w:eastAsia="Times New Roman" w:hAnsi="StobiSerif Regular" w:cs="Times New Roman"/>
                <w:color w:val="000000"/>
                <w:sz w:val="20"/>
                <w:szCs w:val="18"/>
                <w:lang w:val="en-US" w:eastAsia="mk-MK"/>
              </w:rPr>
              <w:t>Финансиско влијание</w:t>
            </w:r>
          </w:p>
        </w:tc>
        <w:tc>
          <w:tcPr>
            <w:tcW w:w="2370"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0"/>
                <w:lang w:eastAsia="mk-MK"/>
              </w:rPr>
            </w:pPr>
            <w:r w:rsidRPr="00194389">
              <w:rPr>
                <w:rFonts w:ascii="StobiSerif Regular" w:eastAsia="Times New Roman" w:hAnsi="StobiSerif Regular" w:cs="Times New Roman"/>
                <w:color w:val="000000"/>
                <w:sz w:val="20"/>
                <w:szCs w:val="20"/>
                <w:lang w:eastAsia="mk-MK"/>
              </w:rPr>
              <w:t>Со финансиско влијание</w:t>
            </w:r>
          </w:p>
        </w:tc>
        <w:tc>
          <w:tcPr>
            <w:tcW w:w="146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color w:val="000000"/>
                <w:sz w:val="20"/>
                <w:szCs w:val="20"/>
                <w:lang w:val="en-US" w:eastAsia="mk-MK"/>
              </w:rPr>
              <w:t>2</w:t>
            </w:r>
          </w:p>
        </w:tc>
        <w:tc>
          <w:tcPr>
            <w:tcW w:w="1808"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color w:val="000000"/>
                <w:sz w:val="20"/>
                <w:szCs w:val="20"/>
                <w:lang w:val="en-US" w:eastAsia="mk-MK"/>
              </w:rPr>
              <w:t>0</w:t>
            </w:r>
          </w:p>
        </w:tc>
        <w:tc>
          <w:tcPr>
            <w:tcW w:w="1420" w:type="dxa"/>
            <w:vMerge w:val="restart"/>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color w:val="000000"/>
                <w:sz w:val="20"/>
                <w:szCs w:val="20"/>
                <w:lang w:val="en-US" w:eastAsia="mk-MK"/>
              </w:rPr>
              <w:t>22</w:t>
            </w:r>
          </w:p>
        </w:tc>
      </w:tr>
      <w:tr w:rsidR="00194389" w:rsidRPr="00194389" w:rsidTr="00EE5E4C">
        <w:trPr>
          <w:trHeight w:val="517"/>
          <w:tblCellSpacing w:w="0" w:type="dxa"/>
        </w:trPr>
        <w:tc>
          <w:tcPr>
            <w:tcW w:w="1747" w:type="dxa"/>
            <w:vMerge/>
            <w:tcBorders>
              <w:top w:val="nil"/>
              <w:left w:val="single" w:sz="8" w:space="0" w:color="000000"/>
              <w:bottom w:val="single" w:sz="8" w:space="0" w:color="000000"/>
              <w:right w:val="nil"/>
            </w:tcBorders>
            <w:shd w:val="clear" w:color="auto" w:fill="BFBFBF"/>
            <w:vAlign w:val="center"/>
          </w:tcPr>
          <w:p w:rsidR="00194389" w:rsidRPr="00194389" w:rsidRDefault="00194389" w:rsidP="00194389">
            <w:pPr>
              <w:spacing w:after="0" w:line="240" w:lineRule="auto"/>
              <w:jc w:val="both"/>
              <w:rPr>
                <w:rFonts w:ascii="Times New Roman" w:eastAsia="Times New Roman" w:hAnsi="Times New Roman" w:cs="Times New Roman"/>
                <w:sz w:val="24"/>
                <w:szCs w:val="24"/>
                <w:lang w:val="en-US" w:eastAsia="mk-MK"/>
              </w:rPr>
            </w:pPr>
          </w:p>
        </w:tc>
        <w:tc>
          <w:tcPr>
            <w:tcW w:w="2370" w:type="dxa"/>
            <w:tcBorders>
              <w:top w:val="nil"/>
              <w:left w:val="single" w:sz="8" w:space="0" w:color="000000"/>
              <w:bottom w:val="single" w:sz="8" w:space="0" w:color="000000"/>
              <w:right w:val="nil"/>
            </w:tcBorders>
            <w:shd w:val="clear" w:color="auto" w:fill="BFBFBF"/>
            <w:tcMar>
              <w:top w:w="0" w:type="dxa"/>
              <w:left w:w="29" w:type="dxa"/>
              <w:bottom w:w="29" w:type="dxa"/>
              <w:right w:w="0" w:type="dxa"/>
            </w:tcMar>
            <w:vAlign w:val="center"/>
          </w:tcPr>
          <w:p w:rsidR="00194389" w:rsidRPr="00194389" w:rsidRDefault="00194389" w:rsidP="00194389">
            <w:pPr>
              <w:spacing w:before="100" w:beforeAutospacing="1" w:after="0" w:line="240" w:lineRule="auto"/>
              <w:jc w:val="both"/>
              <w:rPr>
                <w:rFonts w:ascii="Times New Roman" w:eastAsia="Times New Roman" w:hAnsi="Times New Roman" w:cs="Times New Roman"/>
                <w:sz w:val="20"/>
                <w:szCs w:val="20"/>
                <w:lang w:eastAsia="mk-MK"/>
              </w:rPr>
            </w:pPr>
            <w:r w:rsidRPr="00194389">
              <w:rPr>
                <w:rFonts w:ascii="StobiSerif Regular" w:eastAsia="Times New Roman" w:hAnsi="StobiSerif Regular" w:cs="Times New Roman"/>
                <w:color w:val="000000"/>
                <w:sz w:val="20"/>
                <w:szCs w:val="20"/>
                <w:lang w:eastAsia="mk-MK"/>
              </w:rPr>
              <w:t>Без финансиско влијание</w:t>
            </w:r>
          </w:p>
        </w:tc>
        <w:tc>
          <w:tcPr>
            <w:tcW w:w="146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color w:val="000000"/>
                <w:sz w:val="20"/>
                <w:szCs w:val="20"/>
                <w:lang w:val="en-US" w:eastAsia="mk-MK"/>
              </w:rPr>
              <w:t>20</w:t>
            </w:r>
          </w:p>
        </w:tc>
        <w:tc>
          <w:tcPr>
            <w:tcW w:w="1808"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color w:val="000000"/>
                <w:sz w:val="20"/>
                <w:szCs w:val="20"/>
                <w:lang w:val="en-US" w:eastAsia="mk-MK"/>
              </w:rPr>
              <w:t>0</w:t>
            </w:r>
          </w:p>
        </w:tc>
        <w:tc>
          <w:tcPr>
            <w:tcW w:w="1420" w:type="dxa"/>
            <w:vMerge/>
            <w:tcBorders>
              <w:top w:val="nil"/>
              <w:left w:val="single" w:sz="8" w:space="0" w:color="000000"/>
              <w:bottom w:val="single" w:sz="8" w:space="0" w:color="000000"/>
              <w:right w:val="single" w:sz="8" w:space="0" w:color="000000"/>
            </w:tcBorders>
            <w:vAlign w:val="center"/>
          </w:tcPr>
          <w:p w:rsidR="00194389" w:rsidRPr="00194389" w:rsidRDefault="00194389" w:rsidP="00194389">
            <w:pPr>
              <w:spacing w:after="0" w:line="240" w:lineRule="auto"/>
              <w:jc w:val="center"/>
              <w:rPr>
                <w:rFonts w:ascii="Times New Roman" w:eastAsia="Times New Roman" w:hAnsi="Times New Roman" w:cs="Times New Roman"/>
                <w:sz w:val="20"/>
                <w:szCs w:val="20"/>
                <w:lang w:val="en-US" w:eastAsia="mk-MK"/>
              </w:rPr>
            </w:pPr>
          </w:p>
        </w:tc>
      </w:tr>
    </w:tbl>
    <w:p w:rsidR="00194389" w:rsidRPr="00194389" w:rsidRDefault="00194389" w:rsidP="00194389">
      <w:pPr>
        <w:spacing w:after="0" w:line="240" w:lineRule="auto"/>
        <w:rPr>
          <w:rFonts w:ascii="StobiSerif Regular" w:hAnsi="StobiSerif Regular"/>
          <w:lang w:val="en-US"/>
        </w:rPr>
      </w:pPr>
    </w:p>
    <w:p w:rsidR="00194389" w:rsidRPr="00194389" w:rsidRDefault="00194389" w:rsidP="00194389">
      <w:pPr>
        <w:spacing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eastAsia="mk-MK"/>
        </w:rPr>
        <w:t xml:space="preserve">На </w:t>
      </w:r>
      <w:r w:rsidRPr="00194389">
        <w:rPr>
          <w:rFonts w:ascii="StobiSerif Regular" w:eastAsia="Times New Roman" w:hAnsi="StobiSerif Regular" w:cs="Times New Roman"/>
          <w:lang w:val="en-US" w:eastAsia="mk-MK"/>
        </w:rPr>
        <w:t>пријавени</w:t>
      </w:r>
      <w:r w:rsidRPr="00194389">
        <w:rPr>
          <w:rFonts w:ascii="StobiSerif Regular" w:eastAsia="Times New Roman" w:hAnsi="StobiSerif Regular" w:cs="Times New Roman"/>
          <w:lang w:eastAsia="mk-MK"/>
        </w:rPr>
        <w:t>те нерегуларности</w:t>
      </w:r>
      <w:r w:rsidRPr="00194389">
        <w:rPr>
          <w:rFonts w:ascii="StobiSerif Regular" w:eastAsia="Times New Roman" w:hAnsi="StobiSerif Regular" w:cs="Times New Roman"/>
          <w:lang w:val="en-US" w:eastAsia="mk-MK"/>
        </w:rPr>
        <w:t xml:space="preserve"> од претходните години се врши мониторинг</w:t>
      </w:r>
      <w:r w:rsidRPr="00194389">
        <w:rPr>
          <w:rFonts w:ascii="StobiSerif Regular" w:eastAsia="Times New Roman" w:hAnsi="StobiSerif Regular" w:cs="Times New Roman"/>
          <w:lang w:eastAsia="mk-MK"/>
        </w:rPr>
        <w:t xml:space="preserve"> од страна на </w:t>
      </w:r>
      <w:r w:rsidRPr="00194389">
        <w:rPr>
          <w:rFonts w:ascii="StobiSerif Regular" w:eastAsia="Times New Roman" w:hAnsi="StobiSerif Regular" w:cs="Times New Roman"/>
          <w:lang w:val="en-US" w:eastAsia="mk-MK"/>
        </w:rPr>
        <w:t>ИПАРД Агенцијата и НАО / МС. Ажурирани</w:t>
      </w:r>
      <w:r w:rsidRPr="00194389">
        <w:rPr>
          <w:rFonts w:ascii="StobiSerif Regular" w:eastAsia="Times New Roman" w:hAnsi="StobiSerif Regular" w:cs="Times New Roman"/>
          <w:lang w:eastAsia="mk-MK"/>
        </w:rPr>
        <w:t>те</w:t>
      </w:r>
      <w:r w:rsidRPr="00194389">
        <w:rPr>
          <w:rFonts w:ascii="StobiSerif Regular" w:eastAsia="Times New Roman" w:hAnsi="StobiSerif Regular" w:cs="Times New Roman"/>
          <w:lang w:val="en-US" w:eastAsia="mk-MK"/>
        </w:rPr>
        <w:t xml:space="preserve"> извештаи за неправилности се подготвени и </w:t>
      </w:r>
      <w:r w:rsidRPr="00194389">
        <w:rPr>
          <w:rFonts w:ascii="StobiSerif Regular" w:eastAsia="Times New Roman" w:hAnsi="StobiSerif Regular" w:cs="Times New Roman"/>
          <w:lang w:eastAsia="mk-MK"/>
        </w:rPr>
        <w:t>соодветни</w:t>
      </w:r>
      <w:r w:rsidRPr="00194389">
        <w:rPr>
          <w:rFonts w:ascii="StobiSerif Regular" w:eastAsia="Times New Roman" w:hAnsi="StobiSerif Regular" w:cs="Times New Roman"/>
          <w:lang w:val="en-US" w:eastAsia="mk-MK"/>
        </w:rPr>
        <w:t xml:space="preserve"> доставени до надлежните органи.</w:t>
      </w:r>
    </w:p>
    <w:p w:rsidR="00194389" w:rsidRPr="00194389" w:rsidRDefault="00194389" w:rsidP="003D3D92">
      <w:pPr>
        <w:spacing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Панели</w:t>
      </w:r>
      <w:r w:rsidRPr="00194389">
        <w:rPr>
          <w:rFonts w:ascii="StobiSerif Regular" w:eastAsia="Times New Roman" w:hAnsi="StobiSerif Regular" w:cs="Times New Roman"/>
          <w:lang w:eastAsia="mk-MK"/>
        </w:rPr>
        <w:t>те за</w:t>
      </w:r>
      <w:r w:rsidRPr="00194389">
        <w:rPr>
          <w:rFonts w:ascii="StobiSerif Regular" w:eastAsia="Times New Roman" w:hAnsi="StobiSerif Regular" w:cs="Times New Roman"/>
          <w:lang w:val="en-US" w:eastAsia="mk-MK"/>
        </w:rPr>
        <w:t xml:space="preserve"> неправилност</w:t>
      </w:r>
      <w:r w:rsidRPr="00194389">
        <w:rPr>
          <w:rFonts w:ascii="StobiSerif Regular" w:eastAsia="Times New Roman" w:hAnsi="StobiSerif Regular" w:cs="Times New Roman"/>
          <w:lang w:eastAsia="mk-MK"/>
        </w:rPr>
        <w:t>и</w:t>
      </w:r>
      <w:r w:rsidRPr="00194389">
        <w:rPr>
          <w:rFonts w:ascii="StobiSerif Regular" w:eastAsia="Times New Roman" w:hAnsi="StobiSerif Regular" w:cs="Times New Roman"/>
          <w:lang w:val="en-US" w:eastAsia="mk-MK"/>
        </w:rPr>
        <w:t xml:space="preserve"> се одржува</w:t>
      </w:r>
      <w:r w:rsidRPr="00194389">
        <w:rPr>
          <w:rFonts w:ascii="StobiSerif Regular" w:eastAsia="Times New Roman" w:hAnsi="StobiSerif Regular" w:cs="Times New Roman"/>
          <w:lang w:eastAsia="mk-MK"/>
        </w:rPr>
        <w:t>ат</w:t>
      </w:r>
      <w:r w:rsidRPr="00194389">
        <w:rPr>
          <w:rFonts w:ascii="StobiSerif Regular" w:eastAsia="Times New Roman" w:hAnsi="StobiSerif Regular" w:cs="Times New Roman"/>
          <w:lang w:val="en-US" w:eastAsia="mk-MK"/>
        </w:rPr>
        <w:t xml:space="preserve"> пред секое квартално поднесување на Извештаи </w:t>
      </w:r>
      <w:r w:rsidRPr="00194389">
        <w:rPr>
          <w:rFonts w:ascii="StobiSerif Regular" w:eastAsia="Times New Roman" w:hAnsi="StobiSerif Regular" w:cs="Times New Roman"/>
          <w:lang w:eastAsia="mk-MK"/>
        </w:rPr>
        <w:t xml:space="preserve">за </w:t>
      </w:r>
      <w:r w:rsidRPr="00194389">
        <w:rPr>
          <w:rFonts w:ascii="StobiSerif Regular" w:eastAsia="Times New Roman" w:hAnsi="StobiSerif Regular" w:cs="Times New Roman"/>
          <w:lang w:val="en-US" w:eastAsia="mk-MK"/>
        </w:rPr>
        <w:t>неправилности до ЕК.</w:t>
      </w:r>
    </w:p>
    <w:p w:rsidR="00194389" w:rsidRPr="00194389" w:rsidRDefault="00194389" w:rsidP="003D3D92">
      <w:pPr>
        <w:spacing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Покрај тоа, со поддршка на ИПА Твининг</w:t>
      </w:r>
      <w:r w:rsidRPr="00194389">
        <w:rPr>
          <w:rFonts w:ascii="StobiSerif Regular" w:eastAsia="Times New Roman" w:hAnsi="StobiSerif Regular" w:cs="Times New Roman"/>
          <w:lang w:eastAsia="mk-MK"/>
        </w:rPr>
        <w:t xml:space="preserve"> </w:t>
      </w:r>
      <w:r w:rsidRPr="00194389">
        <w:rPr>
          <w:rFonts w:ascii="StobiSerif Regular" w:eastAsia="Times New Roman" w:hAnsi="StobiSerif Regular" w:cs="Times New Roman"/>
          <w:lang w:val="en-US" w:eastAsia="mk-MK"/>
        </w:rPr>
        <w:t>Light проектот "Поддршка за ефикасна борба против измама и неправилности во фондовите на ЕУ" беше изготвен</w:t>
      </w:r>
      <w:r w:rsidRPr="00194389">
        <w:rPr>
          <w:rFonts w:ascii="StobiSerif Regular" w:eastAsia="Times New Roman" w:hAnsi="StobiSerif Regular" w:cs="Times New Roman"/>
          <w:lang w:eastAsia="mk-MK"/>
        </w:rPr>
        <w:t>а</w:t>
      </w:r>
      <w:r w:rsidRPr="00194389">
        <w:rPr>
          <w:rFonts w:ascii="StobiSerif Regular" w:eastAsia="Times New Roman" w:hAnsi="StobiSerif Regular" w:cs="Times New Roman"/>
          <w:lang w:val="en-US" w:eastAsia="mk-MK"/>
        </w:rPr>
        <w:t xml:space="preserve"> Националната стратегија за заштита на финансиските интереси на ЕУ во Република Македонија за периодот 2017-2020. Изготвената нацрт Стратегија ги дефинира целите и мерките кои ќе се преземаат во области поврзани со спречување, откривање, истрага и санкции за неправилности и измами, како и обновување на фондовите на ЕУ за ЕЗ. Стратегијата ја дефинира улогата на институциите во врска со заштитата на финансиските интереси на Европската унија. </w:t>
      </w:r>
      <w:r w:rsidRPr="00194389">
        <w:rPr>
          <w:rFonts w:ascii="StobiSerif Regular" w:eastAsia="Times New Roman" w:hAnsi="StobiSerif Regular" w:cs="Times New Roman"/>
          <w:lang w:eastAsia="mk-MK"/>
        </w:rPr>
        <w:t>Нацрт</w:t>
      </w:r>
      <w:r w:rsidRPr="00194389">
        <w:rPr>
          <w:rFonts w:ascii="StobiSerif Regular" w:eastAsia="Times New Roman" w:hAnsi="StobiSerif Regular" w:cs="Times New Roman"/>
          <w:lang w:val="en-US" w:eastAsia="mk-MK"/>
        </w:rPr>
        <w:t xml:space="preserve"> стратегија</w:t>
      </w:r>
      <w:r w:rsidRPr="00194389">
        <w:rPr>
          <w:rFonts w:ascii="StobiSerif Regular" w:eastAsia="Times New Roman" w:hAnsi="StobiSerif Regular" w:cs="Times New Roman"/>
          <w:lang w:eastAsia="mk-MK"/>
        </w:rPr>
        <w:t>та</w:t>
      </w:r>
      <w:r w:rsidRPr="00194389">
        <w:rPr>
          <w:rFonts w:ascii="StobiSerif Regular" w:eastAsia="Times New Roman" w:hAnsi="StobiSerif Regular" w:cs="Times New Roman"/>
          <w:lang w:val="en-US" w:eastAsia="mk-MK"/>
        </w:rPr>
        <w:t xml:space="preserve"> е финализиран</w:t>
      </w:r>
      <w:r w:rsidRPr="00194389">
        <w:rPr>
          <w:rFonts w:ascii="StobiSerif Regular" w:eastAsia="Times New Roman" w:hAnsi="StobiSerif Regular" w:cs="Times New Roman"/>
          <w:lang w:eastAsia="mk-MK"/>
        </w:rPr>
        <w:t>а</w:t>
      </w:r>
      <w:r w:rsidRPr="00194389">
        <w:rPr>
          <w:rFonts w:ascii="StobiSerif Regular" w:eastAsia="Times New Roman" w:hAnsi="StobiSerif Regular" w:cs="Times New Roman"/>
          <w:lang w:val="en-US" w:eastAsia="mk-MK"/>
        </w:rPr>
        <w:t xml:space="preserve"> и е во фаза на консултации помеѓу услугите.</w:t>
      </w:r>
    </w:p>
    <w:p w:rsidR="00194389" w:rsidRPr="00194389" w:rsidRDefault="00194389" w:rsidP="00194389">
      <w:pPr>
        <w:spacing w:line="240" w:lineRule="auto"/>
        <w:ind w:firstLine="284"/>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Во однос </w:t>
      </w:r>
      <w:r w:rsidRPr="00050260">
        <w:rPr>
          <w:rFonts w:ascii="StobiSerif Regular" w:eastAsia="Times New Roman" w:hAnsi="StobiSerif Regular" w:cs="Times New Roman"/>
          <w:lang w:val="en-US" w:eastAsia="mk-MK"/>
        </w:rPr>
        <w:t xml:space="preserve">на </w:t>
      </w:r>
      <w:r w:rsidR="00050260" w:rsidRPr="00050260">
        <w:rPr>
          <w:rFonts w:ascii="StobiSerif Regular" w:eastAsia="Times New Roman" w:hAnsi="StobiSerif Regular" w:cs="Times New Roman"/>
          <w:lang w:eastAsia="mk-MK"/>
        </w:rPr>
        <w:t>Листа на должници за</w:t>
      </w:r>
      <w:r w:rsidRPr="00050260">
        <w:rPr>
          <w:rFonts w:ascii="StobiSerif Regular" w:eastAsia="Times New Roman" w:hAnsi="StobiSerif Regular" w:cs="Times New Roman"/>
          <w:lang w:val="en-US" w:eastAsia="mk-MK"/>
        </w:rPr>
        <w:t xml:space="preserve"> 2016, т</w:t>
      </w:r>
      <w:r w:rsidRPr="00194389">
        <w:rPr>
          <w:rFonts w:ascii="StobiSerif Regular" w:eastAsia="Times New Roman" w:hAnsi="StobiSerif Regular" w:cs="Times New Roman"/>
          <w:lang w:val="en-US" w:eastAsia="mk-MK"/>
        </w:rPr>
        <w:t xml:space="preserve">ри (3) Одлуки за поврат на средствата за преплатување се усвоени од страна на ИПАРД Агенцијата и постапката за поврат на средствата (главница и камата) е завршена во сите случаи. За еден случај е применета </w:t>
      </w:r>
      <w:r w:rsidRPr="00194389">
        <w:rPr>
          <w:rFonts w:ascii="StobiSerif Regular" w:eastAsia="Times New Roman" w:hAnsi="StobiSerif Regular" w:cs="Times New Roman"/>
          <w:lang w:eastAsia="mk-MK"/>
        </w:rPr>
        <w:t>пишана процедура</w:t>
      </w:r>
      <w:r w:rsidRPr="00194389">
        <w:rPr>
          <w:rFonts w:ascii="StobiSerif Regular" w:eastAsia="Times New Roman" w:hAnsi="StobiSerif Regular" w:cs="Times New Roman"/>
          <w:lang w:val="en-US" w:eastAsia="mk-MK"/>
        </w:rPr>
        <w:t xml:space="preserve"> и вкупниот износ, на ИПАРД</w:t>
      </w:r>
      <w:r w:rsidRPr="00194389">
        <w:rPr>
          <w:rFonts w:ascii="StobiSerif Regular" w:eastAsia="Times New Roman" w:hAnsi="StobiSerif Regular" w:cs="Times New Roman"/>
          <w:lang w:eastAsia="mk-MK"/>
        </w:rPr>
        <w:t xml:space="preserve"> сметката беше покриен со</w:t>
      </w:r>
      <w:r w:rsidRPr="00194389">
        <w:rPr>
          <w:rFonts w:ascii="StobiSerif Regular" w:eastAsia="Times New Roman" w:hAnsi="StobiSerif Regular" w:cs="Times New Roman"/>
          <w:lang w:val="en-US" w:eastAsia="mk-MK"/>
        </w:rPr>
        <w:t xml:space="preserve"> буџетот на ИПАРД Агенцијата.</w:t>
      </w:r>
    </w:p>
    <w:p w:rsidR="00194389" w:rsidRPr="00194389" w:rsidRDefault="00194389" w:rsidP="00194389">
      <w:pPr>
        <w:spacing w:line="240" w:lineRule="auto"/>
        <w:ind w:firstLine="284"/>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Во однос на должниците </w:t>
      </w:r>
      <w:r w:rsidRPr="00194389">
        <w:rPr>
          <w:rFonts w:ascii="StobiSerif Regular" w:eastAsia="Times New Roman" w:hAnsi="StobiSerif Regular" w:cs="Times New Roman"/>
          <w:lang w:eastAsia="mk-MK"/>
        </w:rPr>
        <w:t>евидентирани</w:t>
      </w:r>
      <w:r w:rsidRPr="00194389">
        <w:rPr>
          <w:rFonts w:ascii="StobiSerif Regular" w:eastAsia="Times New Roman" w:hAnsi="StobiSerif Regular" w:cs="Times New Roman"/>
          <w:lang w:val="en-US" w:eastAsia="mk-MK"/>
        </w:rPr>
        <w:t xml:space="preserve"> за ИПАРД проекти и статусот на наплата на долгови, ИПАРД Агенцијата испраќа </w:t>
      </w:r>
      <w:r w:rsidR="00050260">
        <w:rPr>
          <w:rFonts w:ascii="StobiSerif Regular" w:eastAsia="Times New Roman" w:hAnsi="StobiSerif Regular" w:cs="Times New Roman"/>
          <w:lang w:eastAsia="mk-MK"/>
        </w:rPr>
        <w:t>Листа на должници</w:t>
      </w:r>
      <w:r w:rsidRPr="00194389">
        <w:rPr>
          <w:rFonts w:ascii="StobiSerif Regular" w:eastAsia="Times New Roman" w:hAnsi="StobiSerif Regular" w:cs="Times New Roman"/>
          <w:lang w:val="en-US" w:eastAsia="mk-MK"/>
        </w:rPr>
        <w:t xml:space="preserve"> до НАО / МС на квартална основа. Кумулативните </w:t>
      </w:r>
      <w:r w:rsidR="00050260">
        <w:rPr>
          <w:rFonts w:ascii="StobiSerif Regular" w:eastAsia="Times New Roman" w:hAnsi="StobiSerif Regular" w:cs="Times New Roman"/>
          <w:lang w:eastAsia="mk-MK"/>
        </w:rPr>
        <w:t>податоци</w:t>
      </w:r>
      <w:r w:rsidRPr="00194389">
        <w:rPr>
          <w:rFonts w:ascii="StobiSerif Regular" w:eastAsia="Times New Roman" w:hAnsi="StobiSerif Regular" w:cs="Times New Roman"/>
          <w:lang w:val="en-US" w:eastAsia="mk-MK"/>
        </w:rPr>
        <w:t xml:space="preserve"> на </w:t>
      </w:r>
      <w:r w:rsidR="00050260" w:rsidRPr="00050260">
        <w:rPr>
          <w:rFonts w:ascii="StobiSerif Regular" w:eastAsia="Times New Roman" w:hAnsi="StobiSerif Regular" w:cs="Times New Roman"/>
          <w:lang w:val="en-US" w:eastAsia="mk-MK"/>
        </w:rPr>
        <w:t>Листа на должници</w:t>
      </w:r>
      <w:r w:rsidRPr="00194389">
        <w:rPr>
          <w:rFonts w:ascii="StobiSerif Regular" w:eastAsia="Times New Roman" w:hAnsi="StobiSerif Regular" w:cs="Times New Roman"/>
          <w:lang w:val="en-US" w:eastAsia="mk-MK"/>
        </w:rPr>
        <w:t xml:space="preserve">, со датум 31.12.2016 </w:t>
      </w:r>
      <w:r w:rsidR="00050260">
        <w:rPr>
          <w:rFonts w:ascii="StobiSerif Regular" w:eastAsia="Times New Roman" w:hAnsi="StobiSerif Regular" w:cs="Times New Roman"/>
          <w:lang w:eastAsia="mk-MK"/>
        </w:rPr>
        <w:t>со краен датум</w:t>
      </w:r>
      <w:r w:rsidRPr="00194389">
        <w:rPr>
          <w:rFonts w:ascii="StobiSerif Regular" w:eastAsia="Times New Roman" w:hAnsi="StobiSerif Regular" w:cs="Times New Roman"/>
          <w:lang w:val="en-US" w:eastAsia="mk-MK"/>
        </w:rPr>
        <w:t xml:space="preserve"> се дваесет и еден (21). </w:t>
      </w:r>
      <w:r w:rsidRPr="00194389">
        <w:rPr>
          <w:rFonts w:ascii="StobiSerif Regular" w:eastAsia="Times New Roman" w:hAnsi="StobiSerif Regular" w:cs="Times New Roman"/>
          <w:lang w:eastAsia="mk-MK"/>
        </w:rPr>
        <w:t xml:space="preserve">Усвоени се </w:t>
      </w:r>
      <w:r w:rsidRPr="00194389">
        <w:rPr>
          <w:rFonts w:ascii="StobiSerif Regular" w:eastAsia="Times New Roman" w:hAnsi="StobiSerif Regular" w:cs="Times New Roman"/>
          <w:lang w:val="en-US" w:eastAsia="mk-MK"/>
        </w:rPr>
        <w:t xml:space="preserve">Одлуки за поврат на средствата од </w:t>
      </w:r>
      <w:r w:rsidRPr="00194389">
        <w:rPr>
          <w:rFonts w:ascii="StobiSerif Regular" w:eastAsia="Times New Roman" w:hAnsi="StobiSerif Regular" w:cs="Times New Roman"/>
          <w:lang w:eastAsia="mk-MK"/>
        </w:rPr>
        <w:t xml:space="preserve">страна на </w:t>
      </w:r>
      <w:r w:rsidRPr="00194389">
        <w:rPr>
          <w:rFonts w:ascii="StobiSerif Regular" w:eastAsia="Times New Roman" w:hAnsi="StobiSerif Regular" w:cs="Times New Roman"/>
          <w:lang w:val="en-US" w:eastAsia="mk-MK"/>
        </w:rPr>
        <w:t>ИПАРД Агенцијата за сите 21 случаи, од кои наплата</w:t>
      </w:r>
      <w:r w:rsidRPr="00194389">
        <w:rPr>
          <w:rFonts w:ascii="StobiSerif Regular" w:eastAsia="Times New Roman" w:hAnsi="StobiSerif Regular" w:cs="Times New Roman"/>
          <w:lang w:eastAsia="mk-MK"/>
        </w:rPr>
        <w:t>та</w:t>
      </w:r>
      <w:r w:rsidRPr="00194389">
        <w:rPr>
          <w:rFonts w:ascii="StobiSerif Regular" w:eastAsia="Times New Roman" w:hAnsi="StobiSerif Regular" w:cs="Times New Roman"/>
          <w:lang w:val="en-US" w:eastAsia="mk-MK"/>
        </w:rPr>
        <w:t xml:space="preserve"> на средства за сите случаи е завршена. </w:t>
      </w:r>
      <w:r w:rsidR="00050260">
        <w:rPr>
          <w:rFonts w:ascii="StobiSerif Regular" w:eastAsia="Times New Roman" w:hAnsi="StobiSerif Regular" w:cs="Times New Roman"/>
          <w:lang w:eastAsia="mk-MK"/>
        </w:rPr>
        <w:t>Листа</w:t>
      </w:r>
      <w:r w:rsidR="00717BD8">
        <w:rPr>
          <w:rFonts w:ascii="StobiSerif Regular" w:eastAsia="Times New Roman" w:hAnsi="StobiSerif Regular" w:cs="Times New Roman"/>
          <w:lang w:eastAsia="mk-MK"/>
        </w:rPr>
        <w:t>та</w:t>
      </w:r>
      <w:r w:rsidR="00050260">
        <w:rPr>
          <w:rFonts w:ascii="StobiSerif Regular" w:eastAsia="Times New Roman" w:hAnsi="StobiSerif Regular" w:cs="Times New Roman"/>
          <w:lang w:eastAsia="mk-MK"/>
        </w:rPr>
        <w:t xml:space="preserve"> на должници</w:t>
      </w:r>
      <w:r w:rsidRPr="00194389">
        <w:rPr>
          <w:rFonts w:ascii="StobiSerif Regular" w:eastAsia="Times New Roman" w:hAnsi="StobiSerif Regular" w:cs="Times New Roman"/>
          <w:lang w:val="en-US" w:eastAsia="mk-MK"/>
        </w:rPr>
        <w:t xml:space="preserve"> </w:t>
      </w:r>
      <w:r w:rsidRPr="00194389">
        <w:rPr>
          <w:rFonts w:ascii="StobiSerif Regular" w:eastAsia="Times New Roman" w:hAnsi="StobiSerif Regular" w:cs="Times New Roman"/>
          <w:lang w:eastAsia="mk-MK"/>
        </w:rPr>
        <w:t>с</w:t>
      </w:r>
      <w:r w:rsidRPr="00194389">
        <w:rPr>
          <w:rFonts w:ascii="StobiSerif Regular" w:eastAsia="Times New Roman" w:hAnsi="StobiSerif Regular" w:cs="Times New Roman"/>
          <w:lang w:val="en-US" w:eastAsia="mk-MK"/>
        </w:rPr>
        <w:t>е редовно ажурирани и доставени на ГД АГРИ со поднесување на секоја Изјава за трошоци.</w:t>
      </w:r>
    </w:p>
    <w:p w:rsidR="00194389" w:rsidRPr="00194389" w:rsidRDefault="00194389" w:rsidP="00BA1CE8">
      <w:pPr>
        <w:numPr>
          <w:ilvl w:val="0"/>
          <w:numId w:val="32"/>
        </w:numPr>
        <w:spacing w:after="0" w:line="240" w:lineRule="auto"/>
        <w:rPr>
          <w:rFonts w:ascii="StobiSerif Regular" w:hAnsi="StobiSerif Regular"/>
          <w:lang w:eastAsia="mk-MK"/>
        </w:rPr>
      </w:pPr>
      <w:r w:rsidRPr="00194389">
        <w:rPr>
          <w:rFonts w:ascii="StobiSerif Regular" w:hAnsi="StobiSerif Regular"/>
          <w:bCs/>
          <w:lang w:eastAsia="mk-MK"/>
        </w:rPr>
        <w:t xml:space="preserve">Планирање, следење и имплементација на ИПАРД Програмата </w:t>
      </w:r>
    </w:p>
    <w:p w:rsidR="00194389" w:rsidRPr="00194389" w:rsidRDefault="00194389" w:rsidP="00194389">
      <w:pPr>
        <w:spacing w:before="120" w:after="0" w:line="240" w:lineRule="auto"/>
        <w:jc w:val="both"/>
        <w:rPr>
          <w:rFonts w:ascii="StobiSerif Regular" w:hAnsi="StobiSerif Regular"/>
          <w:lang w:val="en-US" w:eastAsia="mk-MK"/>
        </w:rPr>
      </w:pPr>
      <w:r w:rsidRPr="00194389">
        <w:rPr>
          <w:rFonts w:ascii="StobiSerif Regular" w:eastAsia="Times New Roman" w:hAnsi="StobiSerif Regular" w:cs="Times New Roman"/>
          <w:lang w:val="en-US" w:eastAsia="mk-MK"/>
        </w:rPr>
        <w:t xml:space="preserve">         </w:t>
      </w:r>
    </w:p>
    <w:p w:rsidR="00194389" w:rsidRPr="00194389" w:rsidRDefault="00194389" w:rsidP="00194389">
      <w:pPr>
        <w:rPr>
          <w:rFonts w:ascii="StobiSerif Regular" w:hAnsi="StobiSerif Regular"/>
          <w:lang w:val="en-US" w:eastAsia="mk-MK"/>
        </w:rPr>
      </w:pPr>
      <w:r w:rsidRPr="00194389">
        <w:rPr>
          <w:rFonts w:ascii="StobiSerif Regular" w:hAnsi="StobiSerif Regular"/>
          <w:lang w:val="en-US" w:eastAsia="mk-MK"/>
        </w:rPr>
        <w:t xml:space="preserve">Анализата на спроведувањето на ИПАРД Програмата, </w:t>
      </w:r>
      <w:r w:rsidRPr="00194389">
        <w:rPr>
          <w:rFonts w:ascii="StobiSerif Regular" w:hAnsi="StobiSerif Regular"/>
          <w:lang w:eastAsia="mk-MK"/>
        </w:rPr>
        <w:t>го покажа</w:t>
      </w:r>
      <w:r w:rsidRPr="00194389">
        <w:rPr>
          <w:rFonts w:ascii="StobiSerif Regular" w:hAnsi="StobiSerif Regular"/>
          <w:lang w:val="en-US" w:eastAsia="mk-MK"/>
        </w:rPr>
        <w:t xml:space="preserve"> следново:</w:t>
      </w:r>
    </w:p>
    <w:p w:rsidR="00194389" w:rsidRPr="00194389" w:rsidRDefault="00194389" w:rsidP="00BA1CE8">
      <w:pPr>
        <w:numPr>
          <w:ilvl w:val="0"/>
          <w:numId w:val="46"/>
        </w:numPr>
        <w:contextualSpacing/>
        <w:rPr>
          <w:rFonts w:ascii="StobiSerif Regular" w:hAnsi="StobiSerif Regular"/>
          <w:lang w:val="en-US" w:eastAsia="mk-MK"/>
        </w:rPr>
      </w:pPr>
      <w:r w:rsidRPr="00194389">
        <w:rPr>
          <w:rFonts w:ascii="StobiSerif Regular" w:hAnsi="StobiSerif Regular"/>
          <w:lang w:val="en-US" w:eastAsia="mk-MK"/>
        </w:rPr>
        <w:t>Вкупно</w:t>
      </w:r>
      <w:r w:rsidRPr="00194389">
        <w:rPr>
          <w:rFonts w:ascii="StobiSerif Regular" w:hAnsi="StobiSerif Regular"/>
          <w:lang w:eastAsia="mk-MK"/>
        </w:rPr>
        <w:t xml:space="preserve"> ИПА</w:t>
      </w:r>
      <w:r w:rsidRPr="00194389">
        <w:rPr>
          <w:rFonts w:ascii="StobiSerif Regular" w:hAnsi="StobiSerif Regular"/>
          <w:lang w:val="en-US" w:eastAsia="mk-MK"/>
        </w:rPr>
        <w:t xml:space="preserve"> алокации за периодот 2007-2013 година</w:t>
      </w:r>
      <w:r w:rsidRPr="00194389">
        <w:rPr>
          <w:rFonts w:ascii="StobiSerif Regular" w:hAnsi="StobiSerif Regular"/>
          <w:lang w:eastAsia="mk-MK"/>
        </w:rPr>
        <w:t>,</w:t>
      </w:r>
      <w:r w:rsidR="003D3D92">
        <w:rPr>
          <w:rFonts w:ascii="StobiSerif Regular" w:hAnsi="StobiSerif Regular"/>
          <w:lang w:val="en-US" w:eastAsia="mk-MK"/>
        </w:rPr>
        <w:t xml:space="preserve"> се во износ од 67.649.341</w:t>
      </w:r>
      <w:r w:rsidR="003D3D92">
        <w:rPr>
          <w:rFonts w:ascii="StobiSerif Regular" w:hAnsi="StobiSerif Regular"/>
          <w:lang w:eastAsia="mk-MK"/>
        </w:rPr>
        <w:t xml:space="preserve"> евра</w:t>
      </w:r>
      <w:r w:rsidRPr="00194389">
        <w:rPr>
          <w:rFonts w:ascii="StobiSerif Regular" w:hAnsi="StobiSerif Regular"/>
          <w:lang w:val="en-US" w:eastAsia="mk-MK"/>
        </w:rPr>
        <w:t>;</w:t>
      </w:r>
    </w:p>
    <w:p w:rsidR="00194389" w:rsidRPr="00194389" w:rsidRDefault="00194389" w:rsidP="00BA1CE8">
      <w:pPr>
        <w:numPr>
          <w:ilvl w:val="0"/>
          <w:numId w:val="46"/>
        </w:numPr>
        <w:contextualSpacing/>
        <w:rPr>
          <w:rFonts w:ascii="StobiSerif Regular" w:hAnsi="StobiSerif Regular"/>
          <w:lang w:val="en-US" w:eastAsia="mk-MK"/>
        </w:rPr>
      </w:pPr>
      <w:r w:rsidRPr="00194389">
        <w:rPr>
          <w:rFonts w:ascii="StobiSerif Regular" w:hAnsi="StobiSerif Regular"/>
          <w:lang w:val="en-US" w:eastAsia="mk-MK"/>
        </w:rPr>
        <w:t>Вкупно договор</w:t>
      </w:r>
      <w:r w:rsidRPr="00194389">
        <w:rPr>
          <w:rFonts w:ascii="StobiSerif Regular" w:hAnsi="StobiSerif Regular"/>
          <w:lang w:eastAsia="mk-MK"/>
        </w:rPr>
        <w:t>и</w:t>
      </w:r>
      <w:r w:rsidRPr="00194389">
        <w:rPr>
          <w:rFonts w:ascii="StobiSerif Regular" w:hAnsi="StobiSerif Regular"/>
          <w:lang w:val="en-US" w:eastAsia="mk-MK"/>
        </w:rPr>
        <w:t xml:space="preserve"> за ИПА фондовите е во износ од 19.146.268,83</w:t>
      </w:r>
      <w:r w:rsidR="003D3D92">
        <w:rPr>
          <w:rFonts w:ascii="StobiSerif Regular" w:hAnsi="StobiSerif Regular"/>
          <w:lang w:eastAsia="mk-MK"/>
        </w:rPr>
        <w:t xml:space="preserve"> евра</w:t>
      </w:r>
      <w:r w:rsidRPr="00194389">
        <w:rPr>
          <w:rFonts w:ascii="StobiSerif Regular" w:hAnsi="StobiSerif Regular"/>
          <w:lang w:val="en-US" w:eastAsia="mk-MK"/>
        </w:rPr>
        <w:t xml:space="preserve"> (вклучувајќи ги и  откажа</w:t>
      </w:r>
      <w:r w:rsidRPr="00194389">
        <w:rPr>
          <w:rFonts w:ascii="StobiSerif Regular" w:hAnsi="StobiSerif Regular"/>
          <w:lang w:eastAsia="mk-MK"/>
        </w:rPr>
        <w:t xml:space="preserve">ните </w:t>
      </w:r>
      <w:r w:rsidRPr="00194389">
        <w:rPr>
          <w:rFonts w:ascii="StobiSerif Regular" w:hAnsi="StobiSerif Regular"/>
          <w:lang w:val="en-US" w:eastAsia="mk-MK"/>
        </w:rPr>
        <w:t>суми</w:t>
      </w:r>
      <w:r w:rsidRPr="00194389">
        <w:rPr>
          <w:rFonts w:ascii="StobiSerif Regular" w:hAnsi="StobiSerif Regular"/>
          <w:lang w:eastAsia="mk-MK"/>
        </w:rPr>
        <w:t>)</w:t>
      </w:r>
      <w:r w:rsidRPr="00194389">
        <w:rPr>
          <w:rFonts w:ascii="StobiSerif Regular" w:hAnsi="StobiSerif Regular"/>
          <w:lang w:val="en-US" w:eastAsia="mk-MK"/>
        </w:rPr>
        <w:t>;</w:t>
      </w:r>
    </w:p>
    <w:p w:rsidR="00194389" w:rsidRPr="00194389" w:rsidRDefault="00194389" w:rsidP="00BA1CE8">
      <w:pPr>
        <w:numPr>
          <w:ilvl w:val="0"/>
          <w:numId w:val="46"/>
        </w:numPr>
        <w:contextualSpacing/>
        <w:rPr>
          <w:rFonts w:ascii="StobiSerif Regular" w:hAnsi="StobiSerif Regular"/>
          <w:lang w:val="en-US" w:eastAsia="mk-MK"/>
        </w:rPr>
      </w:pPr>
      <w:r w:rsidRPr="00194389">
        <w:rPr>
          <w:rFonts w:ascii="StobiSerif Regular" w:hAnsi="StobiSerif Regular"/>
          <w:lang w:val="en-US" w:eastAsia="mk-MK"/>
        </w:rPr>
        <w:t>Имаше 1369 склучени договори за средствата од ИПАРД програмата, од кои 176 договори (во износ од 3.842.837 евра - Придонес на ЕУ) се откажани.</w:t>
      </w:r>
    </w:p>
    <w:p w:rsidR="00194389" w:rsidRPr="00194389" w:rsidRDefault="00194389" w:rsidP="00BA1CE8">
      <w:pPr>
        <w:numPr>
          <w:ilvl w:val="0"/>
          <w:numId w:val="46"/>
        </w:numPr>
        <w:contextualSpacing/>
        <w:rPr>
          <w:rFonts w:ascii="StobiSerif Regular" w:hAnsi="StobiSerif Regular"/>
          <w:lang w:val="en-US" w:eastAsia="mk-MK"/>
        </w:rPr>
      </w:pPr>
      <w:r w:rsidRPr="00194389">
        <w:rPr>
          <w:rFonts w:ascii="StobiSerif Regular" w:hAnsi="StobiSerif Regular"/>
          <w:lang w:val="en-US" w:eastAsia="mk-MK"/>
        </w:rPr>
        <w:t>Вкупниот број на важечки договори за ИПАРД е 1.193 (во износ од 15.303.431,83EUR);</w:t>
      </w:r>
    </w:p>
    <w:p w:rsidR="00194389" w:rsidRPr="00194389" w:rsidRDefault="00194389" w:rsidP="00BA1CE8">
      <w:pPr>
        <w:numPr>
          <w:ilvl w:val="0"/>
          <w:numId w:val="46"/>
        </w:numPr>
        <w:contextualSpacing/>
        <w:rPr>
          <w:rFonts w:ascii="StobiSerif Regular" w:hAnsi="StobiSerif Regular"/>
          <w:lang w:val="en-US" w:eastAsia="mk-MK"/>
        </w:rPr>
      </w:pPr>
      <w:r w:rsidRPr="00194389">
        <w:rPr>
          <w:rFonts w:ascii="StobiSerif Regular" w:hAnsi="StobiSerif Regular"/>
          <w:lang w:val="en-US" w:eastAsia="mk-MK"/>
        </w:rPr>
        <w:t>Вкупно исплатени средства од ИПА фондовите е во износ од 7.957.463, 96EUR;</w:t>
      </w:r>
    </w:p>
    <w:p w:rsidR="00194389" w:rsidRPr="00194389" w:rsidRDefault="00194389" w:rsidP="00BA1CE8">
      <w:pPr>
        <w:numPr>
          <w:ilvl w:val="0"/>
          <w:numId w:val="46"/>
        </w:numPr>
        <w:contextualSpacing/>
        <w:rPr>
          <w:rFonts w:ascii="StobiSerif Regular" w:hAnsi="StobiSerif Regular"/>
          <w:lang w:val="en-US" w:eastAsia="mk-MK"/>
        </w:rPr>
      </w:pPr>
      <w:r w:rsidRPr="00194389">
        <w:rPr>
          <w:rFonts w:ascii="StobiSerif Regular" w:hAnsi="StobiSerif Regular"/>
          <w:lang w:eastAsia="mk-MK"/>
        </w:rPr>
        <w:t>Процент на склучени договори</w:t>
      </w:r>
      <w:r w:rsidRPr="00194389">
        <w:rPr>
          <w:rFonts w:ascii="StobiSerif Regular" w:hAnsi="StobiSerif Regular"/>
          <w:lang w:val="en-US" w:eastAsia="mk-MK"/>
        </w:rPr>
        <w:t xml:space="preserve"> на ниво на програма (2007-2013) речиси е 28,30%, а стапката на исплата е речиси 11,76%;</w:t>
      </w:r>
    </w:p>
    <w:p w:rsidR="00194389" w:rsidRPr="00194389" w:rsidRDefault="00194389" w:rsidP="00BA1CE8">
      <w:pPr>
        <w:numPr>
          <w:ilvl w:val="0"/>
          <w:numId w:val="46"/>
        </w:numPr>
        <w:contextualSpacing/>
        <w:rPr>
          <w:rFonts w:ascii="StobiSerif Regular" w:hAnsi="StobiSerif Regular"/>
          <w:lang w:val="en-US" w:eastAsia="mk-MK"/>
        </w:rPr>
      </w:pPr>
      <w:r w:rsidRPr="00194389">
        <w:rPr>
          <w:rFonts w:ascii="StobiSerif Regular" w:hAnsi="StobiSerif Regular"/>
          <w:lang w:val="en-US" w:eastAsia="mk-MK"/>
        </w:rPr>
        <w:t>Речиси 52% се исплатени од договорената сума (валидни договори), и</w:t>
      </w:r>
    </w:p>
    <w:p w:rsidR="00194389" w:rsidRPr="00194389" w:rsidRDefault="00194389" w:rsidP="00BA1CE8">
      <w:pPr>
        <w:numPr>
          <w:ilvl w:val="0"/>
          <w:numId w:val="46"/>
        </w:numPr>
        <w:contextualSpacing/>
        <w:rPr>
          <w:rFonts w:ascii="StobiSerif Regular" w:hAnsi="StobiSerif Regular"/>
          <w:lang w:val="en-US" w:eastAsia="mk-MK"/>
        </w:rPr>
      </w:pPr>
      <w:r w:rsidRPr="00194389">
        <w:rPr>
          <w:rFonts w:ascii="StobiSerif Regular" w:hAnsi="StobiSerif Regular"/>
          <w:lang w:val="en-US" w:eastAsia="mk-MK"/>
        </w:rPr>
        <w:t xml:space="preserve">Планот за повлекување средства во 2016 година се </w:t>
      </w:r>
      <w:r w:rsidRPr="00194389">
        <w:rPr>
          <w:rFonts w:ascii="StobiSerif Regular" w:hAnsi="StobiSerif Regular"/>
          <w:lang w:eastAsia="mk-MK"/>
        </w:rPr>
        <w:t>околу</w:t>
      </w:r>
      <w:r w:rsidRPr="00194389">
        <w:rPr>
          <w:rFonts w:ascii="StobiSerif Regular" w:hAnsi="StobiSerif Regular"/>
          <w:lang w:val="en-US" w:eastAsia="mk-MK"/>
        </w:rPr>
        <w:t xml:space="preserve"> 77, 6%.</w:t>
      </w:r>
    </w:p>
    <w:p w:rsidR="00194389" w:rsidRPr="00194389" w:rsidRDefault="00194389" w:rsidP="00194389">
      <w:pPr>
        <w:spacing w:before="274" w:after="0" w:line="240" w:lineRule="auto"/>
        <w:ind w:firstLine="720"/>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eastAsia="mk-MK"/>
        </w:rPr>
        <w:t xml:space="preserve">Статус на примени и одобрени апликации заклучно со </w:t>
      </w:r>
      <w:r w:rsidRPr="00194389">
        <w:rPr>
          <w:rFonts w:ascii="StobiSerif Regular" w:eastAsia="Times New Roman" w:hAnsi="StobiSerif Regular" w:cs="Times New Roman"/>
          <w:color w:val="000000"/>
          <w:lang w:val="en-US" w:eastAsia="mk-MK"/>
        </w:rPr>
        <w:t>31.12.2016</w:t>
      </w:r>
      <w:r w:rsidRPr="00194389">
        <w:rPr>
          <w:rFonts w:ascii="StobiSerif Regular" w:eastAsia="Times New Roman" w:hAnsi="StobiSerif Regular" w:cs="Times New Roman"/>
          <w:color w:val="000000"/>
          <w:vertAlign w:val="superscript"/>
          <w:lang w:val="en-US" w:eastAsia="mk-MK"/>
        </w:rPr>
        <w:footnoteReference w:id="3"/>
      </w:r>
      <w:r w:rsidRPr="00194389">
        <w:rPr>
          <w:rFonts w:ascii="StobiSerif Regular" w:eastAsia="Times New Roman" w:hAnsi="StobiSerif Regular" w:cs="Times New Roman"/>
          <w:color w:val="000000"/>
          <w:lang w:val="en-US" w:eastAsia="mk-MK"/>
        </w:rPr>
        <w:t>:</w:t>
      </w:r>
    </w:p>
    <w:tbl>
      <w:tblPr>
        <w:tblW w:w="8505" w:type="dxa"/>
        <w:jc w:val="center"/>
        <w:tblCellSpacing w:w="0" w:type="dxa"/>
        <w:tblLayout w:type="fixed"/>
        <w:tblCellMar>
          <w:top w:w="30" w:type="dxa"/>
          <w:left w:w="30" w:type="dxa"/>
          <w:bottom w:w="30" w:type="dxa"/>
          <w:right w:w="30" w:type="dxa"/>
        </w:tblCellMar>
        <w:tblLook w:val="04A0" w:firstRow="1" w:lastRow="0" w:firstColumn="1" w:lastColumn="0" w:noHBand="0" w:noVBand="1"/>
      </w:tblPr>
      <w:tblGrid>
        <w:gridCol w:w="1750"/>
        <w:gridCol w:w="2355"/>
        <w:gridCol w:w="1983"/>
        <w:gridCol w:w="2417"/>
      </w:tblGrid>
      <w:tr w:rsidR="00194389" w:rsidRPr="00194389" w:rsidTr="00EE5E4C">
        <w:trPr>
          <w:tblCellSpacing w:w="0" w:type="dxa"/>
          <w:jc w:val="center"/>
        </w:trPr>
        <w:tc>
          <w:tcPr>
            <w:tcW w:w="1750"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b/>
                <w:bCs/>
                <w:color w:val="000000"/>
                <w:lang w:val="en-US" w:eastAsia="mk-MK"/>
              </w:rPr>
              <w:t>Бр.Јавен повик</w:t>
            </w:r>
          </w:p>
        </w:tc>
        <w:tc>
          <w:tcPr>
            <w:tcW w:w="2355"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eastAsia="mk-MK"/>
              </w:rPr>
            </w:pPr>
            <w:r w:rsidRPr="00194389">
              <w:rPr>
                <w:rFonts w:ascii="StobiSerif Regular" w:eastAsia="Times New Roman" w:hAnsi="StobiSerif Regular" w:cs="Times New Roman"/>
                <w:b/>
                <w:bCs/>
                <w:color w:val="000000"/>
                <w:lang w:eastAsia="mk-MK"/>
              </w:rPr>
              <w:t>Доставени апликации</w:t>
            </w:r>
          </w:p>
        </w:tc>
        <w:tc>
          <w:tcPr>
            <w:tcW w:w="1983" w:type="dxa"/>
            <w:tcBorders>
              <w:top w:val="single" w:sz="8" w:space="0" w:color="000000"/>
              <w:left w:val="single" w:sz="8" w:space="0" w:color="000000"/>
              <w:bottom w:val="single" w:sz="8" w:space="0" w:color="000000"/>
              <w:right w:val="nil"/>
            </w:tcBorders>
            <w:shd w:val="clear" w:color="auto" w:fill="BFBFBF"/>
            <w:tcMar>
              <w:top w:w="29"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eastAsia="mk-MK"/>
              </w:rPr>
            </w:pPr>
            <w:r w:rsidRPr="00194389">
              <w:rPr>
                <w:rFonts w:ascii="StobiSerif Regular" w:eastAsia="Times New Roman" w:hAnsi="StobiSerif Regular" w:cs="Times New Roman"/>
                <w:b/>
                <w:bCs/>
                <w:color w:val="000000"/>
                <w:lang w:eastAsia="mk-MK"/>
              </w:rPr>
              <w:t>Одобрени апликации</w:t>
            </w:r>
          </w:p>
        </w:tc>
        <w:tc>
          <w:tcPr>
            <w:tcW w:w="2417" w:type="dxa"/>
            <w:tcBorders>
              <w:top w:val="single" w:sz="8" w:space="0" w:color="000000"/>
              <w:left w:val="single" w:sz="8" w:space="0" w:color="000000"/>
              <w:bottom w:val="single" w:sz="8" w:space="0" w:color="000000"/>
              <w:right w:val="single" w:sz="8" w:space="0" w:color="000000"/>
            </w:tcBorders>
            <w:shd w:val="clear" w:color="auto" w:fill="BFBFBF"/>
            <w:tcMar>
              <w:top w:w="29"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eastAsia="mk-MK"/>
              </w:rPr>
            </w:pPr>
            <w:r w:rsidRPr="00194389">
              <w:rPr>
                <w:rFonts w:ascii="StobiSerif Regular" w:eastAsia="Times New Roman" w:hAnsi="StobiSerif Regular" w:cs="Times New Roman"/>
                <w:b/>
                <w:bCs/>
                <w:color w:val="000000"/>
                <w:lang w:eastAsia="mk-MK"/>
              </w:rPr>
              <w:t>Процент на одобрени апликации</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01/2009</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133</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27</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20,30%</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01/2010</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112</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36</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32,14%</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01/2011</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74</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40</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54,05%</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02/2011</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60</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23</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38,33%</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03/2011</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92</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27</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29,35%</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01/2012</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67</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14</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20,90%</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02/2012</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61</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11</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18,03%</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01/2013</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401</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173</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43,14%</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eastAsia="mk-MK"/>
              </w:rPr>
            </w:pPr>
            <w:r w:rsidRPr="00194389">
              <w:rPr>
                <w:rFonts w:ascii="StobiSerif Regular" w:eastAsia="Times New Roman" w:hAnsi="StobiSerif Regular" w:cs="Times New Roman"/>
                <w:color w:val="000000"/>
                <w:lang w:val="en-US" w:eastAsia="mk-MK"/>
              </w:rPr>
              <w:t>01/2014</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394</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213</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54,06%</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eastAsia="mk-MK"/>
              </w:rPr>
            </w:pPr>
            <w:r w:rsidRPr="00194389">
              <w:rPr>
                <w:rFonts w:ascii="StobiSerif Regular" w:eastAsia="Times New Roman" w:hAnsi="StobiSerif Regular" w:cs="Times New Roman"/>
                <w:color w:val="000000"/>
                <w:lang w:val="en-US" w:eastAsia="mk-MK"/>
              </w:rPr>
              <w:t>02/2014</w:t>
            </w:r>
            <w:bookmarkStart w:id="91" w:name="_ftnref2"/>
            <w:r w:rsidRPr="00194389">
              <w:rPr>
                <w:rFonts w:ascii="Times New Roman" w:eastAsia="Times New Roman" w:hAnsi="Times New Roman" w:cs="Times New Roman"/>
                <w:sz w:val="24"/>
                <w:szCs w:val="24"/>
                <w:lang w:eastAsia="mk-MK"/>
              </w:rPr>
              <w:fldChar w:fldCharType="begin"/>
            </w:r>
            <w:r w:rsidRPr="00194389">
              <w:rPr>
                <w:rFonts w:ascii="Times New Roman" w:eastAsia="Times New Roman" w:hAnsi="Times New Roman" w:cs="Times New Roman"/>
                <w:sz w:val="24"/>
                <w:szCs w:val="24"/>
                <w:lang w:eastAsia="mk-MK"/>
              </w:rPr>
              <w:instrText xml:space="preserve"> HYPERLINK "" \l "_ftn2" </w:instrText>
            </w:r>
            <w:r w:rsidRPr="00194389">
              <w:rPr>
                <w:rFonts w:ascii="Times New Roman" w:eastAsia="Times New Roman" w:hAnsi="Times New Roman" w:cs="Times New Roman"/>
                <w:sz w:val="24"/>
                <w:szCs w:val="24"/>
                <w:lang w:eastAsia="mk-MK"/>
              </w:rPr>
              <w:fldChar w:fldCharType="end"/>
            </w:r>
            <w:bookmarkEnd w:id="91"/>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439</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244</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55,58%</w:t>
            </w:r>
          </w:p>
        </w:tc>
      </w:tr>
      <w:tr w:rsidR="00194389" w:rsidRPr="00194389" w:rsidTr="00EE5E4C">
        <w:trPr>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eastAsia="mk-MK"/>
              </w:rPr>
            </w:pPr>
            <w:r w:rsidRPr="00194389">
              <w:rPr>
                <w:rFonts w:ascii="StobiSerif Regular" w:eastAsia="Times New Roman" w:hAnsi="StobiSerif Regular" w:cs="Times New Roman"/>
                <w:color w:val="000000"/>
                <w:lang w:val="en-US" w:eastAsia="mk-MK"/>
              </w:rPr>
              <w:t>01/2015</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833</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418</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50,18%</w:t>
            </w:r>
          </w:p>
        </w:tc>
      </w:tr>
      <w:tr w:rsidR="00194389" w:rsidRPr="00194389" w:rsidTr="00EE5E4C">
        <w:trPr>
          <w:trHeight w:val="80"/>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eastAsia="mk-MK"/>
              </w:rPr>
            </w:pPr>
            <w:r w:rsidRPr="00194389">
              <w:rPr>
                <w:rFonts w:ascii="StobiSerif Regular" w:eastAsia="Times New Roman" w:hAnsi="StobiSerif Regular" w:cs="Times New Roman"/>
                <w:color w:val="000000"/>
                <w:lang w:val="en-US" w:eastAsia="mk-MK"/>
              </w:rPr>
              <w:t>02/2015</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421</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143</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color w:val="000000"/>
                <w:lang w:val="en-US" w:eastAsia="mk-MK"/>
              </w:rPr>
              <w:t>33,96</w:t>
            </w:r>
          </w:p>
        </w:tc>
      </w:tr>
      <w:tr w:rsidR="00194389" w:rsidRPr="00194389" w:rsidTr="00EE5E4C">
        <w:trPr>
          <w:trHeight w:val="514"/>
          <w:tblCellSpacing w:w="0" w:type="dxa"/>
          <w:jc w:val="center"/>
        </w:trPr>
        <w:tc>
          <w:tcPr>
            <w:tcW w:w="1750"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b/>
                <w:bCs/>
                <w:color w:val="000000"/>
                <w:lang w:val="en-US" w:eastAsia="mk-MK"/>
              </w:rPr>
              <w:t>Вкупно</w:t>
            </w:r>
          </w:p>
        </w:tc>
        <w:tc>
          <w:tcPr>
            <w:tcW w:w="2355"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b/>
                <w:bCs/>
                <w:color w:val="000000"/>
                <w:lang w:val="en-US" w:eastAsia="mk-MK"/>
              </w:rPr>
              <w:t>3087</w:t>
            </w:r>
          </w:p>
        </w:tc>
        <w:tc>
          <w:tcPr>
            <w:tcW w:w="1983" w:type="dxa"/>
            <w:tcBorders>
              <w:top w:val="nil"/>
              <w:left w:val="single" w:sz="8" w:space="0" w:color="000000"/>
              <w:bottom w:val="single" w:sz="8" w:space="0" w:color="000000"/>
              <w:right w:val="nil"/>
            </w:tcBorders>
            <w:tcMar>
              <w:top w:w="0" w:type="dxa"/>
              <w:left w:w="29" w:type="dxa"/>
              <w:bottom w:w="29" w:type="dxa"/>
              <w:right w:w="0"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b/>
                <w:bCs/>
                <w:color w:val="000000"/>
                <w:lang w:val="en-US" w:eastAsia="mk-MK"/>
              </w:rPr>
              <w:t>1369</w:t>
            </w:r>
          </w:p>
        </w:tc>
        <w:tc>
          <w:tcPr>
            <w:tcW w:w="2417" w:type="dxa"/>
            <w:tcBorders>
              <w:top w:val="nil"/>
              <w:left w:val="single" w:sz="8" w:space="0" w:color="000000"/>
              <w:bottom w:val="single" w:sz="8" w:space="0" w:color="000000"/>
              <w:right w:val="single" w:sz="8" w:space="0" w:color="000000"/>
            </w:tcBorders>
            <w:tcMar>
              <w:top w:w="0" w:type="dxa"/>
              <w:left w:w="29" w:type="dxa"/>
              <w:bottom w:w="29" w:type="dxa"/>
              <w:right w:w="29" w:type="dxa"/>
            </w:tcMar>
            <w:vAlign w:val="center"/>
          </w:tcPr>
          <w:p w:rsidR="00194389" w:rsidRPr="00194389" w:rsidRDefault="00194389" w:rsidP="00194389">
            <w:pPr>
              <w:spacing w:before="100" w:beforeAutospacing="1" w:after="0" w:line="240" w:lineRule="auto"/>
              <w:jc w:val="center"/>
              <w:rPr>
                <w:rFonts w:ascii="Times New Roman" w:eastAsia="Times New Roman" w:hAnsi="Times New Roman" w:cs="Times New Roman"/>
                <w:sz w:val="24"/>
                <w:szCs w:val="24"/>
                <w:lang w:val="en-US" w:eastAsia="mk-MK"/>
              </w:rPr>
            </w:pPr>
            <w:r w:rsidRPr="00194389">
              <w:rPr>
                <w:rFonts w:ascii="StobiSerif Regular" w:eastAsia="Times New Roman" w:hAnsi="StobiSerif Regular" w:cs="Times New Roman"/>
                <w:b/>
                <w:bCs/>
                <w:color w:val="000000"/>
                <w:lang w:val="en-US" w:eastAsia="mk-MK"/>
              </w:rPr>
              <w:t>44,34%</w:t>
            </w:r>
          </w:p>
        </w:tc>
      </w:tr>
    </w:tbl>
    <w:p w:rsidR="00194389" w:rsidRPr="00194389" w:rsidRDefault="00194389" w:rsidP="00194389">
      <w:pPr>
        <w:spacing w:after="245" w:line="240" w:lineRule="auto"/>
        <w:ind w:firstLine="720"/>
        <w:jc w:val="both"/>
        <w:rPr>
          <w:rFonts w:ascii="Times New Roman" w:eastAsia="Times New Roman" w:hAnsi="Times New Roman" w:cs="Times New Roman"/>
          <w:sz w:val="24"/>
          <w:szCs w:val="24"/>
          <w:lang w:eastAsia="mk-MK"/>
        </w:rPr>
      </w:pPr>
      <w:r w:rsidRPr="00194389">
        <w:rPr>
          <w:rFonts w:ascii="StobiSerif Regular" w:eastAsia="Times New Roman" w:hAnsi="StobiSerif Regular" w:cs="Times New Roman"/>
          <w:bCs/>
          <w:color w:val="000000"/>
          <w:sz w:val="16"/>
          <w:szCs w:val="16"/>
          <w:lang w:eastAsia="mk-MK"/>
        </w:rPr>
        <w:t>Извор: НАО</w:t>
      </w:r>
    </w:p>
    <w:p w:rsidR="00194389" w:rsidRPr="00194389" w:rsidRDefault="00194389" w:rsidP="00156A6B">
      <w:pPr>
        <w:spacing w:before="120" w:after="120" w:line="240" w:lineRule="auto"/>
        <w:ind w:firstLine="284"/>
        <w:jc w:val="both"/>
        <w:rPr>
          <w:rFonts w:ascii="StobiSerif Regular" w:hAnsi="StobiSerif Regular"/>
          <w:lang w:val="en-US" w:eastAsia="mk-MK"/>
        </w:rPr>
      </w:pPr>
      <w:r w:rsidRPr="00194389">
        <w:rPr>
          <w:rFonts w:ascii="StobiSerif Regular" w:hAnsi="StobiSerif Regular"/>
          <w:lang w:val="en-US" w:eastAsia="mk-MK"/>
        </w:rPr>
        <w:t xml:space="preserve">Имајќи го во предвид горенаведеното може да се заклучи дека ниските стапки на одобрување на примените апликации / склучени / исплатени се на место. Причините и проблемите за ниските стапки беа дискутирани на редовни средби одржани од страна на Националниот координатор за авторизација и координативните состаноци организирани од НИПАК. Исто така, во текот на претходниот период оперативната структура презеде низа мерки за зголемување на свеста во јавноста за ИПАРД Програмата, како и за подобрување на квалитетот на апликациите. Сите овие мерки </w:t>
      </w:r>
      <w:r w:rsidRPr="00194389">
        <w:rPr>
          <w:rFonts w:ascii="StobiSerif Regular" w:hAnsi="StobiSerif Regular"/>
          <w:lang w:eastAsia="mk-MK"/>
        </w:rPr>
        <w:t xml:space="preserve">исто така ќе бидат застапени и во ИПАРД </w:t>
      </w:r>
      <w:r w:rsidRPr="00194389">
        <w:rPr>
          <w:rFonts w:ascii="StobiSerif Regular" w:hAnsi="StobiSerif Regular"/>
          <w:lang w:val="en-US" w:eastAsia="mk-MK"/>
        </w:rPr>
        <w:t xml:space="preserve">II. </w:t>
      </w:r>
    </w:p>
    <w:p w:rsidR="00194389" w:rsidRPr="00194389" w:rsidRDefault="00194389" w:rsidP="00BA1CE8">
      <w:pPr>
        <w:numPr>
          <w:ilvl w:val="0"/>
          <w:numId w:val="32"/>
        </w:numPr>
        <w:spacing w:before="120" w:after="120" w:line="240" w:lineRule="auto"/>
        <w:ind w:left="1372" w:hanging="357"/>
        <w:rPr>
          <w:rFonts w:ascii="StobiSerif Regular" w:hAnsi="StobiSerif Regular"/>
          <w:lang w:val="en-US" w:eastAsia="mk-MK"/>
        </w:rPr>
      </w:pPr>
      <w:r w:rsidRPr="00194389">
        <w:rPr>
          <w:rFonts w:ascii="StobiSerif Regular" w:hAnsi="StobiSerif Regular"/>
          <w:lang w:eastAsia="mk-MK"/>
        </w:rPr>
        <w:t>Внатрешна ревизија</w:t>
      </w:r>
    </w:p>
    <w:p w:rsidR="00194389" w:rsidRPr="00194389" w:rsidRDefault="00194389" w:rsidP="00194389">
      <w:pPr>
        <w:spacing w:before="120" w:after="120" w:line="240" w:lineRule="auto"/>
        <w:jc w:val="both"/>
        <w:rPr>
          <w:rFonts w:ascii="StobiSerif Regular" w:hAnsi="StobiSerif Regular"/>
          <w:sz w:val="24"/>
          <w:szCs w:val="24"/>
          <w:u w:val="single"/>
          <w:lang w:val="en-US" w:eastAsia="mk-MK"/>
        </w:rPr>
      </w:pPr>
      <w:r w:rsidRPr="00194389">
        <w:rPr>
          <w:rFonts w:ascii="StobiSerif Regular" w:hAnsi="StobiSerif Regular"/>
          <w:u w:val="single"/>
          <w:lang w:val="en-US" w:eastAsia="mk-MK"/>
        </w:rPr>
        <w:t>Оперативна структура</w:t>
      </w:r>
    </w:p>
    <w:p w:rsidR="00194389" w:rsidRPr="00194389" w:rsidRDefault="00194389" w:rsidP="00194389">
      <w:pPr>
        <w:spacing w:before="120" w:after="120" w:line="240" w:lineRule="auto"/>
        <w:ind w:firstLine="284"/>
        <w:jc w:val="both"/>
        <w:rPr>
          <w:rFonts w:ascii="StobiSerif Regular" w:hAnsi="StobiSerif Regular"/>
          <w:lang w:val="en-US" w:eastAsia="mk-MK"/>
        </w:rPr>
      </w:pPr>
      <w:r w:rsidRPr="00194389">
        <w:rPr>
          <w:rFonts w:ascii="StobiSerif Regular" w:hAnsi="StobiSerif Regular"/>
          <w:lang w:val="en-US" w:eastAsia="mk-MK"/>
        </w:rPr>
        <w:t xml:space="preserve">Во согласност со Годишниот план за вршење на внатрешна ревизија за 2016 година на </w:t>
      </w:r>
      <w:r w:rsidRPr="00194389">
        <w:rPr>
          <w:rFonts w:ascii="StobiSerif Regular" w:hAnsi="StobiSerif Regular"/>
          <w:lang w:eastAsia="mk-MK"/>
        </w:rPr>
        <w:t>Секторот</w:t>
      </w:r>
      <w:r w:rsidRPr="00194389">
        <w:rPr>
          <w:rFonts w:ascii="StobiSerif Regular" w:hAnsi="StobiSerif Regular"/>
          <w:lang w:val="en-US" w:eastAsia="mk-MK"/>
        </w:rPr>
        <w:t xml:space="preserve"> за внатрешна ревизија на Министерството за финансии (Арх.Бр.23-9370 / 1 од како на 14.12.2015) </w:t>
      </w:r>
      <w:r w:rsidRPr="00194389">
        <w:rPr>
          <w:rFonts w:ascii="StobiSerif Regular" w:hAnsi="StobiSerif Regular"/>
          <w:lang w:eastAsia="mk-MK"/>
        </w:rPr>
        <w:t>беше спроведена системска ревизија</w:t>
      </w:r>
      <w:r w:rsidRPr="00194389">
        <w:rPr>
          <w:rFonts w:ascii="StobiSerif Regular" w:hAnsi="StobiSerif Regular"/>
          <w:lang w:val="en-US" w:eastAsia="mk-MK"/>
        </w:rPr>
        <w:t xml:space="preserve"> во рамките на НФ / ОS на процесот на финансиско управување и контрола на исправноста на барањето за средства во делот на управување со ИПА фондовите. Мисијата на горенаведената ревизија е извршена во текот на април-мај 2016 година, а конечниот извештај беше издаден во јуни 2016 година (Бр..23-2669 / 4 од како на 16.06.2016). Според конечниот ревизорски извештај, идентификуваните наоди на ревизијата</w:t>
      </w:r>
      <w:r w:rsidRPr="00194389">
        <w:rPr>
          <w:rFonts w:ascii="StobiSerif Regular" w:hAnsi="StobiSerif Regular"/>
          <w:lang w:eastAsia="mk-MK"/>
        </w:rPr>
        <w:t xml:space="preserve"> се</w:t>
      </w:r>
      <w:r w:rsidRPr="00194389">
        <w:rPr>
          <w:rFonts w:ascii="StobiSerif Regular" w:hAnsi="StobiSerif Regular"/>
          <w:lang w:val="en-US" w:eastAsia="mk-MK"/>
        </w:rPr>
        <w:t xml:space="preserve"> со среден и низок ризик. </w:t>
      </w:r>
      <w:r w:rsidRPr="00194389">
        <w:rPr>
          <w:rFonts w:ascii="StobiSerif Regular" w:hAnsi="StobiSerif Regular"/>
          <w:lang w:eastAsia="mk-MK"/>
        </w:rPr>
        <w:t>Не</w:t>
      </w:r>
      <w:r w:rsidRPr="00194389">
        <w:rPr>
          <w:rFonts w:ascii="StobiSerif Regular" w:hAnsi="StobiSerif Regular"/>
          <w:lang w:val="en-US" w:eastAsia="mk-MK"/>
        </w:rPr>
        <w:t xml:space="preserve"> беа идентификувани Наоди </w:t>
      </w:r>
      <w:r w:rsidRPr="00194389">
        <w:rPr>
          <w:rFonts w:ascii="StobiSerif Regular" w:hAnsi="StobiSerif Regular"/>
          <w:lang w:eastAsia="mk-MK"/>
        </w:rPr>
        <w:t xml:space="preserve">со висок </w:t>
      </w:r>
      <w:r w:rsidRPr="00194389">
        <w:rPr>
          <w:rFonts w:ascii="StobiSerif Regular" w:hAnsi="StobiSerif Regular"/>
          <w:lang w:val="en-US" w:eastAsia="mk-MK"/>
        </w:rPr>
        <w:t xml:space="preserve">ризик во текот на оваа ревизорска мисија. Сектор за управување со фондовите на ИПА редовно </w:t>
      </w:r>
      <w:r w:rsidRPr="00194389">
        <w:rPr>
          <w:rFonts w:ascii="StobiSerif Regular" w:hAnsi="StobiSerif Regular"/>
          <w:lang w:eastAsia="mk-MK"/>
        </w:rPr>
        <w:t xml:space="preserve">го </w:t>
      </w:r>
      <w:r w:rsidRPr="00194389">
        <w:rPr>
          <w:rFonts w:ascii="StobiSerif Regular" w:hAnsi="StobiSerif Regular"/>
          <w:lang w:val="en-US" w:eastAsia="mk-MK"/>
        </w:rPr>
        <w:t>следи процесот за надминување на ревизорските наоди и</w:t>
      </w:r>
      <w:r w:rsidRPr="00194389">
        <w:rPr>
          <w:rFonts w:ascii="StobiSerif Regular" w:hAnsi="StobiSerif Regular"/>
          <w:lang w:eastAsia="mk-MK"/>
        </w:rPr>
        <w:t xml:space="preserve"> ги</w:t>
      </w:r>
      <w:r w:rsidRPr="00194389">
        <w:rPr>
          <w:rFonts w:ascii="StobiSerif Regular" w:hAnsi="StobiSerif Regular"/>
          <w:lang w:val="en-US" w:eastAsia="mk-MK"/>
        </w:rPr>
        <w:t xml:space="preserve"> презема</w:t>
      </w:r>
      <w:r w:rsidRPr="00194389">
        <w:rPr>
          <w:rFonts w:ascii="StobiSerif Regular" w:hAnsi="StobiSerif Regular"/>
          <w:lang w:eastAsia="mk-MK"/>
        </w:rPr>
        <w:t xml:space="preserve"> сиет</w:t>
      </w:r>
      <w:r w:rsidRPr="00194389">
        <w:rPr>
          <w:rFonts w:ascii="StobiSerif Regular" w:hAnsi="StobiSerif Regular"/>
          <w:lang w:val="en-US" w:eastAsia="mk-MK"/>
        </w:rPr>
        <w:t xml:space="preserve"> неопходни активности за имплементација на препораките. До крајот на 2016 година, на некои наоди беа преземени итни мерки, а некои од препораките беа спроведени.</w:t>
      </w:r>
    </w:p>
    <w:p w:rsidR="00194389" w:rsidRPr="00717BD8" w:rsidRDefault="00194389" w:rsidP="00156A6B">
      <w:pPr>
        <w:spacing w:before="120" w:after="120" w:line="240" w:lineRule="auto"/>
        <w:jc w:val="both"/>
        <w:rPr>
          <w:rFonts w:ascii="StobiSerif Regular" w:hAnsi="StobiSerif Regular"/>
          <w:lang w:val="en-US" w:eastAsia="mk-MK"/>
        </w:rPr>
      </w:pPr>
      <w:r w:rsidRPr="00717BD8">
        <w:rPr>
          <w:rFonts w:ascii="StobiSerif Regular" w:hAnsi="StobiSerif Regular"/>
          <w:lang w:val="en-US" w:eastAsia="mk-MK"/>
        </w:rPr>
        <w:t xml:space="preserve">Годишниот план за ревизија за 2017 година на </w:t>
      </w:r>
      <w:r w:rsidRPr="00717BD8">
        <w:rPr>
          <w:rFonts w:ascii="StobiSerif Regular" w:hAnsi="StobiSerif Regular"/>
          <w:lang w:eastAsia="mk-MK"/>
        </w:rPr>
        <w:t>Секторот</w:t>
      </w:r>
      <w:r w:rsidRPr="00717BD8">
        <w:rPr>
          <w:rFonts w:ascii="StobiSerif Regular" w:hAnsi="StobiSerif Regular"/>
          <w:lang w:val="en-US" w:eastAsia="mk-MK"/>
        </w:rPr>
        <w:t xml:space="preserve"> за внатрешна ревизија во Министерството за финансии (Арх.бр.23-7875/1 од 02.12.2016) предвидува една ревизорска мисија во НАО / ОС на процесите на управување со ризик и човечките ресурси во Сектор за управување со ИПА фондовите.</w:t>
      </w:r>
    </w:p>
    <w:p w:rsidR="00194389" w:rsidRPr="00194389" w:rsidRDefault="00194389" w:rsidP="00194389">
      <w:pPr>
        <w:spacing w:before="120" w:after="120" w:line="240" w:lineRule="auto"/>
        <w:jc w:val="both"/>
        <w:rPr>
          <w:rFonts w:ascii="StobiSerif Regular" w:hAnsi="StobiSerif Regular"/>
          <w:sz w:val="24"/>
          <w:szCs w:val="24"/>
          <w:u w:val="single"/>
          <w:lang w:val="en-US" w:eastAsia="mk-MK"/>
        </w:rPr>
      </w:pPr>
      <w:r w:rsidRPr="00194389">
        <w:rPr>
          <w:rFonts w:ascii="StobiSerif Regular" w:hAnsi="StobiSerif Regular"/>
          <w:u w:val="single"/>
          <w:lang w:val="en-US" w:eastAsia="mk-MK"/>
        </w:rPr>
        <w:t>ИПАРД Агенција</w:t>
      </w:r>
    </w:p>
    <w:p w:rsidR="00194389" w:rsidRPr="00194389" w:rsidRDefault="00194389" w:rsidP="00194389">
      <w:pPr>
        <w:spacing w:before="120" w:after="120" w:line="240" w:lineRule="auto"/>
        <w:ind w:firstLine="360"/>
        <w:jc w:val="both"/>
        <w:rPr>
          <w:rFonts w:ascii="StobiSerif Regular" w:hAnsi="StobiSerif Regular"/>
          <w:lang w:eastAsia="mk-MK"/>
        </w:rPr>
      </w:pPr>
      <w:r w:rsidRPr="00194389">
        <w:rPr>
          <w:rFonts w:ascii="StobiSerif Regular" w:hAnsi="StobiSerif Regular"/>
          <w:lang w:eastAsia="mk-MK"/>
        </w:rPr>
        <w:t>Со Решение Арх.бр.</w:t>
      </w:r>
      <w:r w:rsidRPr="00194389">
        <w:rPr>
          <w:rFonts w:ascii="StobiSerif Regular" w:hAnsi="StobiSerif Regular"/>
          <w:lang w:val="en-US" w:eastAsia="mk-MK"/>
        </w:rPr>
        <w:t>32-5051 / 2 од 15.12.2015</w:t>
      </w:r>
      <w:r w:rsidRPr="00194389">
        <w:rPr>
          <w:rFonts w:ascii="StobiSerif Regular" w:hAnsi="StobiSerif Regular"/>
          <w:lang w:eastAsia="mk-MK"/>
        </w:rPr>
        <w:t xml:space="preserve"> беше усвоен </w:t>
      </w:r>
      <w:r w:rsidRPr="00194389">
        <w:rPr>
          <w:rFonts w:ascii="StobiSerif Regular" w:hAnsi="StobiSerif Regular"/>
          <w:lang w:val="en-US" w:eastAsia="mk-MK"/>
        </w:rPr>
        <w:t>План за внатрешна ревизија во ИПАРД Агенцијата за 2016 година. Според</w:t>
      </w:r>
      <w:r w:rsidRPr="00194389">
        <w:rPr>
          <w:rFonts w:ascii="StobiSerif Regular" w:hAnsi="StobiSerif Regular"/>
          <w:lang w:eastAsia="mk-MK"/>
        </w:rPr>
        <w:t xml:space="preserve"> Планот за</w:t>
      </w:r>
      <w:r w:rsidRPr="00194389">
        <w:rPr>
          <w:rFonts w:ascii="StobiSerif Regular" w:hAnsi="StobiSerif Regular"/>
          <w:lang w:val="en-US" w:eastAsia="mk-MK"/>
        </w:rPr>
        <w:t xml:space="preserve"> ревизија, </w:t>
      </w:r>
      <w:r w:rsidRPr="00194389">
        <w:rPr>
          <w:rFonts w:ascii="StobiSerif Regular" w:hAnsi="StobiSerif Regular"/>
          <w:lang w:eastAsia="mk-MK"/>
        </w:rPr>
        <w:t xml:space="preserve">за 2016 </w:t>
      </w:r>
      <w:r w:rsidRPr="00194389">
        <w:rPr>
          <w:rFonts w:ascii="StobiSerif Regular" w:hAnsi="StobiSerif Regular"/>
          <w:lang w:val="en-US" w:eastAsia="mk-MK"/>
        </w:rPr>
        <w:t>беа планирани 10</w:t>
      </w:r>
      <w:r w:rsidRPr="00194389">
        <w:rPr>
          <w:rFonts w:ascii="StobiSerif Regular" w:hAnsi="StobiSerif Regular"/>
          <w:lang w:eastAsia="mk-MK"/>
        </w:rPr>
        <w:t xml:space="preserve"> ревизии</w:t>
      </w:r>
      <w:r w:rsidRPr="00194389">
        <w:rPr>
          <w:rFonts w:ascii="StobiSerif Regular" w:hAnsi="StobiSerif Regular"/>
          <w:lang w:val="en-US" w:eastAsia="mk-MK"/>
        </w:rPr>
        <w:t>, од кои 9 беа спроведени</w:t>
      </w:r>
      <w:r w:rsidRPr="00194389">
        <w:rPr>
          <w:rFonts w:ascii="StobiSerif Regular" w:hAnsi="StobiSerif Regular"/>
          <w:lang w:eastAsia="mk-MK"/>
        </w:rPr>
        <w:t xml:space="preserve"> односно:</w:t>
      </w:r>
    </w:p>
    <w:p w:rsidR="00194389" w:rsidRPr="00194389" w:rsidRDefault="00156A6B" w:rsidP="00BA1CE8">
      <w:pPr>
        <w:numPr>
          <w:ilvl w:val="0"/>
          <w:numId w:val="24"/>
        </w:numPr>
        <w:spacing w:before="120" w:after="120" w:line="240" w:lineRule="auto"/>
        <w:jc w:val="both"/>
        <w:rPr>
          <w:rFonts w:ascii="StobiSerif Regular" w:hAnsi="StobiSerif Regular"/>
          <w:lang w:val="en-US" w:eastAsia="mk-MK"/>
        </w:rPr>
      </w:pPr>
      <w:r>
        <w:rPr>
          <w:rFonts w:ascii="StobiSerif Regular" w:hAnsi="StobiSerif Regular"/>
          <w:lang w:eastAsia="mk-MK"/>
        </w:rPr>
        <w:t>Следење на</w:t>
      </w:r>
      <w:r w:rsidR="00194389" w:rsidRPr="00194389">
        <w:rPr>
          <w:rFonts w:ascii="StobiSerif Regular" w:hAnsi="StobiSerif Regular"/>
          <w:lang w:val="en-US" w:eastAsia="mk-MK"/>
        </w:rPr>
        <w:t xml:space="preserve"> ревизија на спроведување на препораките;</w:t>
      </w:r>
    </w:p>
    <w:p w:rsidR="00194389" w:rsidRPr="00194389" w:rsidRDefault="00194389" w:rsidP="00BA1CE8">
      <w:pPr>
        <w:numPr>
          <w:ilvl w:val="0"/>
          <w:numId w:val="24"/>
        </w:numPr>
        <w:spacing w:before="120" w:after="120" w:line="240" w:lineRule="auto"/>
        <w:jc w:val="both"/>
        <w:rPr>
          <w:rFonts w:ascii="StobiSerif Regular" w:hAnsi="StobiSerif Regular"/>
          <w:lang w:val="en-US" w:eastAsia="mk-MK"/>
        </w:rPr>
      </w:pPr>
      <w:r w:rsidRPr="00194389">
        <w:rPr>
          <w:rFonts w:ascii="StobiSerif Regular" w:hAnsi="StobiSerif Regular"/>
          <w:lang w:eastAsia="mk-MK"/>
        </w:rPr>
        <w:t>Р</w:t>
      </w:r>
      <w:r w:rsidRPr="00194389">
        <w:rPr>
          <w:rFonts w:ascii="StobiSerif Regular" w:hAnsi="StobiSerif Regular"/>
          <w:lang w:val="en-US" w:eastAsia="mk-MK"/>
        </w:rPr>
        <w:t>евизија на процесот на одобрување на проекти и склучување договори за мерката 103 од ИПАРД Програмата 2007-2013</w:t>
      </w:r>
    </w:p>
    <w:p w:rsidR="00194389" w:rsidRPr="00194389" w:rsidRDefault="00194389" w:rsidP="00BA1CE8">
      <w:pPr>
        <w:numPr>
          <w:ilvl w:val="0"/>
          <w:numId w:val="24"/>
        </w:numPr>
        <w:spacing w:before="120" w:after="120" w:line="240" w:lineRule="auto"/>
        <w:jc w:val="both"/>
        <w:rPr>
          <w:rFonts w:ascii="StobiSerif Regular" w:hAnsi="StobiSerif Regular"/>
          <w:lang w:val="en-US" w:eastAsia="mk-MK"/>
        </w:rPr>
      </w:pPr>
      <w:r w:rsidRPr="00194389">
        <w:rPr>
          <w:rFonts w:ascii="StobiSerif Regular" w:hAnsi="StobiSerif Regular"/>
          <w:lang w:val="en-US" w:eastAsia="mk-MK"/>
        </w:rPr>
        <w:t>Ревизија на контроли на самото место пред исплата од ИПАРД Програмата 2007-2013</w:t>
      </w:r>
    </w:p>
    <w:p w:rsidR="00194389" w:rsidRPr="00194389" w:rsidRDefault="00EF70E1" w:rsidP="00BA1CE8">
      <w:pPr>
        <w:numPr>
          <w:ilvl w:val="0"/>
          <w:numId w:val="24"/>
        </w:numPr>
        <w:spacing w:before="120" w:after="120" w:line="240" w:lineRule="auto"/>
        <w:jc w:val="both"/>
        <w:rPr>
          <w:rFonts w:ascii="StobiSerif Regular" w:hAnsi="StobiSerif Regular"/>
          <w:lang w:val="en-US" w:eastAsia="mk-MK"/>
        </w:rPr>
      </w:pPr>
      <w:r>
        <w:rPr>
          <w:rFonts w:ascii="StobiSerif Regular" w:hAnsi="StobiSerif Regular"/>
          <w:lang w:eastAsia="mk-MK"/>
        </w:rPr>
        <w:t xml:space="preserve">Повторно спроведување на </w:t>
      </w:r>
      <w:r w:rsidR="00194389" w:rsidRPr="00194389">
        <w:rPr>
          <w:rFonts w:ascii="StobiSerif Regular" w:hAnsi="StobiSerif Regular"/>
          <w:lang w:val="en-US" w:eastAsia="mk-MK"/>
        </w:rPr>
        <w:t xml:space="preserve"> </w:t>
      </w:r>
      <w:r w:rsidR="00194389" w:rsidRPr="00194389">
        <w:rPr>
          <w:rFonts w:ascii="StobiSerif Regular" w:hAnsi="StobiSerif Regular"/>
          <w:lang w:eastAsia="mk-MK"/>
        </w:rPr>
        <w:t>Ревизија на првиот повик за користење на средства од мерка 501 - Техничка помош од ИПАРД Програмата 2007-2013</w:t>
      </w:r>
    </w:p>
    <w:p w:rsidR="00194389" w:rsidRPr="00194389" w:rsidRDefault="00194389" w:rsidP="00BA1CE8">
      <w:pPr>
        <w:numPr>
          <w:ilvl w:val="0"/>
          <w:numId w:val="24"/>
        </w:numPr>
        <w:spacing w:before="120" w:after="120" w:line="240" w:lineRule="auto"/>
        <w:jc w:val="both"/>
        <w:rPr>
          <w:rFonts w:ascii="StobiSerif Regular" w:hAnsi="StobiSerif Regular"/>
          <w:lang w:val="en-US" w:eastAsia="mk-MK"/>
        </w:rPr>
      </w:pPr>
      <w:r w:rsidRPr="00194389">
        <w:rPr>
          <w:rFonts w:ascii="StobiSerif Regular" w:hAnsi="StobiSerif Regular"/>
          <w:lang w:eastAsia="mk-MK"/>
        </w:rPr>
        <w:t xml:space="preserve"> </w:t>
      </w:r>
      <w:r w:rsidR="00EF70E1">
        <w:rPr>
          <w:rFonts w:ascii="StobiSerif Regular" w:hAnsi="StobiSerif Regular"/>
          <w:lang w:eastAsia="mk-MK"/>
        </w:rPr>
        <w:t>Р</w:t>
      </w:r>
      <w:r w:rsidRPr="00194389">
        <w:rPr>
          <w:rFonts w:ascii="StobiSerif Regular" w:hAnsi="StobiSerif Regular"/>
          <w:lang w:eastAsia="mk-MK"/>
        </w:rPr>
        <w:t xml:space="preserve">евизија </w:t>
      </w:r>
      <w:r w:rsidR="00EF70E1">
        <w:rPr>
          <w:rFonts w:ascii="StobiSerif Regular" w:hAnsi="StobiSerif Regular"/>
          <w:lang w:eastAsia="mk-MK"/>
        </w:rPr>
        <w:t xml:space="preserve">за </w:t>
      </w:r>
      <w:r w:rsidRPr="00194389">
        <w:rPr>
          <w:rFonts w:ascii="StobiSerif Regular" w:hAnsi="StobiSerif Regular"/>
          <w:lang w:eastAsia="mk-MK"/>
        </w:rPr>
        <w:t>самооценување во Агенцијата за финансиска поддршка на земјоделството и руралниот развој за имплементација на мерката Инвестиции во јавната рурална инфраструктура од ИПАРД Програмата 2014-2020</w:t>
      </w:r>
    </w:p>
    <w:p w:rsidR="00194389" w:rsidRPr="00194389" w:rsidRDefault="00EF70E1" w:rsidP="00EF70E1">
      <w:pPr>
        <w:numPr>
          <w:ilvl w:val="0"/>
          <w:numId w:val="24"/>
        </w:numPr>
        <w:spacing w:before="120" w:after="120" w:line="240" w:lineRule="auto"/>
        <w:jc w:val="both"/>
        <w:rPr>
          <w:rFonts w:ascii="StobiSerif Regular" w:hAnsi="StobiSerif Regular"/>
          <w:lang w:val="en-US" w:eastAsia="mk-MK"/>
        </w:rPr>
      </w:pPr>
      <w:r w:rsidRPr="00EF70E1">
        <w:rPr>
          <w:rFonts w:ascii="StobiSerif Regular" w:hAnsi="StobiSerif Regular"/>
          <w:lang w:val="en-US" w:eastAsia="mk-MK"/>
        </w:rPr>
        <w:t>Ревизија за процесот на развој и спроведување на плановите за обука за 2016 година во Агенцијата за финансиска поддршка на земјоделството и руралниот развој</w:t>
      </w:r>
      <w:r w:rsidR="00194389" w:rsidRPr="00194389">
        <w:rPr>
          <w:rFonts w:ascii="StobiSerif Regular" w:hAnsi="StobiSerif Regular"/>
          <w:lang w:val="en-US" w:eastAsia="mk-MK"/>
        </w:rPr>
        <w:t>.</w:t>
      </w:r>
    </w:p>
    <w:p w:rsidR="00194389" w:rsidRPr="00194389" w:rsidRDefault="00194389" w:rsidP="00194389">
      <w:pPr>
        <w:spacing w:before="120" w:after="120" w:line="240" w:lineRule="auto"/>
        <w:ind w:firstLine="360"/>
        <w:jc w:val="both"/>
        <w:rPr>
          <w:rFonts w:ascii="StobiSerif Regular" w:hAnsi="StobiSerif Regular"/>
          <w:lang w:eastAsia="mk-MK"/>
        </w:rPr>
      </w:pPr>
      <w:r w:rsidRPr="00194389">
        <w:rPr>
          <w:rFonts w:ascii="StobiSerif Regular" w:hAnsi="StobiSerif Regular"/>
          <w:lang w:eastAsia="mk-MK"/>
        </w:rPr>
        <w:t xml:space="preserve">Во врска со ревизиите издадени се следниве нацрт наоди: </w:t>
      </w:r>
    </w:p>
    <w:p w:rsidR="00194389" w:rsidRPr="00194389" w:rsidRDefault="00194389" w:rsidP="00BA1CE8">
      <w:pPr>
        <w:numPr>
          <w:ilvl w:val="0"/>
          <w:numId w:val="25"/>
        </w:numPr>
        <w:spacing w:before="120" w:after="120" w:line="240" w:lineRule="auto"/>
        <w:jc w:val="both"/>
        <w:rPr>
          <w:rFonts w:ascii="StobiSerif Regular" w:hAnsi="StobiSerif Regular"/>
          <w:lang w:val="en-US" w:eastAsia="mk-MK"/>
        </w:rPr>
      </w:pPr>
      <w:r w:rsidRPr="00194389">
        <w:rPr>
          <w:rFonts w:ascii="StobiSerif Regular" w:hAnsi="StobiSerif Regular"/>
          <w:lang w:eastAsia="mk-MK"/>
        </w:rPr>
        <w:t xml:space="preserve">Ревизија на процесот за одобрување на исплати од ИПАРД Програмата 2007-2013 (бр 32-77 / 2 од </w:t>
      </w:r>
      <w:r w:rsidRPr="00194389">
        <w:rPr>
          <w:rFonts w:ascii="StobiSerif Regular" w:hAnsi="StobiSerif Regular"/>
          <w:lang w:val="en-US" w:eastAsia="mk-MK"/>
        </w:rPr>
        <w:t>17.02.2017</w:t>
      </w:r>
      <w:r w:rsidRPr="00194389">
        <w:rPr>
          <w:rFonts w:ascii="StobiSerif Regular" w:hAnsi="StobiSerif Regular"/>
          <w:lang w:eastAsia="mk-MK"/>
        </w:rPr>
        <w:t>)</w:t>
      </w:r>
    </w:p>
    <w:p w:rsidR="00194389" w:rsidRPr="00194389" w:rsidRDefault="00194389" w:rsidP="00BA1CE8">
      <w:pPr>
        <w:numPr>
          <w:ilvl w:val="0"/>
          <w:numId w:val="25"/>
        </w:numPr>
        <w:spacing w:before="120" w:after="120" w:line="240" w:lineRule="auto"/>
        <w:jc w:val="both"/>
        <w:rPr>
          <w:rFonts w:ascii="StobiSerif Regular" w:hAnsi="StobiSerif Regular"/>
          <w:lang w:val="en-US" w:eastAsia="mk-MK"/>
        </w:rPr>
      </w:pPr>
      <w:r w:rsidRPr="00194389">
        <w:rPr>
          <w:rFonts w:ascii="StobiSerif Regular" w:hAnsi="StobiSerif Regular"/>
          <w:lang w:eastAsia="mk-MK"/>
        </w:rPr>
        <w:t>Ревизија на процесот на водење на базата на податоци на референтни цени во текот на спроведувањето на ИПАРД Програмата 2007-2013 година (Арх.бр.32-79 / 2 од 17.02.2017</w:t>
      </w:r>
    </w:p>
    <w:p w:rsidR="00194389" w:rsidRPr="00194389" w:rsidRDefault="00194389" w:rsidP="00BA1CE8">
      <w:pPr>
        <w:numPr>
          <w:ilvl w:val="0"/>
          <w:numId w:val="25"/>
        </w:numPr>
        <w:spacing w:before="120" w:after="120" w:line="240" w:lineRule="auto"/>
        <w:jc w:val="both"/>
        <w:rPr>
          <w:rFonts w:ascii="StobiSerif Regular" w:hAnsi="StobiSerif Regular"/>
          <w:lang w:val="en-US" w:eastAsia="mk-MK"/>
        </w:rPr>
      </w:pPr>
      <w:r w:rsidRPr="00194389">
        <w:rPr>
          <w:rFonts w:ascii="StobiSerif Regular" w:hAnsi="StobiSerif Regular"/>
          <w:lang w:eastAsia="mk-MK"/>
        </w:rPr>
        <w:t xml:space="preserve">Ревизија на процесот на водење на сметководствената евиденција во 2016 година од ИПАРД Програмата 2007-2013 (Арх.бр 32-78 / 2 од  </w:t>
      </w:r>
      <w:r w:rsidRPr="00194389">
        <w:rPr>
          <w:rFonts w:ascii="StobiSerif Regular" w:hAnsi="StobiSerif Regular"/>
          <w:lang w:val="en-US" w:eastAsia="mk-MK"/>
        </w:rPr>
        <w:t>17.02.2017</w:t>
      </w:r>
      <w:r w:rsidRPr="00194389">
        <w:rPr>
          <w:rFonts w:ascii="StobiSerif Regular" w:hAnsi="StobiSerif Regular"/>
          <w:lang w:eastAsia="mk-MK"/>
        </w:rPr>
        <w:t>).</w:t>
      </w:r>
    </w:p>
    <w:p w:rsidR="00194389" w:rsidRPr="00194389" w:rsidRDefault="00194389" w:rsidP="00194389">
      <w:pPr>
        <w:spacing w:before="120" w:after="120" w:line="240" w:lineRule="auto"/>
        <w:ind w:firstLine="284"/>
        <w:jc w:val="both"/>
        <w:rPr>
          <w:rFonts w:ascii="StobiSerif Regular" w:hAnsi="StobiSerif Regular"/>
          <w:lang w:val="en-US" w:eastAsia="mk-MK"/>
        </w:rPr>
      </w:pPr>
      <w:r w:rsidRPr="00194389">
        <w:rPr>
          <w:rFonts w:ascii="StobiSerif Regular" w:hAnsi="StobiSerif Regular"/>
          <w:lang w:val="en-US" w:eastAsia="mk-MK"/>
        </w:rPr>
        <w:t>Ревизијата за подготовка за акредитација на мерката Советодавни услуги и Leader од ИПАРД Програмата 2014-2020 планирана за извршување</w:t>
      </w:r>
      <w:r w:rsidRPr="00194389">
        <w:rPr>
          <w:rFonts w:ascii="StobiSerif Regular" w:hAnsi="StobiSerif Regular"/>
          <w:lang w:eastAsia="mk-MK"/>
        </w:rPr>
        <w:t xml:space="preserve"> во</w:t>
      </w:r>
      <w:r w:rsidRPr="00194389">
        <w:rPr>
          <w:rFonts w:ascii="StobiSerif Regular" w:hAnsi="StobiSerif Regular"/>
          <w:lang w:val="en-US" w:eastAsia="mk-MK"/>
        </w:rPr>
        <w:t xml:space="preserve"> текот на 2016 година не е спроведена бидејќи процес</w:t>
      </w:r>
      <w:r w:rsidRPr="00194389">
        <w:rPr>
          <w:rFonts w:ascii="StobiSerif Regular" w:hAnsi="StobiSerif Regular"/>
          <w:lang w:eastAsia="mk-MK"/>
        </w:rPr>
        <w:t>от</w:t>
      </w:r>
      <w:r w:rsidRPr="00194389">
        <w:rPr>
          <w:rFonts w:ascii="StobiSerif Regular" w:hAnsi="StobiSerif Regular"/>
          <w:lang w:val="en-US" w:eastAsia="mk-MK"/>
        </w:rPr>
        <w:t xml:space="preserve"> за акредитација на овие мерки е во почетна фаза. Спроведување на препораките на ревизијата беа набљудувани од страна на НАО преку Табела за следење на спроведувањето на препораките од ревизиите </w:t>
      </w:r>
      <w:r w:rsidRPr="00194389">
        <w:rPr>
          <w:rFonts w:ascii="StobiSerif Regular" w:hAnsi="StobiSerif Regular"/>
          <w:lang w:eastAsia="mk-MK"/>
        </w:rPr>
        <w:t>доставени</w:t>
      </w:r>
      <w:r w:rsidRPr="00194389">
        <w:rPr>
          <w:rFonts w:ascii="StobiSerif Regular" w:hAnsi="StobiSerif Regular"/>
          <w:lang w:val="en-US" w:eastAsia="mk-MK"/>
        </w:rPr>
        <w:t xml:space="preserve"> од ИПАРД Агенцијата на квартална основа. Поголемиот дел од препораките наведени во ревизорските извештаи се соодветно спроведени.</w:t>
      </w:r>
    </w:p>
    <w:p w:rsidR="00194389" w:rsidRPr="00E04969" w:rsidRDefault="00194389" w:rsidP="00156A6B">
      <w:pPr>
        <w:spacing w:before="120" w:after="120" w:line="240" w:lineRule="auto"/>
        <w:jc w:val="both"/>
        <w:rPr>
          <w:rFonts w:ascii="StobiSerif Regular" w:hAnsi="StobiSerif Regular"/>
          <w:lang w:val="en-US" w:eastAsia="mk-MK"/>
        </w:rPr>
      </w:pPr>
      <w:r w:rsidRPr="00E04969">
        <w:rPr>
          <w:rFonts w:ascii="StobiSerif Regular" w:hAnsi="StobiSerif Regular"/>
          <w:lang w:val="en-US" w:eastAsia="mk-MK"/>
        </w:rPr>
        <w:t>Според резимето на наодите на внатрешната ревизија од страна на ИПАРД Агенцијата, 21% од препораките на ревизијата од претходните години беа спроведени. Останатите 79% од препораките на ревизијата се уште се во временска рамка за имплементација, во согласност со роковите договорени во извештаите. Имплементацијата на овие препораки е во тек</w:t>
      </w:r>
    </w:p>
    <w:p w:rsidR="00194389" w:rsidRDefault="00194389" w:rsidP="00156A6B">
      <w:pPr>
        <w:spacing w:before="120" w:after="120" w:line="240" w:lineRule="auto"/>
        <w:jc w:val="both"/>
        <w:rPr>
          <w:rFonts w:ascii="StobiSerif Regular" w:hAnsi="StobiSerif Regular"/>
          <w:sz w:val="24"/>
          <w:szCs w:val="24"/>
          <w:lang w:eastAsia="mk-MK"/>
        </w:rPr>
      </w:pPr>
      <w:r w:rsidRPr="00E04969">
        <w:rPr>
          <w:rFonts w:ascii="StobiSerif Regular" w:hAnsi="StobiSerif Regular"/>
          <w:lang w:eastAsia="mk-MK"/>
        </w:rPr>
        <w:t xml:space="preserve">Усвоен е </w:t>
      </w:r>
      <w:r w:rsidRPr="00E04969">
        <w:rPr>
          <w:rFonts w:ascii="StobiSerif Regular" w:hAnsi="StobiSerif Regular"/>
          <w:lang w:val="en-US" w:eastAsia="mk-MK"/>
        </w:rPr>
        <w:t xml:space="preserve">Годишниот план за ревизија за 2017 година на </w:t>
      </w:r>
      <w:r w:rsidRPr="00E04969">
        <w:rPr>
          <w:rFonts w:ascii="StobiSerif Regular" w:hAnsi="StobiSerif Regular"/>
          <w:lang w:eastAsia="mk-MK"/>
        </w:rPr>
        <w:t>Секторот</w:t>
      </w:r>
      <w:r w:rsidRPr="00E04969">
        <w:rPr>
          <w:rFonts w:ascii="StobiSerif Regular" w:hAnsi="StobiSerif Regular"/>
          <w:lang w:val="en-US" w:eastAsia="mk-MK"/>
        </w:rPr>
        <w:t xml:space="preserve"> за внатрешна ревизија во рамките на ИПАРД Агенцијата (Арх.бр..32-786 / 1 од</w:t>
      </w:r>
      <w:r w:rsidRPr="00E04969">
        <w:rPr>
          <w:rFonts w:ascii="StobiSerif Regular" w:hAnsi="StobiSerif Regular"/>
          <w:lang w:eastAsia="mk-MK"/>
        </w:rPr>
        <w:t xml:space="preserve"> </w:t>
      </w:r>
      <w:r w:rsidRPr="00E04969">
        <w:rPr>
          <w:rFonts w:ascii="StobiSerif Regular" w:hAnsi="StobiSerif Regular"/>
          <w:lang w:val="en-US" w:eastAsia="mk-MK"/>
        </w:rPr>
        <w:t>09.02.2017). Планот предвидува 7 (седум) ревизорски мисии над ИПАРД процеси</w:t>
      </w:r>
      <w:r w:rsidRPr="00194389">
        <w:rPr>
          <w:rFonts w:ascii="StobiSerif Regular" w:hAnsi="StobiSerif Regular"/>
          <w:sz w:val="24"/>
          <w:szCs w:val="24"/>
          <w:lang w:val="en-US" w:eastAsia="mk-MK"/>
        </w:rPr>
        <w:t>.</w:t>
      </w:r>
    </w:p>
    <w:p w:rsidR="007C2528" w:rsidRPr="007C2528" w:rsidRDefault="007C2528" w:rsidP="00156A6B">
      <w:pPr>
        <w:spacing w:before="120" w:after="120" w:line="240" w:lineRule="auto"/>
        <w:jc w:val="both"/>
        <w:rPr>
          <w:rFonts w:ascii="StobiSerif Regular" w:hAnsi="StobiSerif Regular"/>
          <w:sz w:val="24"/>
          <w:szCs w:val="24"/>
          <w:lang w:eastAsia="mk-MK"/>
        </w:rPr>
      </w:pPr>
    </w:p>
    <w:p w:rsidR="00194389" w:rsidRPr="00194389" w:rsidRDefault="00194389" w:rsidP="00194389">
      <w:pPr>
        <w:spacing w:before="120" w:after="120" w:line="240" w:lineRule="auto"/>
        <w:jc w:val="both"/>
        <w:rPr>
          <w:rFonts w:ascii="StobiSerif Regular" w:hAnsi="StobiSerif Regular"/>
          <w:sz w:val="24"/>
          <w:szCs w:val="24"/>
          <w:u w:val="single"/>
          <w:lang w:eastAsia="mk-MK"/>
        </w:rPr>
      </w:pPr>
      <w:r w:rsidRPr="00194389">
        <w:rPr>
          <w:rFonts w:ascii="StobiSerif Regular" w:hAnsi="StobiSerif Regular"/>
          <w:u w:val="single"/>
          <w:lang w:val="en-US" w:eastAsia="mk-MK"/>
        </w:rPr>
        <w:t xml:space="preserve">Тело </w:t>
      </w:r>
      <w:r w:rsidRPr="00194389">
        <w:rPr>
          <w:rFonts w:ascii="StobiSerif Regular" w:hAnsi="StobiSerif Regular"/>
          <w:u w:val="single"/>
          <w:lang w:eastAsia="mk-MK"/>
        </w:rPr>
        <w:t>за управување</w:t>
      </w:r>
    </w:p>
    <w:p w:rsidR="00194389" w:rsidRPr="00194389" w:rsidRDefault="00194389" w:rsidP="00194389">
      <w:pPr>
        <w:spacing w:before="120" w:after="120" w:line="240" w:lineRule="auto"/>
        <w:ind w:firstLine="284"/>
        <w:jc w:val="both"/>
        <w:rPr>
          <w:rFonts w:ascii="StobiSerif Regular" w:hAnsi="StobiSerif Regular"/>
          <w:lang w:eastAsia="mk-MK"/>
        </w:rPr>
      </w:pPr>
      <w:r w:rsidRPr="00194389">
        <w:rPr>
          <w:rFonts w:ascii="StobiSerif Regular" w:hAnsi="StobiSerif Regular"/>
          <w:lang w:eastAsia="mk-MK"/>
        </w:rPr>
        <w:t>Во Телото за управување, внатрешната ревизија се спроведува од страна на Сектор за внатрешна ревизија при МЗШВ.</w:t>
      </w:r>
    </w:p>
    <w:p w:rsidR="00194389" w:rsidRPr="00194389" w:rsidRDefault="00194389" w:rsidP="00194389">
      <w:pPr>
        <w:spacing w:before="120" w:after="120" w:line="240" w:lineRule="auto"/>
        <w:jc w:val="both"/>
        <w:rPr>
          <w:rFonts w:ascii="StobiSerif Regular" w:hAnsi="StobiSerif Regular"/>
          <w:lang w:val="en-US" w:eastAsia="mk-MK"/>
        </w:rPr>
      </w:pPr>
      <w:r w:rsidRPr="00194389">
        <w:rPr>
          <w:rFonts w:ascii="StobiSerif Regular" w:hAnsi="StobiSerif Regular"/>
          <w:lang w:val="en-US" w:eastAsia="mk-MK"/>
        </w:rPr>
        <w:t xml:space="preserve">Според планот за внатрешна ревизија за 2016 година (Арх.бр.19-12461 / 1 од14.12.2015), беа планирани две ревизии во </w:t>
      </w:r>
      <w:r w:rsidRPr="00194389">
        <w:rPr>
          <w:rFonts w:ascii="StobiSerif Regular" w:hAnsi="StobiSerif Regular"/>
          <w:lang w:eastAsia="mk-MK"/>
        </w:rPr>
        <w:t>однос на</w:t>
      </w:r>
      <w:r w:rsidRPr="00194389">
        <w:rPr>
          <w:rFonts w:ascii="StobiSerif Regular" w:hAnsi="StobiSerif Regular"/>
          <w:lang w:val="en-US" w:eastAsia="mk-MK"/>
        </w:rPr>
        <w:t xml:space="preserve"> </w:t>
      </w:r>
      <w:r w:rsidRPr="00194389">
        <w:rPr>
          <w:rFonts w:ascii="StobiSerif Regular" w:hAnsi="StobiSerif Regular"/>
          <w:lang w:eastAsia="mk-MK"/>
        </w:rPr>
        <w:t>ТУ</w:t>
      </w:r>
      <w:r w:rsidRPr="00194389">
        <w:rPr>
          <w:rFonts w:ascii="StobiSerif Regular" w:hAnsi="StobiSerif Regular"/>
          <w:lang w:val="en-US" w:eastAsia="mk-MK"/>
        </w:rPr>
        <w:t xml:space="preserve"> (</w:t>
      </w:r>
      <w:r w:rsidRPr="00194389">
        <w:rPr>
          <w:rFonts w:ascii="StobiSerif Regular" w:hAnsi="StobiSerif Regular"/>
          <w:lang w:eastAsia="mk-MK"/>
        </w:rPr>
        <w:t>Сектор за управување со ИПАРД</w:t>
      </w:r>
      <w:r w:rsidRPr="00194389">
        <w:rPr>
          <w:rFonts w:ascii="StobiSerif Regular" w:hAnsi="StobiSerif Regular"/>
          <w:lang w:val="en-US" w:eastAsia="mk-MK"/>
        </w:rPr>
        <w:t>):</w:t>
      </w:r>
    </w:p>
    <w:p w:rsidR="00194389" w:rsidRPr="00194389" w:rsidRDefault="00194389" w:rsidP="00BA1CE8">
      <w:pPr>
        <w:numPr>
          <w:ilvl w:val="0"/>
          <w:numId w:val="47"/>
        </w:numPr>
        <w:spacing w:before="120" w:after="120" w:line="240" w:lineRule="auto"/>
        <w:jc w:val="both"/>
        <w:rPr>
          <w:rFonts w:ascii="StobiSerif Regular" w:hAnsi="StobiSerif Regular"/>
          <w:lang w:val="en-US" w:eastAsia="mk-MK"/>
        </w:rPr>
      </w:pPr>
      <w:r w:rsidRPr="00194389">
        <w:rPr>
          <w:rFonts w:ascii="StobiSerif Regular" w:hAnsi="StobiSerif Regular"/>
          <w:lang w:val="en-US" w:eastAsia="mk-MK"/>
        </w:rPr>
        <w:t xml:space="preserve">Ревизија на </w:t>
      </w:r>
      <w:r w:rsidRPr="00194389">
        <w:rPr>
          <w:rFonts w:ascii="StobiSerif Regular" w:hAnsi="StobiSerif Regular"/>
          <w:lang w:eastAsia="mk-MK"/>
        </w:rPr>
        <w:t>сервис проект</w:t>
      </w:r>
      <w:r w:rsidRPr="00194389">
        <w:rPr>
          <w:rFonts w:ascii="StobiSerif Regular" w:hAnsi="StobiSerif Regular"/>
          <w:lang w:val="en-US" w:eastAsia="mk-MK"/>
        </w:rPr>
        <w:t xml:space="preserve"> - Воведување на нови ИПАРД мерки во рамките на ИПАРД II;</w:t>
      </w:r>
    </w:p>
    <w:p w:rsidR="00194389" w:rsidRPr="00194389" w:rsidRDefault="00194389" w:rsidP="00BA1CE8">
      <w:pPr>
        <w:numPr>
          <w:ilvl w:val="0"/>
          <w:numId w:val="47"/>
        </w:numPr>
        <w:spacing w:before="120" w:after="120" w:line="240" w:lineRule="auto"/>
        <w:jc w:val="both"/>
        <w:rPr>
          <w:rFonts w:ascii="StobiSerif Regular" w:hAnsi="StobiSerif Regular"/>
          <w:lang w:val="en-US" w:eastAsia="mk-MK"/>
        </w:rPr>
      </w:pPr>
      <w:r w:rsidRPr="00194389">
        <w:rPr>
          <w:rFonts w:ascii="StobiSerif Regular" w:hAnsi="StobiSerif Regular"/>
          <w:lang w:val="en-US" w:eastAsia="mk-MK"/>
        </w:rPr>
        <w:t>Ревизија на работата на Одделението за имплементација на техничка помош на ИПАРД фондовите.</w:t>
      </w:r>
    </w:p>
    <w:p w:rsidR="00194389" w:rsidRPr="00194389" w:rsidRDefault="00194389" w:rsidP="00156A6B">
      <w:pPr>
        <w:spacing w:before="120" w:after="120" w:line="240" w:lineRule="auto"/>
        <w:jc w:val="both"/>
        <w:rPr>
          <w:rFonts w:ascii="StobiSerif Regular" w:hAnsi="StobiSerif Regular"/>
          <w:lang w:val="en-US" w:eastAsia="mk-MK"/>
        </w:rPr>
      </w:pPr>
      <w:r w:rsidRPr="00194389">
        <w:rPr>
          <w:rFonts w:ascii="StobiSerif Regular" w:hAnsi="StobiSerif Regular"/>
          <w:lang w:val="en-US" w:eastAsia="mk-MK"/>
        </w:rPr>
        <w:t xml:space="preserve">Во текот на 2016 година, ревизија на </w:t>
      </w:r>
      <w:r w:rsidRPr="00194389">
        <w:rPr>
          <w:rFonts w:ascii="StobiSerif Regular" w:hAnsi="StobiSerif Regular"/>
          <w:lang w:eastAsia="mk-MK"/>
        </w:rPr>
        <w:t>сервис проектот</w:t>
      </w:r>
      <w:r w:rsidRPr="00194389">
        <w:rPr>
          <w:rFonts w:ascii="StobiSerif Regular" w:hAnsi="StobiSerif Regular"/>
          <w:lang w:val="en-US" w:eastAsia="mk-MK"/>
        </w:rPr>
        <w:t xml:space="preserve"> - Воведување на нови ИПАРД мерки во рамките на ИПАРД II беше спроведена од страна на </w:t>
      </w:r>
      <w:r w:rsidRPr="00194389">
        <w:rPr>
          <w:rFonts w:ascii="StobiSerif Regular" w:hAnsi="StobiSerif Regular"/>
          <w:lang w:eastAsia="mk-MK"/>
        </w:rPr>
        <w:t>Секторот</w:t>
      </w:r>
      <w:r w:rsidRPr="00194389">
        <w:rPr>
          <w:rFonts w:ascii="StobiSerif Regular" w:hAnsi="StobiSerif Regular"/>
          <w:lang w:val="en-US" w:eastAsia="mk-MK"/>
        </w:rPr>
        <w:t xml:space="preserve"> за внатрешна ревизија при Министерството за земјоделство, шумарство и водостопанство. </w:t>
      </w:r>
      <w:r w:rsidRPr="00194389">
        <w:rPr>
          <w:rFonts w:ascii="StobiSerif Regular" w:hAnsi="StobiSerif Regular"/>
          <w:lang w:eastAsia="mk-MK"/>
        </w:rPr>
        <w:t xml:space="preserve">Конечниот </w:t>
      </w:r>
      <w:r w:rsidRPr="00194389">
        <w:rPr>
          <w:rFonts w:ascii="StobiSerif Regular" w:hAnsi="StobiSerif Regular"/>
          <w:lang w:val="en-US" w:eastAsia="mk-MK"/>
        </w:rPr>
        <w:t>извештај е издаден на 27.01.2017.</w:t>
      </w:r>
    </w:p>
    <w:p w:rsidR="00194389" w:rsidRPr="00194389" w:rsidRDefault="00194389" w:rsidP="00156A6B">
      <w:pPr>
        <w:spacing w:before="120" w:after="120" w:line="240" w:lineRule="auto"/>
        <w:jc w:val="both"/>
        <w:rPr>
          <w:rFonts w:ascii="StobiSerif Regular" w:hAnsi="StobiSerif Regular"/>
          <w:lang w:val="en-US" w:eastAsia="mk-MK"/>
        </w:rPr>
      </w:pPr>
      <w:r w:rsidRPr="00194389">
        <w:rPr>
          <w:rFonts w:ascii="StobiSerif Regular" w:hAnsi="StobiSerif Regular"/>
          <w:lang w:val="en-US" w:eastAsia="mk-MK"/>
        </w:rPr>
        <w:t xml:space="preserve">Во извештајот за ревизија, како генерална препорака е забележано дека зајакнувањето на човечките ресурси во </w:t>
      </w:r>
      <w:r w:rsidRPr="00194389">
        <w:rPr>
          <w:rFonts w:ascii="StobiSerif Regular" w:hAnsi="StobiSerif Regular"/>
          <w:lang w:eastAsia="mk-MK"/>
        </w:rPr>
        <w:t>Секторот</w:t>
      </w:r>
      <w:r w:rsidRPr="00194389">
        <w:rPr>
          <w:rFonts w:ascii="StobiSerif Regular" w:hAnsi="StobiSerif Regular"/>
          <w:lang w:val="en-US" w:eastAsia="mk-MK"/>
        </w:rPr>
        <w:t xml:space="preserve"> ИПАРД е важно со цел да се зголеми ефикасноста и ефективноста во имплементацијата на ИПАРД мерки.</w:t>
      </w:r>
    </w:p>
    <w:p w:rsidR="00194389" w:rsidRPr="00194389" w:rsidRDefault="00194389" w:rsidP="00194389">
      <w:pPr>
        <w:spacing w:before="120" w:after="120" w:line="240" w:lineRule="auto"/>
        <w:jc w:val="both"/>
        <w:rPr>
          <w:rFonts w:ascii="StobiSerif Regular" w:hAnsi="StobiSerif Regular"/>
          <w:sz w:val="24"/>
          <w:szCs w:val="24"/>
          <w:lang w:val="en-US" w:eastAsia="mk-MK"/>
        </w:rPr>
      </w:pPr>
      <w:r w:rsidRPr="00E04969">
        <w:rPr>
          <w:rFonts w:ascii="StobiSerif Regular" w:hAnsi="StobiSerif Regular"/>
          <w:lang w:val="en-US" w:eastAsia="mk-MK"/>
        </w:rPr>
        <w:t xml:space="preserve">Од горенаведените </w:t>
      </w:r>
      <w:r w:rsidRPr="00E04969">
        <w:rPr>
          <w:rFonts w:ascii="StobiSerif Regular" w:hAnsi="StobiSerif Regular"/>
          <w:lang w:eastAsia="mk-MK"/>
        </w:rPr>
        <w:t>ревизии</w:t>
      </w:r>
      <w:r w:rsidRPr="00E04969">
        <w:rPr>
          <w:rFonts w:ascii="StobiSerif Regular" w:hAnsi="StobiSerif Regular"/>
          <w:lang w:val="en-US" w:eastAsia="mk-MK"/>
        </w:rPr>
        <w:t>, втората ревизија - Ревизија на работењето на Одделението за имплементација на техничка помош на средствата од ИПАРД програмата е одложена за имплементација во текот на 2017 година и се планира да се спроведе во текот на третиот квартал</w:t>
      </w:r>
      <w:r w:rsidRPr="00E04969">
        <w:rPr>
          <w:rFonts w:ascii="StobiSerif Regular" w:hAnsi="StobiSerif Regular"/>
          <w:lang w:eastAsia="mk-MK"/>
        </w:rPr>
        <w:t xml:space="preserve"> од</w:t>
      </w:r>
      <w:r w:rsidRPr="00E04969">
        <w:rPr>
          <w:rFonts w:ascii="StobiSerif Regular" w:hAnsi="StobiSerif Regular"/>
          <w:lang w:val="en-US" w:eastAsia="mk-MK"/>
        </w:rPr>
        <w:t xml:space="preserve"> 2017 година</w:t>
      </w:r>
      <w:r w:rsidRPr="00E04969">
        <w:rPr>
          <w:rFonts w:ascii="StobiSerif Regular" w:hAnsi="StobiSerif Regular"/>
          <w:lang w:eastAsia="mk-MK"/>
        </w:rPr>
        <w:t>.</w:t>
      </w:r>
      <w:r w:rsidRPr="00E04969">
        <w:rPr>
          <w:rFonts w:ascii="StobiSerif Regular" w:hAnsi="StobiSerif Regular"/>
          <w:lang w:val="en-US" w:eastAsia="mk-MK"/>
        </w:rPr>
        <w:t xml:space="preserve"> Важно</w:t>
      </w:r>
      <w:r w:rsidRPr="00E04969">
        <w:rPr>
          <w:rFonts w:ascii="StobiSerif Regular" w:hAnsi="StobiSerif Regular"/>
          <w:lang w:eastAsia="mk-MK"/>
        </w:rPr>
        <w:t xml:space="preserve"> е</w:t>
      </w:r>
      <w:r w:rsidRPr="00E04969">
        <w:rPr>
          <w:rFonts w:ascii="StobiSerif Regular" w:hAnsi="StobiSerif Regular"/>
          <w:lang w:val="en-US" w:eastAsia="mk-MK"/>
        </w:rPr>
        <w:t xml:space="preserve"> да се напомене дека спроведување</w:t>
      </w:r>
      <w:r w:rsidRPr="00E04969">
        <w:rPr>
          <w:rFonts w:ascii="StobiSerif Regular" w:hAnsi="StobiSerif Regular"/>
          <w:lang w:eastAsia="mk-MK"/>
        </w:rPr>
        <w:t>то</w:t>
      </w:r>
      <w:r w:rsidRPr="00E04969">
        <w:rPr>
          <w:rFonts w:ascii="StobiSerif Regular" w:hAnsi="StobiSerif Regular"/>
          <w:lang w:val="en-US" w:eastAsia="mk-MK"/>
        </w:rPr>
        <w:t xml:space="preserve"> на Техничка</w:t>
      </w:r>
      <w:r w:rsidRPr="00E04969">
        <w:rPr>
          <w:rFonts w:ascii="StobiSerif Regular" w:hAnsi="StobiSerif Regular"/>
          <w:lang w:eastAsia="mk-MK"/>
        </w:rPr>
        <w:t>та</w:t>
      </w:r>
      <w:r w:rsidRPr="00E04969">
        <w:rPr>
          <w:rFonts w:ascii="StobiSerif Regular" w:hAnsi="StobiSerif Regular"/>
          <w:lang w:val="en-US" w:eastAsia="mk-MK"/>
        </w:rPr>
        <w:t xml:space="preserve"> помош мерка (501)</w:t>
      </w:r>
      <w:r w:rsidRPr="00E04969">
        <w:rPr>
          <w:rFonts w:ascii="StobiSerif Regular" w:hAnsi="StobiSerif Regular"/>
          <w:lang w:eastAsia="mk-MK"/>
        </w:rPr>
        <w:t xml:space="preserve"> во ТУ во</w:t>
      </w:r>
      <w:r w:rsidRPr="00E04969">
        <w:rPr>
          <w:rFonts w:ascii="StobiSerif Regular" w:hAnsi="StobiSerif Regular"/>
          <w:lang w:val="en-US" w:eastAsia="mk-MK"/>
        </w:rPr>
        <w:t xml:space="preserve"> текот на 2016 година беше покриен со ревизијата од </w:t>
      </w:r>
      <w:r w:rsidRPr="00E04969">
        <w:rPr>
          <w:rFonts w:ascii="StobiSerif Regular" w:hAnsi="StobiSerif Regular"/>
          <w:lang w:eastAsia="mk-MK"/>
        </w:rPr>
        <w:t>ДЗР</w:t>
      </w:r>
      <w:r w:rsidRPr="00E04969">
        <w:rPr>
          <w:rFonts w:ascii="StobiSerif Regular" w:hAnsi="StobiSerif Regular"/>
          <w:lang w:val="en-US" w:eastAsia="mk-MK"/>
        </w:rPr>
        <w:t xml:space="preserve"> и со </w:t>
      </w:r>
      <w:r w:rsidRPr="00E04969">
        <w:rPr>
          <w:rFonts w:ascii="StobiSerif Regular" w:hAnsi="StobiSerif Regular"/>
          <w:lang w:eastAsia="mk-MK"/>
        </w:rPr>
        <w:t>Верификациската посета од страна на НАО</w:t>
      </w:r>
      <w:r w:rsidRPr="00E04969">
        <w:rPr>
          <w:rFonts w:ascii="StobiSerif Regular" w:hAnsi="StobiSerif Regular"/>
          <w:lang w:val="en-US" w:eastAsia="mk-MK"/>
        </w:rPr>
        <w:t xml:space="preserve">. </w:t>
      </w:r>
      <w:r w:rsidRPr="00E04969">
        <w:rPr>
          <w:rFonts w:ascii="StobiSerif Regular" w:hAnsi="StobiSerif Regular"/>
          <w:lang w:eastAsia="mk-MK"/>
        </w:rPr>
        <w:t xml:space="preserve">Со </w:t>
      </w:r>
      <w:r w:rsidRPr="00E04969">
        <w:rPr>
          <w:rFonts w:ascii="StobiSerif Regular" w:hAnsi="StobiSerif Regular"/>
          <w:lang w:val="en-US" w:eastAsia="mk-MK"/>
        </w:rPr>
        <w:t>Годишниот план за ревизија за 2017 година на Министерството за земјоделство, шумарство и водостопанство (Арх.Бр.22-10851 / 1 од</w:t>
      </w:r>
      <w:r w:rsidRPr="00E04969">
        <w:rPr>
          <w:rFonts w:ascii="StobiSerif Regular" w:hAnsi="StobiSerif Regular"/>
          <w:lang w:eastAsia="mk-MK"/>
        </w:rPr>
        <w:t xml:space="preserve"> </w:t>
      </w:r>
      <w:r w:rsidRPr="00E04969">
        <w:rPr>
          <w:rFonts w:ascii="StobiSerif Regular" w:hAnsi="StobiSerif Regular"/>
          <w:lang w:val="en-US" w:eastAsia="mk-MK"/>
        </w:rPr>
        <w:t xml:space="preserve">19.12.2016) предвидува една ревизорска мисија во </w:t>
      </w:r>
      <w:r w:rsidRPr="00E04969">
        <w:rPr>
          <w:rFonts w:ascii="StobiSerif Regular" w:hAnsi="StobiSerif Regular"/>
          <w:lang w:eastAsia="mk-MK"/>
        </w:rPr>
        <w:t>ТУ односно</w:t>
      </w:r>
      <w:r w:rsidRPr="00194389">
        <w:rPr>
          <w:rFonts w:ascii="StobiSerif Regular" w:hAnsi="StobiSerif Regular"/>
          <w:sz w:val="24"/>
          <w:szCs w:val="24"/>
          <w:lang w:val="en-US" w:eastAsia="mk-MK"/>
        </w:rPr>
        <w:t>:</w:t>
      </w:r>
    </w:p>
    <w:p w:rsidR="00194389" w:rsidRPr="00194389" w:rsidRDefault="00194389" w:rsidP="00BA1CE8">
      <w:pPr>
        <w:numPr>
          <w:ilvl w:val="0"/>
          <w:numId w:val="48"/>
        </w:numPr>
        <w:spacing w:before="120" w:after="120" w:line="240" w:lineRule="auto"/>
        <w:jc w:val="both"/>
        <w:rPr>
          <w:rFonts w:ascii="StobiSerif Regular" w:hAnsi="StobiSerif Regular"/>
          <w:lang w:val="en-US" w:eastAsia="mk-MK"/>
        </w:rPr>
      </w:pPr>
      <w:r w:rsidRPr="00194389">
        <w:rPr>
          <w:rFonts w:ascii="StobiSerif Regular" w:hAnsi="StobiSerif Regular"/>
          <w:lang w:val="en-US" w:eastAsia="mk-MK"/>
        </w:rPr>
        <w:t>Ревизија за работата на Одделението за имплементација на техничка помош на ИПАРД фондовите.</w:t>
      </w:r>
    </w:p>
    <w:p w:rsidR="00194389" w:rsidRPr="00194389" w:rsidRDefault="00194389" w:rsidP="00194389">
      <w:pPr>
        <w:spacing w:before="120" w:after="120" w:line="240" w:lineRule="auto"/>
        <w:jc w:val="both"/>
        <w:rPr>
          <w:rFonts w:ascii="StobiSerif Regular" w:hAnsi="StobiSerif Regular"/>
          <w:sz w:val="24"/>
          <w:szCs w:val="24"/>
          <w:lang w:eastAsia="mk-MK"/>
        </w:rPr>
      </w:pPr>
      <w:r w:rsidRPr="00194389">
        <w:rPr>
          <w:rFonts w:ascii="StobiSerif Regular" w:hAnsi="StobiSerif Regular"/>
          <w:b/>
          <w:bCs/>
          <w:lang w:eastAsia="mk-MK"/>
        </w:rPr>
        <w:t>Извештаи на Ревизорско тело</w:t>
      </w:r>
    </w:p>
    <w:p w:rsidR="00194389" w:rsidRPr="00194389" w:rsidRDefault="00194389" w:rsidP="00194389">
      <w:pPr>
        <w:spacing w:before="120" w:after="120" w:line="240" w:lineRule="auto"/>
        <w:ind w:firstLine="284"/>
        <w:jc w:val="both"/>
        <w:rPr>
          <w:rFonts w:ascii="StobiSerif Regular" w:hAnsi="StobiSerif Regular"/>
          <w:lang w:eastAsia="mk-MK"/>
        </w:rPr>
      </w:pPr>
      <w:r w:rsidRPr="00194389">
        <w:rPr>
          <w:rFonts w:ascii="StobiSerif Regular" w:hAnsi="StobiSerif Regular"/>
          <w:lang w:eastAsia="mk-MK"/>
        </w:rPr>
        <w:t xml:space="preserve">Годишното ревизорско мислење за ревизија на сметки и Изјавата за трошоци (Арх.бр..01-183 / 2) и Годишното ревизорско мислење за ревизија за Изјавата за гаранција за 2015 година (Арх.Бр.01-183 / 3) беше издадено на </w:t>
      </w:r>
      <w:r w:rsidRPr="00194389">
        <w:rPr>
          <w:rFonts w:ascii="StobiSerif Regular" w:hAnsi="StobiSerif Regular"/>
          <w:lang w:val="en-US" w:eastAsia="mk-MK"/>
        </w:rPr>
        <w:t>26.04.2016</w:t>
      </w:r>
      <w:r w:rsidRPr="00194389">
        <w:rPr>
          <w:rFonts w:ascii="StobiSerif Regular" w:hAnsi="StobiSerif Regular"/>
          <w:lang w:eastAsia="mk-MK"/>
        </w:rPr>
        <w:t xml:space="preserve">. Ревизорското тело изрази  неквалификувано мислење и за Изјавата за гаранција за 2015 година и за Извештајот за расходите за </w:t>
      </w:r>
      <w:r w:rsidR="00E04969">
        <w:rPr>
          <w:rFonts w:ascii="StobiSerif Regular" w:hAnsi="StobiSerif Regular"/>
          <w:lang w:eastAsia="mk-MK"/>
        </w:rPr>
        <w:t xml:space="preserve">фискална </w:t>
      </w:r>
      <w:r w:rsidRPr="00194389">
        <w:rPr>
          <w:rFonts w:ascii="StobiSerif Regular" w:hAnsi="StobiSerif Regular"/>
          <w:lang w:eastAsia="mk-MK"/>
        </w:rPr>
        <w:t xml:space="preserve"> 2015 година.</w:t>
      </w:r>
    </w:p>
    <w:p w:rsidR="00194389" w:rsidRPr="00194389" w:rsidRDefault="00194389" w:rsidP="00E04969">
      <w:pPr>
        <w:spacing w:before="120" w:after="120" w:line="240" w:lineRule="auto"/>
        <w:jc w:val="both"/>
        <w:rPr>
          <w:rFonts w:ascii="StobiSerif Regular" w:hAnsi="StobiSerif Regular"/>
          <w:lang w:eastAsia="mk-MK"/>
        </w:rPr>
      </w:pPr>
      <w:r w:rsidRPr="00194389">
        <w:rPr>
          <w:rFonts w:ascii="StobiSerif Regular" w:hAnsi="StobiSerif Regular"/>
          <w:lang w:eastAsia="mk-MK"/>
        </w:rPr>
        <w:t xml:space="preserve">Во </w:t>
      </w:r>
      <w:r w:rsidRPr="00194389">
        <w:rPr>
          <w:rFonts w:ascii="StobiSerif Regular" w:hAnsi="StobiSerif Regular"/>
          <w:lang w:val="en-US" w:eastAsia="mk-MK"/>
        </w:rPr>
        <w:t xml:space="preserve">текот на 2016 година беа спроведени следните </w:t>
      </w:r>
      <w:r w:rsidRPr="00194389">
        <w:rPr>
          <w:rFonts w:ascii="StobiSerif Regular" w:hAnsi="StobiSerif Regular"/>
          <w:lang w:eastAsia="mk-MK"/>
        </w:rPr>
        <w:t>ревизии</w:t>
      </w:r>
      <w:r w:rsidRPr="00194389">
        <w:rPr>
          <w:rFonts w:ascii="StobiSerif Regular" w:hAnsi="StobiSerif Regular"/>
          <w:lang w:val="en-US" w:eastAsia="mk-MK"/>
        </w:rPr>
        <w:t xml:space="preserve"> од страна на </w:t>
      </w:r>
      <w:r w:rsidRPr="00194389">
        <w:rPr>
          <w:rFonts w:ascii="StobiSerif Regular" w:hAnsi="StobiSerif Regular"/>
          <w:lang w:eastAsia="mk-MK"/>
        </w:rPr>
        <w:t>Ревизорско тело за ревизија на инструментот за претпристапна помош:</w:t>
      </w:r>
    </w:p>
    <w:p w:rsidR="00194389" w:rsidRPr="00E04969" w:rsidRDefault="00194389" w:rsidP="00E04969">
      <w:pPr>
        <w:pStyle w:val="ListParagraph"/>
        <w:numPr>
          <w:ilvl w:val="0"/>
          <w:numId w:val="48"/>
        </w:numPr>
        <w:spacing w:before="120" w:after="120" w:line="240" w:lineRule="auto"/>
        <w:jc w:val="both"/>
        <w:rPr>
          <w:rFonts w:ascii="StobiSerif Regular" w:hAnsi="StobiSerif Regular"/>
          <w:lang w:val="en-US" w:eastAsia="mk-MK"/>
        </w:rPr>
      </w:pPr>
      <w:r w:rsidRPr="00E04969">
        <w:rPr>
          <w:rFonts w:ascii="StobiSerif Regular" w:hAnsi="StobiSerif Regular"/>
          <w:lang w:val="en-US" w:eastAsia="mk-MK"/>
        </w:rPr>
        <w:t>Ревизија на операции (2) за проверка на усогласеноста на постапките за одобрување на финансиска поддршка и барањата за плаќање и прифатливост на трошоци платени до крајните корисници во 2015 година во ИПАРД Агенцијата (</w:t>
      </w:r>
      <w:r w:rsidRPr="00E04969">
        <w:rPr>
          <w:rFonts w:ascii="StobiSerif Regular" w:hAnsi="StobiSerif Regular"/>
          <w:lang w:eastAsia="mk-MK"/>
        </w:rPr>
        <w:t xml:space="preserve">конечен </w:t>
      </w:r>
      <w:r w:rsidRPr="00E04969">
        <w:rPr>
          <w:rFonts w:ascii="StobiSerif Regular" w:hAnsi="StobiSerif Regular"/>
          <w:lang w:val="en-US" w:eastAsia="mk-MK"/>
        </w:rPr>
        <w:t xml:space="preserve">извештај </w:t>
      </w:r>
      <w:r w:rsidRPr="00E04969">
        <w:rPr>
          <w:rFonts w:ascii="StobiSerif Regular" w:hAnsi="StobiSerif Regular"/>
          <w:lang w:eastAsia="mk-MK"/>
        </w:rPr>
        <w:t>Арх.Бр</w:t>
      </w:r>
      <w:r w:rsidRPr="00E04969">
        <w:rPr>
          <w:rFonts w:ascii="StobiSerif Regular" w:hAnsi="StobiSerif Regular"/>
          <w:lang w:val="en-US" w:eastAsia="mk-MK"/>
        </w:rPr>
        <w:t>.13-122 / 5 од 12-ти април 2016 година);</w:t>
      </w:r>
    </w:p>
    <w:p w:rsidR="00194389" w:rsidRPr="008C3DF7" w:rsidRDefault="00194389" w:rsidP="008C3DF7">
      <w:pPr>
        <w:pStyle w:val="ListParagraph"/>
        <w:numPr>
          <w:ilvl w:val="0"/>
          <w:numId w:val="48"/>
        </w:numPr>
        <w:spacing w:before="120" w:after="120" w:line="240" w:lineRule="auto"/>
        <w:jc w:val="both"/>
        <w:rPr>
          <w:rFonts w:ascii="StobiSerif Regular" w:hAnsi="StobiSerif Regular"/>
          <w:lang w:val="en-US" w:eastAsia="mk-MK"/>
        </w:rPr>
      </w:pPr>
      <w:r w:rsidRPr="008C3DF7">
        <w:rPr>
          <w:rFonts w:ascii="StobiSerif Regular" w:hAnsi="StobiSerif Regular"/>
          <w:lang w:val="en-US" w:eastAsia="mk-MK"/>
        </w:rPr>
        <w:t>Ревизија на сметките, како и билансот на расходите за верификација на овластените сметки и извештаи за расходи за 2015 година (Конечен извештај Арх.Бр. 13-164 / 6 од 25-ти април 2016 година)</w:t>
      </w:r>
    </w:p>
    <w:p w:rsidR="00194389" w:rsidRPr="008C3DF7" w:rsidRDefault="00194389" w:rsidP="008C3DF7">
      <w:pPr>
        <w:pStyle w:val="ListParagraph"/>
        <w:numPr>
          <w:ilvl w:val="0"/>
          <w:numId w:val="48"/>
        </w:numPr>
        <w:spacing w:before="120" w:after="120" w:line="240" w:lineRule="auto"/>
        <w:jc w:val="both"/>
        <w:rPr>
          <w:rFonts w:ascii="StobiSerif Regular" w:hAnsi="StobiSerif Regular"/>
          <w:lang w:val="en-US" w:eastAsia="mk-MK"/>
        </w:rPr>
      </w:pPr>
      <w:r w:rsidRPr="008C3DF7">
        <w:rPr>
          <w:rFonts w:ascii="StobiSerif Regular" w:hAnsi="StobiSerif Regular"/>
          <w:lang w:val="en-US" w:eastAsia="mk-MK"/>
        </w:rPr>
        <w:t>Ревизија на работењето (1) за проверка на усогласеноста на постапките за одобрување на финансиска поддршка и барањата за плаќање и прифатливост на трошоци платени до крајните корисници во 2016 година во ИПАРД Агенцијата (</w:t>
      </w:r>
      <w:r w:rsidRPr="008C3DF7">
        <w:rPr>
          <w:rFonts w:ascii="StobiSerif Regular" w:hAnsi="StobiSerif Regular"/>
          <w:lang w:eastAsia="mk-MK"/>
        </w:rPr>
        <w:t>Конечен</w:t>
      </w:r>
      <w:r w:rsidRPr="008C3DF7">
        <w:rPr>
          <w:rFonts w:ascii="StobiSerif Regular" w:hAnsi="StobiSerif Regular"/>
          <w:lang w:val="en-US" w:eastAsia="mk-MK"/>
        </w:rPr>
        <w:t xml:space="preserve"> извештај Арх.</w:t>
      </w:r>
      <w:r w:rsidRPr="008C3DF7">
        <w:rPr>
          <w:rFonts w:ascii="StobiSerif Regular" w:hAnsi="StobiSerif Regular"/>
          <w:lang w:eastAsia="mk-MK"/>
        </w:rPr>
        <w:t>бр.</w:t>
      </w:r>
      <w:r w:rsidRPr="008C3DF7">
        <w:rPr>
          <w:rFonts w:ascii="StobiSerif Regular" w:hAnsi="StobiSerif Regular"/>
          <w:lang w:val="en-US" w:eastAsia="mk-MK"/>
        </w:rPr>
        <w:t>13-288 / 5 од 16 ноември 2016 година) и</w:t>
      </w:r>
    </w:p>
    <w:p w:rsidR="00194389" w:rsidRPr="008C3DF7" w:rsidRDefault="008C3DF7" w:rsidP="008C3DF7">
      <w:pPr>
        <w:pStyle w:val="ListParagraph"/>
        <w:numPr>
          <w:ilvl w:val="0"/>
          <w:numId w:val="48"/>
        </w:numPr>
        <w:spacing w:before="120" w:after="120" w:line="240" w:lineRule="auto"/>
        <w:jc w:val="both"/>
        <w:rPr>
          <w:rFonts w:ascii="StobiSerif Regular" w:hAnsi="StobiSerif Regular"/>
          <w:lang w:val="en-US" w:eastAsia="mk-MK"/>
        </w:rPr>
      </w:pPr>
      <w:r>
        <w:rPr>
          <w:rFonts w:ascii="StobiSerif Regular" w:hAnsi="StobiSerif Regular"/>
          <w:lang w:eastAsia="mk-MK"/>
        </w:rPr>
        <w:t>С</w:t>
      </w:r>
      <w:r w:rsidR="00194389" w:rsidRPr="008C3DF7">
        <w:rPr>
          <w:rFonts w:ascii="StobiSerif Regular" w:hAnsi="StobiSerif Regular"/>
          <w:lang w:val="en-US" w:eastAsia="mk-MK"/>
        </w:rPr>
        <w:t>истем</w:t>
      </w:r>
      <w:r w:rsidR="00194389" w:rsidRPr="008C3DF7">
        <w:rPr>
          <w:rFonts w:ascii="StobiSerif Regular" w:hAnsi="StobiSerif Regular"/>
          <w:lang w:eastAsia="mk-MK"/>
        </w:rPr>
        <w:t>ска</w:t>
      </w:r>
      <w:r w:rsidR="00194389" w:rsidRPr="008C3DF7">
        <w:rPr>
          <w:rFonts w:ascii="StobiSerif Regular" w:hAnsi="StobiSerif Regular"/>
          <w:lang w:val="en-US" w:eastAsia="mk-MK"/>
        </w:rPr>
        <w:t xml:space="preserve"> ревизија за верификација на ефективно функционирање на системите за управување и контрола за 2016 година во НАО / ОС, </w:t>
      </w:r>
      <w:r w:rsidR="00194389" w:rsidRPr="008C3DF7">
        <w:rPr>
          <w:rFonts w:ascii="StobiSerif Regular" w:hAnsi="StobiSerif Regular"/>
          <w:lang w:eastAsia="mk-MK"/>
        </w:rPr>
        <w:t>ТУ</w:t>
      </w:r>
      <w:r w:rsidR="00194389" w:rsidRPr="008C3DF7">
        <w:rPr>
          <w:rFonts w:ascii="StobiSerif Regular" w:hAnsi="StobiSerif Regular"/>
          <w:lang w:val="en-US" w:eastAsia="mk-MK"/>
        </w:rPr>
        <w:t xml:space="preserve"> и ИПАРД Агенцијата (Конечен извештај Арх.</w:t>
      </w:r>
      <w:r w:rsidR="00194389" w:rsidRPr="008C3DF7">
        <w:rPr>
          <w:rFonts w:ascii="StobiSerif Regular" w:hAnsi="StobiSerif Regular"/>
          <w:lang w:eastAsia="mk-MK"/>
        </w:rPr>
        <w:t>бр.</w:t>
      </w:r>
      <w:r w:rsidR="00194389" w:rsidRPr="008C3DF7">
        <w:rPr>
          <w:rFonts w:ascii="StobiSerif Regular" w:hAnsi="StobiSerif Regular"/>
          <w:lang w:val="en-US" w:eastAsia="mk-MK"/>
        </w:rPr>
        <w:t>13-363 / 6 од 29 декември 2016 година).</w:t>
      </w:r>
    </w:p>
    <w:p w:rsidR="00194389" w:rsidRPr="00194389" w:rsidRDefault="00194389" w:rsidP="00156A6B">
      <w:pPr>
        <w:spacing w:before="120" w:after="120" w:line="240" w:lineRule="auto"/>
        <w:jc w:val="both"/>
        <w:rPr>
          <w:rFonts w:ascii="StobiSerif Regular" w:hAnsi="StobiSerif Regular"/>
          <w:lang w:val="en-US"/>
        </w:rPr>
      </w:pPr>
      <w:r w:rsidRPr="00194389">
        <w:rPr>
          <w:rFonts w:ascii="StobiSerif Regular" w:hAnsi="StobiSerif Regular"/>
          <w:lang w:val="en-US"/>
        </w:rPr>
        <w:t>Имајќи ги предвид горенаведените ревизии</w:t>
      </w:r>
      <w:r w:rsidRPr="00194389">
        <w:rPr>
          <w:rFonts w:ascii="StobiSerif Regular" w:hAnsi="StobiSerif Regular"/>
        </w:rPr>
        <w:t>,</w:t>
      </w:r>
      <w:r w:rsidRPr="00194389">
        <w:rPr>
          <w:rFonts w:ascii="StobiSerif Regular" w:hAnsi="StobiSerif Regular"/>
          <w:lang w:val="en-US"/>
        </w:rPr>
        <w:t xml:space="preserve"> НАО подготви Акциски план</w:t>
      </w:r>
      <w:r w:rsidRPr="00194389">
        <w:rPr>
          <w:rFonts w:ascii="StobiSerif Regular" w:hAnsi="StobiSerif Regular"/>
        </w:rPr>
        <w:t xml:space="preserve"> кој</w:t>
      </w:r>
      <w:r w:rsidRPr="00194389">
        <w:rPr>
          <w:rFonts w:ascii="StobiSerif Regular" w:hAnsi="StobiSerif Regular"/>
          <w:lang w:val="en-US"/>
        </w:rPr>
        <w:t xml:space="preserve"> содржи корективни мерки, рокови и одговорни институции за спроведување на препораките. Овој консолидиран акциски план (</w:t>
      </w:r>
      <w:r w:rsidRPr="00194389">
        <w:rPr>
          <w:rFonts w:ascii="StobiSerif Regular" w:hAnsi="StobiSerif Regular"/>
        </w:rPr>
        <w:t>Арх</w:t>
      </w:r>
      <w:r w:rsidRPr="00194389">
        <w:rPr>
          <w:rFonts w:ascii="StobiSerif Regular" w:hAnsi="StobiSerif Regular"/>
          <w:lang w:val="en-US"/>
        </w:rPr>
        <w:t>.</w:t>
      </w:r>
      <w:r w:rsidRPr="00194389">
        <w:rPr>
          <w:rFonts w:ascii="StobiSerif Regular" w:hAnsi="StobiSerif Regular"/>
        </w:rPr>
        <w:t>бр.</w:t>
      </w:r>
      <w:r w:rsidRPr="00194389">
        <w:rPr>
          <w:rFonts w:ascii="StobiSerif Regular" w:hAnsi="StobiSerif Regular"/>
          <w:lang w:val="en-US"/>
        </w:rPr>
        <w:t>10-968 / 1, од 08 февруари 2016 година) ги содржи сите отворени наоди од ревизорските извештаи.</w:t>
      </w:r>
    </w:p>
    <w:p w:rsidR="00194389" w:rsidRPr="00194389" w:rsidRDefault="00194389" w:rsidP="00156A6B">
      <w:pPr>
        <w:spacing w:before="120" w:after="120" w:line="240" w:lineRule="auto"/>
        <w:jc w:val="both"/>
        <w:rPr>
          <w:rFonts w:ascii="StobiSerif Regular" w:hAnsi="StobiSerif Regular"/>
          <w:lang w:val="en-US"/>
        </w:rPr>
      </w:pPr>
      <w:r w:rsidRPr="00194389">
        <w:rPr>
          <w:rFonts w:ascii="StobiSerif Regular" w:hAnsi="StobiSerif Regular"/>
          <w:lang w:val="en-US"/>
        </w:rPr>
        <w:t>Спроведување на препораките на ревизијата беа набљудувани од страна на НАО преку Табела</w:t>
      </w:r>
      <w:r w:rsidRPr="00194389">
        <w:rPr>
          <w:rFonts w:ascii="StobiSerif Regular" w:hAnsi="StobiSerif Regular"/>
        </w:rPr>
        <w:t>та</w:t>
      </w:r>
      <w:r w:rsidRPr="00194389">
        <w:rPr>
          <w:rFonts w:ascii="StobiSerif Regular" w:hAnsi="StobiSerif Regular"/>
          <w:lang w:val="en-US"/>
        </w:rPr>
        <w:t xml:space="preserve"> за следење на </w:t>
      </w:r>
      <w:r w:rsidRPr="00194389">
        <w:rPr>
          <w:rFonts w:ascii="StobiSerif Regular" w:hAnsi="StobiSerif Regular"/>
        </w:rPr>
        <w:t xml:space="preserve">ревизорски </w:t>
      </w:r>
      <w:r w:rsidRPr="00194389">
        <w:rPr>
          <w:rFonts w:ascii="StobiSerif Regular" w:hAnsi="StobiSerif Regular"/>
          <w:lang w:val="en-US"/>
        </w:rPr>
        <w:t xml:space="preserve">препораки </w:t>
      </w:r>
      <w:r w:rsidRPr="00194389">
        <w:rPr>
          <w:rFonts w:ascii="StobiSerif Regular" w:hAnsi="StobiSerif Regular"/>
        </w:rPr>
        <w:t xml:space="preserve">кои што се доставуваат од страна на </w:t>
      </w:r>
      <w:r w:rsidRPr="00194389">
        <w:rPr>
          <w:rFonts w:ascii="StobiSerif Regular" w:hAnsi="StobiSerif Regular"/>
          <w:lang w:val="en-US"/>
        </w:rPr>
        <w:t xml:space="preserve">ИПАРД Агенцијата и </w:t>
      </w:r>
      <w:r w:rsidRPr="00194389">
        <w:rPr>
          <w:rFonts w:ascii="StobiSerif Regular" w:hAnsi="StobiSerif Regular"/>
        </w:rPr>
        <w:t>ТУ</w:t>
      </w:r>
      <w:r w:rsidRPr="00194389">
        <w:rPr>
          <w:rFonts w:ascii="StobiSerif Regular" w:hAnsi="StobiSerif Regular"/>
          <w:lang w:val="en-US"/>
        </w:rPr>
        <w:t xml:space="preserve"> на квартална основа. Поголемиот дел од препораките наведени во ревизорските извештаи се соодветно имплементирани, а за останатите како што е споменато погоре договорени се корективните мерки и </w:t>
      </w:r>
      <w:r w:rsidRPr="00194389">
        <w:rPr>
          <w:rFonts w:ascii="StobiSerif Regular" w:hAnsi="StobiSerif Regular"/>
        </w:rPr>
        <w:t>редовно</w:t>
      </w:r>
      <w:r w:rsidRPr="00194389">
        <w:rPr>
          <w:rFonts w:ascii="StobiSerif Regular" w:hAnsi="StobiSerif Regular"/>
          <w:lang w:val="en-US"/>
        </w:rPr>
        <w:t xml:space="preserve"> се следат.</w:t>
      </w:r>
    </w:p>
    <w:p w:rsidR="00194389" w:rsidRPr="00194389" w:rsidRDefault="00194389" w:rsidP="00194389">
      <w:pPr>
        <w:spacing w:before="120" w:after="0" w:line="240" w:lineRule="auto"/>
        <w:ind w:firstLine="360"/>
        <w:jc w:val="both"/>
        <w:rPr>
          <w:rFonts w:ascii="StobiSerif Regular" w:hAnsi="StobiSerif Regular"/>
          <w:lang w:val="en-US"/>
        </w:rPr>
      </w:pPr>
      <w:r w:rsidRPr="00194389">
        <w:rPr>
          <w:rFonts w:ascii="StobiSerif Regular" w:hAnsi="StobiSerif Regular"/>
          <w:lang w:val="en-US"/>
        </w:rPr>
        <w:t>Во табелата подолу се претставени сите отворени наоди, нивното значење и вкупниот број на отворени наоди на субјектот на ревизија:</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1887"/>
        <w:gridCol w:w="2409"/>
        <w:gridCol w:w="3674"/>
      </w:tblGrid>
      <w:tr w:rsidR="00194389" w:rsidRPr="00194389" w:rsidTr="00EE5E4C">
        <w:trPr>
          <w:trHeight w:val="336"/>
        </w:trPr>
        <w:tc>
          <w:tcPr>
            <w:tcW w:w="1482" w:type="dxa"/>
            <w:vMerge w:val="restart"/>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субјектот на ревизија</w:t>
            </w:r>
          </w:p>
        </w:tc>
        <w:tc>
          <w:tcPr>
            <w:tcW w:w="1887" w:type="dxa"/>
            <w:vMerge w:val="restart"/>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Значење</w:t>
            </w:r>
          </w:p>
        </w:tc>
        <w:tc>
          <w:tcPr>
            <w:tcW w:w="6083" w:type="dxa"/>
            <w:gridSpan w:val="2"/>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rPr>
              <w:t>Отворени наоди</w:t>
            </w:r>
            <w:r w:rsidRPr="00194389">
              <w:rPr>
                <w:rFonts w:ascii="StobiSerif Regular" w:eastAsia="Calibri" w:hAnsi="StobiSerif Regular" w:cs="StobiSerif Regular"/>
                <w:sz w:val="16"/>
                <w:szCs w:val="16"/>
                <w:lang w:val="en-US"/>
              </w:rPr>
              <w:t xml:space="preserve"> </w:t>
            </w:r>
          </w:p>
        </w:tc>
      </w:tr>
      <w:tr w:rsidR="00194389" w:rsidRPr="00194389" w:rsidTr="00EE5E4C">
        <w:trPr>
          <w:trHeight w:val="201"/>
        </w:trPr>
        <w:tc>
          <w:tcPr>
            <w:tcW w:w="1482" w:type="dxa"/>
            <w:vMerge/>
            <w:shd w:val="clear" w:color="auto" w:fill="auto"/>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p>
        </w:tc>
        <w:tc>
          <w:tcPr>
            <w:tcW w:w="1887" w:type="dxa"/>
            <w:vMerge/>
            <w:shd w:val="clear" w:color="auto" w:fill="auto"/>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p>
        </w:tc>
        <w:tc>
          <w:tcPr>
            <w:tcW w:w="2409" w:type="dxa"/>
            <w:shd w:val="clear" w:color="auto" w:fill="D9D9D9"/>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Број</w:t>
            </w:r>
          </w:p>
        </w:tc>
        <w:tc>
          <w:tcPr>
            <w:tcW w:w="3674" w:type="dxa"/>
            <w:shd w:val="clear" w:color="auto" w:fill="D9D9D9"/>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Референца</w:t>
            </w:r>
          </w:p>
        </w:tc>
      </w:tr>
      <w:tr w:rsidR="00194389" w:rsidRPr="00194389" w:rsidTr="00EE5E4C">
        <w:tc>
          <w:tcPr>
            <w:tcW w:w="1482" w:type="dxa"/>
            <w:shd w:val="clear" w:color="auto" w:fill="D9D9D9"/>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w:t>
            </w:r>
          </w:p>
        </w:tc>
        <w:tc>
          <w:tcPr>
            <w:tcW w:w="1887" w:type="dxa"/>
            <w:shd w:val="clear" w:color="auto" w:fill="D9D9D9"/>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2</w:t>
            </w:r>
          </w:p>
        </w:tc>
        <w:tc>
          <w:tcPr>
            <w:tcW w:w="2409" w:type="dxa"/>
            <w:shd w:val="clear" w:color="auto" w:fill="D9D9D9"/>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3</w:t>
            </w:r>
          </w:p>
        </w:tc>
        <w:tc>
          <w:tcPr>
            <w:tcW w:w="3674" w:type="dxa"/>
            <w:shd w:val="clear" w:color="auto" w:fill="D9D9D9"/>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4</w:t>
            </w:r>
          </w:p>
        </w:tc>
      </w:tr>
      <w:tr w:rsidR="00194389" w:rsidRPr="00194389" w:rsidTr="00EE5E4C">
        <w:tc>
          <w:tcPr>
            <w:tcW w:w="1482" w:type="dxa"/>
            <w:vMerge w:val="restart"/>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НАО/ОС</w:t>
            </w:r>
          </w:p>
        </w:tc>
        <w:tc>
          <w:tcPr>
            <w:tcW w:w="1887"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Значаен</w:t>
            </w:r>
          </w:p>
        </w:tc>
        <w:tc>
          <w:tcPr>
            <w:tcW w:w="2409"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c>
          <w:tcPr>
            <w:tcW w:w="3674"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r>
      <w:tr w:rsidR="00194389" w:rsidRPr="00194389" w:rsidTr="00EE5E4C">
        <w:trPr>
          <w:trHeight w:val="343"/>
        </w:trPr>
        <w:tc>
          <w:tcPr>
            <w:tcW w:w="1482" w:type="dxa"/>
            <w:vMerge/>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p>
        </w:tc>
        <w:tc>
          <w:tcPr>
            <w:tcW w:w="1887"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Средно значаен</w:t>
            </w:r>
          </w:p>
        </w:tc>
        <w:tc>
          <w:tcPr>
            <w:tcW w:w="2409"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2</w:t>
            </w:r>
          </w:p>
        </w:tc>
        <w:tc>
          <w:tcPr>
            <w:tcW w:w="3674" w:type="dxa"/>
            <w:shd w:val="clear" w:color="auto" w:fill="auto"/>
            <w:vAlign w:val="center"/>
          </w:tcPr>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1.1./5.1.-НАО/МС,-С/Р -16</w:t>
            </w:r>
          </w:p>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1.1./ НАО/МС-АФПЗРР-Ф/Р -16</w:t>
            </w:r>
          </w:p>
        </w:tc>
      </w:tr>
      <w:tr w:rsidR="00194389" w:rsidRPr="00194389" w:rsidTr="00EE5E4C">
        <w:tc>
          <w:tcPr>
            <w:tcW w:w="1482" w:type="dxa"/>
            <w:vMerge/>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p>
        </w:tc>
        <w:tc>
          <w:tcPr>
            <w:tcW w:w="1887"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Помалку значаен</w:t>
            </w:r>
          </w:p>
        </w:tc>
        <w:tc>
          <w:tcPr>
            <w:tcW w:w="2409"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c>
          <w:tcPr>
            <w:tcW w:w="3674"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r>
      <w:tr w:rsidR="00194389" w:rsidRPr="00194389" w:rsidTr="00EE5E4C">
        <w:tc>
          <w:tcPr>
            <w:tcW w:w="1482"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r w:rsidRPr="00194389">
              <w:rPr>
                <w:rFonts w:ascii="StobiSerif Regular" w:eastAsia="Calibri" w:hAnsi="StobiSerif Regular" w:cs="StobiSerif Regular"/>
                <w:b/>
                <w:sz w:val="16"/>
                <w:szCs w:val="16"/>
                <w:lang w:val="en-US"/>
              </w:rPr>
              <w:t>вкупно</w:t>
            </w:r>
          </w:p>
        </w:tc>
        <w:tc>
          <w:tcPr>
            <w:tcW w:w="1887"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p>
        </w:tc>
        <w:tc>
          <w:tcPr>
            <w:tcW w:w="2409"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r w:rsidRPr="00194389">
              <w:rPr>
                <w:rFonts w:ascii="StobiSerif Regular" w:eastAsia="Calibri" w:hAnsi="StobiSerif Regular" w:cs="StobiSerif Regular"/>
                <w:b/>
                <w:sz w:val="16"/>
                <w:szCs w:val="16"/>
                <w:lang w:val="en-US"/>
              </w:rPr>
              <w:t>2</w:t>
            </w:r>
          </w:p>
        </w:tc>
        <w:tc>
          <w:tcPr>
            <w:tcW w:w="3674" w:type="dxa"/>
            <w:shd w:val="clear" w:color="auto" w:fill="D9D9D9"/>
            <w:vAlign w:val="center"/>
          </w:tcPr>
          <w:p w:rsidR="00194389" w:rsidRPr="00194389" w:rsidRDefault="00194389" w:rsidP="00194389">
            <w:pPr>
              <w:snapToGrid w:val="0"/>
              <w:spacing w:before="120" w:after="60" w:line="240" w:lineRule="auto"/>
              <w:rPr>
                <w:rFonts w:ascii="StobiSerif Regular" w:eastAsia="Calibri" w:hAnsi="StobiSerif Regular" w:cs="StobiSerif Regular"/>
                <w:b/>
                <w:sz w:val="16"/>
                <w:szCs w:val="16"/>
                <w:lang w:val="en-US"/>
              </w:rPr>
            </w:pPr>
          </w:p>
        </w:tc>
      </w:tr>
      <w:tr w:rsidR="00194389" w:rsidRPr="00194389" w:rsidTr="00EE5E4C">
        <w:tc>
          <w:tcPr>
            <w:tcW w:w="1482" w:type="dxa"/>
            <w:vMerge w:val="restart"/>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ТУ</w:t>
            </w:r>
          </w:p>
        </w:tc>
        <w:tc>
          <w:tcPr>
            <w:tcW w:w="1887"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Значаен</w:t>
            </w:r>
          </w:p>
        </w:tc>
        <w:tc>
          <w:tcPr>
            <w:tcW w:w="2409"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c>
          <w:tcPr>
            <w:tcW w:w="3674"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r>
      <w:tr w:rsidR="00194389" w:rsidRPr="00194389" w:rsidTr="00EE5E4C">
        <w:tc>
          <w:tcPr>
            <w:tcW w:w="1482" w:type="dxa"/>
            <w:vMerge/>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p>
        </w:tc>
        <w:tc>
          <w:tcPr>
            <w:tcW w:w="1887"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Средно значаен</w:t>
            </w:r>
          </w:p>
        </w:tc>
        <w:tc>
          <w:tcPr>
            <w:tcW w:w="2409"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2</w:t>
            </w:r>
          </w:p>
        </w:tc>
        <w:tc>
          <w:tcPr>
            <w:tcW w:w="3674" w:type="dxa"/>
            <w:shd w:val="clear" w:color="auto" w:fill="auto"/>
            <w:vAlign w:val="center"/>
          </w:tcPr>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1.1./5.1-ТУ -С/Р -16</w:t>
            </w:r>
          </w:p>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1.2./5.1-ТУ -С/Р -16</w:t>
            </w:r>
          </w:p>
        </w:tc>
      </w:tr>
      <w:tr w:rsidR="00194389" w:rsidRPr="00194389" w:rsidTr="00EE5E4C">
        <w:tc>
          <w:tcPr>
            <w:tcW w:w="1482" w:type="dxa"/>
            <w:vMerge/>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p>
        </w:tc>
        <w:tc>
          <w:tcPr>
            <w:tcW w:w="1887"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Помалку значаен</w:t>
            </w:r>
          </w:p>
        </w:tc>
        <w:tc>
          <w:tcPr>
            <w:tcW w:w="2409"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c>
          <w:tcPr>
            <w:tcW w:w="3674"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r>
      <w:tr w:rsidR="00194389" w:rsidRPr="00194389" w:rsidTr="00EE5E4C">
        <w:tc>
          <w:tcPr>
            <w:tcW w:w="1482"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rPr>
            </w:pPr>
            <w:r w:rsidRPr="00194389">
              <w:rPr>
                <w:rFonts w:ascii="StobiSerif Regular" w:eastAsia="Calibri" w:hAnsi="StobiSerif Regular" w:cs="StobiSerif Regular"/>
                <w:b/>
                <w:sz w:val="16"/>
                <w:szCs w:val="16"/>
              </w:rPr>
              <w:t>Вкупно</w:t>
            </w:r>
          </w:p>
        </w:tc>
        <w:tc>
          <w:tcPr>
            <w:tcW w:w="1887"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p>
        </w:tc>
        <w:tc>
          <w:tcPr>
            <w:tcW w:w="2409"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r w:rsidRPr="00194389">
              <w:rPr>
                <w:rFonts w:ascii="StobiSerif Regular" w:eastAsia="Calibri" w:hAnsi="StobiSerif Regular" w:cs="StobiSerif Regular"/>
                <w:b/>
                <w:sz w:val="16"/>
                <w:szCs w:val="16"/>
                <w:lang w:val="en-US"/>
              </w:rPr>
              <w:t>2</w:t>
            </w:r>
          </w:p>
        </w:tc>
        <w:tc>
          <w:tcPr>
            <w:tcW w:w="3674" w:type="dxa"/>
            <w:shd w:val="clear" w:color="auto" w:fill="D9D9D9"/>
            <w:vAlign w:val="center"/>
          </w:tcPr>
          <w:p w:rsidR="00194389" w:rsidRPr="00194389" w:rsidRDefault="00194389" w:rsidP="00194389">
            <w:pPr>
              <w:snapToGrid w:val="0"/>
              <w:spacing w:before="120" w:after="60" w:line="240" w:lineRule="auto"/>
              <w:rPr>
                <w:rFonts w:ascii="StobiSerif Regular" w:eastAsia="Calibri" w:hAnsi="StobiSerif Regular" w:cs="StobiSerif Regular"/>
                <w:b/>
                <w:sz w:val="16"/>
                <w:szCs w:val="16"/>
                <w:lang w:val="en-US"/>
              </w:rPr>
            </w:pPr>
          </w:p>
        </w:tc>
      </w:tr>
      <w:tr w:rsidR="00194389" w:rsidRPr="00194389" w:rsidTr="00EE5E4C">
        <w:trPr>
          <w:trHeight w:val="666"/>
        </w:trPr>
        <w:tc>
          <w:tcPr>
            <w:tcW w:w="1482" w:type="dxa"/>
            <w:vMerge w:val="restart"/>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ИПАРД Агенција</w:t>
            </w:r>
          </w:p>
        </w:tc>
        <w:tc>
          <w:tcPr>
            <w:tcW w:w="1887"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Значаен</w:t>
            </w:r>
          </w:p>
        </w:tc>
        <w:tc>
          <w:tcPr>
            <w:tcW w:w="2409"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2</w:t>
            </w:r>
          </w:p>
        </w:tc>
        <w:tc>
          <w:tcPr>
            <w:tcW w:w="3674" w:type="dxa"/>
            <w:shd w:val="clear" w:color="auto" w:fill="auto"/>
            <w:vAlign w:val="center"/>
          </w:tcPr>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1.1.-АФПЗРР-Р/О-15/16</w:t>
            </w:r>
          </w:p>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1.2.  /5.1.- АФПЗРР-Р/О -13/14</w:t>
            </w:r>
          </w:p>
        </w:tc>
      </w:tr>
      <w:tr w:rsidR="00194389" w:rsidRPr="00194389" w:rsidTr="00EE5E4C">
        <w:tc>
          <w:tcPr>
            <w:tcW w:w="1482" w:type="dxa"/>
            <w:vMerge/>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p>
        </w:tc>
        <w:tc>
          <w:tcPr>
            <w:tcW w:w="1887"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Средно значаен</w:t>
            </w:r>
          </w:p>
        </w:tc>
        <w:tc>
          <w:tcPr>
            <w:tcW w:w="2409"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7</w:t>
            </w:r>
          </w:p>
        </w:tc>
        <w:tc>
          <w:tcPr>
            <w:tcW w:w="3674" w:type="dxa"/>
            <w:shd w:val="clear" w:color="auto" w:fill="auto"/>
            <w:vAlign w:val="center"/>
          </w:tcPr>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1.2.-АФПЗРР-Р/О-16</w:t>
            </w:r>
          </w:p>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1.4.- АФПЗРР-Р/О-16</w:t>
            </w:r>
          </w:p>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1.1 - АФПЗРР- Р/О-16</w:t>
            </w:r>
          </w:p>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1.3./5.1 -АФПЗРР -С/Р -16</w:t>
            </w:r>
          </w:p>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1.3.-АФПЗРР-Р/О-16</w:t>
            </w:r>
          </w:p>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5.1- АФПЗРР-Ф/Р-15</w:t>
            </w:r>
          </w:p>
          <w:p w:rsidR="00194389" w:rsidRPr="00194389" w:rsidRDefault="00194389" w:rsidP="00194389">
            <w:pPr>
              <w:snapToGrid w:val="0"/>
              <w:spacing w:before="120" w:after="60" w:line="240" w:lineRule="auto"/>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1.1. 5.1-АФПЗРР-С/Р-16</w:t>
            </w:r>
          </w:p>
        </w:tc>
      </w:tr>
      <w:tr w:rsidR="00194389" w:rsidRPr="00194389" w:rsidTr="00EE5E4C">
        <w:tc>
          <w:tcPr>
            <w:tcW w:w="1482" w:type="dxa"/>
            <w:vMerge/>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p>
        </w:tc>
        <w:tc>
          <w:tcPr>
            <w:tcW w:w="1887"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rPr>
            </w:pPr>
            <w:r w:rsidRPr="00194389">
              <w:rPr>
                <w:rFonts w:ascii="StobiSerif Regular" w:eastAsia="Calibri" w:hAnsi="StobiSerif Regular" w:cs="StobiSerif Regular"/>
                <w:sz w:val="16"/>
                <w:szCs w:val="16"/>
              </w:rPr>
              <w:t>Помалку значаен</w:t>
            </w:r>
          </w:p>
        </w:tc>
        <w:tc>
          <w:tcPr>
            <w:tcW w:w="2409"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c>
          <w:tcPr>
            <w:tcW w:w="3674" w:type="dxa"/>
            <w:shd w:val="clear" w:color="auto" w:fill="auto"/>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sz w:val="16"/>
                <w:szCs w:val="16"/>
                <w:lang w:val="en-US"/>
              </w:rPr>
            </w:pPr>
            <w:r w:rsidRPr="00194389">
              <w:rPr>
                <w:rFonts w:ascii="StobiSerif Regular" w:eastAsia="Calibri" w:hAnsi="StobiSerif Regular" w:cs="StobiSerif Regular"/>
                <w:sz w:val="16"/>
                <w:szCs w:val="16"/>
                <w:lang w:val="en-US"/>
              </w:rPr>
              <w:t>/</w:t>
            </w:r>
          </w:p>
        </w:tc>
      </w:tr>
      <w:tr w:rsidR="00194389" w:rsidRPr="00194389" w:rsidTr="00EE5E4C">
        <w:tc>
          <w:tcPr>
            <w:tcW w:w="1482"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rPr>
            </w:pPr>
            <w:r w:rsidRPr="00194389">
              <w:rPr>
                <w:rFonts w:ascii="StobiSerif Regular" w:eastAsia="Calibri" w:hAnsi="StobiSerif Regular" w:cs="StobiSerif Regular"/>
                <w:b/>
                <w:sz w:val="16"/>
                <w:szCs w:val="16"/>
              </w:rPr>
              <w:t>Вкупно</w:t>
            </w:r>
          </w:p>
        </w:tc>
        <w:tc>
          <w:tcPr>
            <w:tcW w:w="1887"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p>
        </w:tc>
        <w:tc>
          <w:tcPr>
            <w:tcW w:w="2409"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r w:rsidRPr="00194389">
              <w:rPr>
                <w:rFonts w:ascii="StobiSerif Regular" w:eastAsia="Calibri" w:hAnsi="StobiSerif Regular" w:cs="StobiSerif Regular"/>
                <w:b/>
                <w:sz w:val="16"/>
                <w:szCs w:val="16"/>
                <w:lang w:val="en-US"/>
              </w:rPr>
              <w:t>9</w:t>
            </w:r>
          </w:p>
        </w:tc>
        <w:tc>
          <w:tcPr>
            <w:tcW w:w="3674"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p>
        </w:tc>
      </w:tr>
      <w:tr w:rsidR="00194389" w:rsidRPr="00194389" w:rsidTr="00EE5E4C">
        <w:tc>
          <w:tcPr>
            <w:tcW w:w="1482"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rPr>
            </w:pPr>
            <w:r w:rsidRPr="00194389">
              <w:rPr>
                <w:rFonts w:ascii="StobiSerif Regular" w:eastAsia="Calibri" w:hAnsi="StobiSerif Regular" w:cs="StobiSerif Regular"/>
                <w:b/>
                <w:sz w:val="16"/>
                <w:szCs w:val="16"/>
              </w:rPr>
              <w:t xml:space="preserve">Севкупно </w:t>
            </w:r>
          </w:p>
        </w:tc>
        <w:tc>
          <w:tcPr>
            <w:tcW w:w="1887"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p>
        </w:tc>
        <w:tc>
          <w:tcPr>
            <w:tcW w:w="2409"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r w:rsidRPr="00194389">
              <w:rPr>
                <w:rFonts w:ascii="StobiSerif Regular" w:eastAsia="Calibri" w:hAnsi="StobiSerif Regular" w:cs="StobiSerif Regular"/>
                <w:b/>
                <w:sz w:val="16"/>
                <w:szCs w:val="16"/>
                <w:lang w:val="en-US"/>
              </w:rPr>
              <w:t>13</w:t>
            </w:r>
          </w:p>
        </w:tc>
        <w:tc>
          <w:tcPr>
            <w:tcW w:w="3674" w:type="dxa"/>
            <w:shd w:val="clear" w:color="auto" w:fill="D9D9D9"/>
            <w:vAlign w:val="center"/>
          </w:tcPr>
          <w:p w:rsidR="00194389" w:rsidRPr="00194389" w:rsidRDefault="00194389" w:rsidP="00194389">
            <w:pPr>
              <w:snapToGrid w:val="0"/>
              <w:spacing w:before="120" w:after="60" w:line="240" w:lineRule="auto"/>
              <w:jc w:val="center"/>
              <w:rPr>
                <w:rFonts w:ascii="StobiSerif Regular" w:eastAsia="Calibri" w:hAnsi="StobiSerif Regular" w:cs="StobiSerif Regular"/>
                <w:b/>
                <w:sz w:val="16"/>
                <w:szCs w:val="16"/>
                <w:lang w:val="en-US"/>
              </w:rPr>
            </w:pPr>
          </w:p>
        </w:tc>
      </w:tr>
    </w:tbl>
    <w:p w:rsidR="00194389" w:rsidRPr="00194389" w:rsidRDefault="00194389" w:rsidP="00194389">
      <w:pPr>
        <w:spacing w:after="0" w:line="240" w:lineRule="auto"/>
        <w:rPr>
          <w:rFonts w:ascii="Calibri" w:eastAsia="Calibri" w:hAnsi="Calibri" w:cs="Times New Roman"/>
        </w:rPr>
      </w:pPr>
      <w:r w:rsidRPr="00194389">
        <w:rPr>
          <w:rFonts w:ascii="StobiSerif Regular" w:eastAsia="Times New Roman" w:hAnsi="StobiSerif Regular" w:cs="Times New Roman"/>
          <w:bCs/>
          <w:color w:val="000000"/>
          <w:sz w:val="16"/>
          <w:szCs w:val="16"/>
          <w:lang w:val="en-US" w:eastAsia="mk-MK"/>
        </w:rPr>
        <w:t>Извор: НАО</w:t>
      </w:r>
    </w:p>
    <w:p w:rsidR="00194389" w:rsidRPr="00194389" w:rsidRDefault="00194389" w:rsidP="00194389">
      <w:pPr>
        <w:spacing w:before="120"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Во врска со наодите наведени погоре Ревизорското тело </w:t>
      </w:r>
      <w:r w:rsidRPr="00194389">
        <w:rPr>
          <w:rFonts w:ascii="StobiSerif Regular" w:eastAsia="Times New Roman" w:hAnsi="StobiSerif Regular" w:cs="Times New Roman"/>
          <w:lang w:eastAsia="mk-MK"/>
        </w:rPr>
        <w:t>треба да издаде</w:t>
      </w:r>
      <w:r w:rsidRPr="00194389">
        <w:rPr>
          <w:rFonts w:ascii="StobiSerif Regular" w:eastAsia="Times New Roman" w:hAnsi="StobiSerif Regular" w:cs="Times New Roman"/>
          <w:lang w:val="en-US" w:eastAsia="mk-MK"/>
        </w:rPr>
        <w:t xml:space="preserve"> Годишен ревизорски извештај во април 2017 година </w:t>
      </w:r>
      <w:r w:rsidRPr="00194389">
        <w:rPr>
          <w:rFonts w:ascii="StobiSerif Regular" w:eastAsia="Times New Roman" w:hAnsi="StobiSerif Regular" w:cs="Times New Roman"/>
          <w:lang w:eastAsia="mk-MK"/>
        </w:rPr>
        <w:t>со што</w:t>
      </w:r>
      <w:r w:rsidRPr="00194389">
        <w:rPr>
          <w:rFonts w:ascii="StobiSerif Regular" w:eastAsia="Times New Roman" w:hAnsi="StobiSerif Regular" w:cs="Times New Roman"/>
          <w:lang w:val="en-US" w:eastAsia="mk-MK"/>
        </w:rPr>
        <w:t xml:space="preserve"> ќе го </w:t>
      </w:r>
      <w:r w:rsidRPr="00194389">
        <w:rPr>
          <w:rFonts w:ascii="StobiSerif Regular" w:eastAsia="Times New Roman" w:hAnsi="StobiSerif Regular" w:cs="Times New Roman"/>
          <w:lang w:eastAsia="mk-MK"/>
        </w:rPr>
        <w:t>изнесат</w:t>
      </w:r>
      <w:r w:rsidRPr="00194389">
        <w:rPr>
          <w:rFonts w:ascii="StobiSerif Regular" w:eastAsia="Times New Roman" w:hAnsi="StobiSerif Regular" w:cs="Times New Roman"/>
          <w:lang w:val="en-US" w:eastAsia="mk-MK"/>
        </w:rPr>
        <w:t xml:space="preserve"> статусот на наодите по корективни мерки преземени од структурата за управување и раководење.</w:t>
      </w:r>
    </w:p>
    <w:p w:rsidR="00194389" w:rsidRPr="00194389" w:rsidRDefault="00194389" w:rsidP="00BA1CE8">
      <w:pPr>
        <w:numPr>
          <w:ilvl w:val="0"/>
          <w:numId w:val="32"/>
        </w:numPr>
        <w:spacing w:before="120" w:after="120" w:line="240" w:lineRule="auto"/>
        <w:rPr>
          <w:rFonts w:ascii="StobiSerif Regular" w:hAnsi="StobiSerif Regular"/>
          <w:sz w:val="24"/>
          <w:szCs w:val="24"/>
          <w:lang w:eastAsia="mk-MK"/>
        </w:rPr>
      </w:pPr>
      <w:r w:rsidRPr="00194389">
        <w:rPr>
          <w:rFonts w:ascii="StobiSerif Regular" w:hAnsi="StobiSerif Regular"/>
          <w:lang w:eastAsia="mk-MK"/>
        </w:rPr>
        <w:t>Забелешки и препораки на Комисијата</w:t>
      </w:r>
    </w:p>
    <w:p w:rsidR="00194389" w:rsidRPr="00194389" w:rsidRDefault="00194389" w:rsidP="00194389">
      <w:pPr>
        <w:spacing w:before="120" w:after="120" w:line="240" w:lineRule="auto"/>
        <w:ind w:firstLine="284"/>
        <w:rPr>
          <w:rFonts w:ascii="StobiSerif Regular" w:hAnsi="StobiSerif Regular"/>
          <w:lang w:val="en-US" w:eastAsia="mk-MK"/>
        </w:rPr>
      </w:pPr>
      <w:r w:rsidRPr="00194389">
        <w:rPr>
          <w:rFonts w:ascii="StobiSerif Regular" w:hAnsi="StobiSerif Regular"/>
          <w:lang w:val="en-US" w:eastAsia="mk-MK"/>
        </w:rPr>
        <w:t>Во текот на 2015 година, ИПАРД структури</w:t>
      </w:r>
      <w:r w:rsidRPr="00194389">
        <w:rPr>
          <w:rFonts w:ascii="StobiSerif Regular" w:hAnsi="StobiSerif Regular"/>
          <w:lang w:eastAsia="mk-MK"/>
        </w:rPr>
        <w:t>те</w:t>
      </w:r>
      <w:r w:rsidRPr="00194389">
        <w:rPr>
          <w:rFonts w:ascii="StobiSerif Regular" w:hAnsi="StobiSerif Regular"/>
          <w:lang w:val="en-US" w:eastAsia="mk-MK"/>
        </w:rPr>
        <w:t xml:space="preserve"> и </w:t>
      </w:r>
      <w:r w:rsidR="008C3DF7" w:rsidRPr="008C3DF7">
        <w:rPr>
          <w:rFonts w:ascii="StobiSerif Regular" w:hAnsi="StobiSerif Regular"/>
          <w:lang w:val="en-US" w:eastAsia="mk-MK"/>
        </w:rPr>
        <w:t>органи</w:t>
      </w:r>
      <w:r w:rsidR="008C3DF7">
        <w:rPr>
          <w:rFonts w:ascii="StobiSerif Regular" w:hAnsi="StobiSerif Regular"/>
          <w:lang w:eastAsia="mk-MK"/>
        </w:rPr>
        <w:t>те</w:t>
      </w:r>
      <w:r w:rsidRPr="00194389">
        <w:rPr>
          <w:rFonts w:ascii="StobiSerif Regular" w:hAnsi="StobiSerif Regular"/>
          <w:lang w:val="en-US" w:eastAsia="mk-MK"/>
        </w:rPr>
        <w:t xml:space="preserve"> во Република Македонија не беа предмет на мониторинг мисии од Г</w:t>
      </w:r>
      <w:r w:rsidRPr="00194389">
        <w:rPr>
          <w:rFonts w:ascii="StobiSerif Regular" w:hAnsi="StobiSerif Regular"/>
          <w:lang w:eastAsia="mk-MK"/>
        </w:rPr>
        <w:t xml:space="preserve">Д </w:t>
      </w:r>
      <w:r w:rsidRPr="00194389">
        <w:rPr>
          <w:rFonts w:ascii="StobiSerif Regular" w:hAnsi="StobiSerif Regular"/>
          <w:lang w:val="en-US" w:eastAsia="mk-MK"/>
        </w:rPr>
        <w:t>Агри. Комуникацијата со Г</w:t>
      </w:r>
      <w:r w:rsidRPr="00194389">
        <w:rPr>
          <w:rFonts w:ascii="StobiSerif Regular" w:hAnsi="StobiSerif Regular"/>
          <w:lang w:eastAsia="mk-MK"/>
        </w:rPr>
        <w:t xml:space="preserve">Д </w:t>
      </w:r>
      <w:r w:rsidRPr="00194389">
        <w:rPr>
          <w:rFonts w:ascii="StobiSerif Regular" w:hAnsi="StobiSerif Regular"/>
          <w:lang w:val="en-US" w:eastAsia="mk-MK"/>
        </w:rPr>
        <w:t>Агри главно се однесуваше на финансиско расчистување на ИПАРД сметките за 2014 година, 2015 година, како и за доверување со задачите за реализација на буџетот за ИПАРД II.</w:t>
      </w:r>
    </w:p>
    <w:p w:rsidR="00194389" w:rsidRPr="00194389" w:rsidRDefault="00194389" w:rsidP="00194389">
      <w:pPr>
        <w:spacing w:before="120" w:after="120" w:line="240" w:lineRule="auto"/>
        <w:ind w:firstLine="720"/>
        <w:rPr>
          <w:rFonts w:ascii="StobiSerif Regular" w:hAnsi="StobiSerif Regular"/>
          <w:sz w:val="24"/>
          <w:szCs w:val="24"/>
          <w:u w:val="single"/>
          <w:lang w:eastAsia="mk-MK"/>
        </w:rPr>
      </w:pPr>
      <w:r w:rsidRPr="00194389">
        <w:rPr>
          <w:rFonts w:ascii="StobiSerif Regular" w:hAnsi="StobiSerif Regular"/>
          <w:u w:val="single"/>
          <w:lang w:eastAsia="mk-MK"/>
        </w:rPr>
        <w:t>Порамнување на сметки</w:t>
      </w:r>
    </w:p>
    <w:p w:rsidR="00194389" w:rsidRPr="00194389" w:rsidRDefault="00194389" w:rsidP="00156A6B">
      <w:pPr>
        <w:spacing w:before="120"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Во текот на 2016 беше реализирана комуникација</w:t>
      </w:r>
      <w:r w:rsidRPr="00194389">
        <w:rPr>
          <w:rFonts w:ascii="StobiSerif Regular" w:eastAsia="Times New Roman" w:hAnsi="StobiSerif Regular" w:cs="Times New Roman"/>
          <w:lang w:eastAsia="mk-MK"/>
        </w:rPr>
        <w:t>та</w:t>
      </w:r>
      <w:r w:rsidRPr="00194389">
        <w:rPr>
          <w:rFonts w:ascii="StobiSerif Regular" w:eastAsia="Times New Roman" w:hAnsi="StobiSerif Regular" w:cs="Times New Roman"/>
          <w:lang w:val="en-US" w:eastAsia="mk-MK"/>
        </w:rPr>
        <w:t xml:space="preserve"> со DG AGRI поврзана со финансиското </w:t>
      </w:r>
      <w:r w:rsidRPr="00194389">
        <w:rPr>
          <w:rFonts w:ascii="StobiSerif Regular" w:eastAsia="Times New Roman" w:hAnsi="StobiSerif Regular" w:cs="Times New Roman"/>
          <w:lang w:eastAsia="mk-MK"/>
        </w:rPr>
        <w:t>порамнување</w:t>
      </w:r>
      <w:r w:rsidRPr="00194389">
        <w:rPr>
          <w:rFonts w:ascii="StobiSerif Regular" w:eastAsia="Times New Roman" w:hAnsi="StobiSerif Regular" w:cs="Times New Roman"/>
          <w:lang w:val="en-US" w:eastAsia="mk-MK"/>
        </w:rPr>
        <w:t xml:space="preserve"> на ИПАРД сметките за </w:t>
      </w:r>
      <w:r w:rsidRPr="00194389">
        <w:rPr>
          <w:rFonts w:ascii="StobiSerif Regular" w:eastAsia="Times New Roman" w:hAnsi="StobiSerif Regular" w:cs="Times New Roman"/>
          <w:lang w:eastAsia="mk-MK"/>
        </w:rPr>
        <w:t>фискална година</w:t>
      </w:r>
      <w:r w:rsidRPr="00194389">
        <w:rPr>
          <w:rFonts w:ascii="StobiSerif Regular" w:eastAsia="Times New Roman" w:hAnsi="StobiSerif Regular" w:cs="Times New Roman"/>
          <w:lang w:val="en-US" w:eastAsia="mk-MK"/>
        </w:rPr>
        <w:t xml:space="preserve"> 2014/2015. Конечниот став на DG AGRI за </w:t>
      </w:r>
      <w:r w:rsidRPr="00194389">
        <w:rPr>
          <w:rFonts w:ascii="StobiSerif Regular" w:eastAsia="Times New Roman" w:hAnsi="StobiSerif Regular" w:cs="Times New Roman"/>
          <w:lang w:eastAsia="mk-MK"/>
        </w:rPr>
        <w:t>фискалната</w:t>
      </w:r>
      <w:r w:rsidRPr="00194389">
        <w:rPr>
          <w:rFonts w:ascii="StobiSerif Regular" w:eastAsia="Times New Roman" w:hAnsi="StobiSerif Regular" w:cs="Times New Roman"/>
          <w:lang w:val="en-US" w:eastAsia="mk-MK"/>
        </w:rPr>
        <w:t xml:space="preserve"> 2014</w:t>
      </w:r>
      <w:r w:rsidRPr="00194389">
        <w:rPr>
          <w:rFonts w:ascii="StobiSerif Regular" w:eastAsia="Times New Roman" w:hAnsi="StobiSerif Regular" w:cs="Times New Roman"/>
          <w:lang w:eastAsia="mk-MK"/>
        </w:rPr>
        <w:t xml:space="preserve"> </w:t>
      </w:r>
      <w:r w:rsidRPr="00194389">
        <w:rPr>
          <w:rFonts w:ascii="StobiSerif Regular" w:eastAsia="Times New Roman" w:hAnsi="StobiSerif Regular" w:cs="Times New Roman"/>
          <w:lang w:val="en-US" w:eastAsia="mk-MK"/>
        </w:rPr>
        <w:t xml:space="preserve">беше изразен </w:t>
      </w:r>
      <w:r w:rsidRPr="00194389">
        <w:rPr>
          <w:rFonts w:ascii="StobiSerif Regular" w:eastAsia="Times New Roman" w:hAnsi="StobiSerif Regular" w:cs="Times New Roman"/>
          <w:lang w:eastAsia="mk-MK"/>
        </w:rPr>
        <w:t>година</w:t>
      </w:r>
      <w:r w:rsidRPr="00194389">
        <w:rPr>
          <w:rFonts w:ascii="StobiSerif Regular" w:eastAsia="Times New Roman" w:hAnsi="StobiSerif Regular" w:cs="Times New Roman"/>
          <w:lang w:val="en-US" w:eastAsia="mk-MK"/>
        </w:rPr>
        <w:t xml:space="preserve"> во октомври 2016 година, кога се предлага исклучување од ЕУ финансирање во износ од 26.278,35 евра.</w:t>
      </w:r>
    </w:p>
    <w:p w:rsidR="00194389" w:rsidRPr="00194389" w:rsidRDefault="00194389" w:rsidP="00156A6B">
      <w:pPr>
        <w:spacing w:before="120"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Предложениот износ претставува износ за исклучување за финансирање на заедницата во врска со задоцнетите плаќања според член 44 (10) од СА. </w:t>
      </w:r>
      <w:r w:rsidRPr="00194389">
        <w:rPr>
          <w:rFonts w:ascii="StobiSerif Regular" w:eastAsia="Times New Roman" w:hAnsi="StobiSerif Regular" w:cs="Times New Roman"/>
          <w:lang w:eastAsia="mk-MK"/>
        </w:rPr>
        <w:t>Обемна</w:t>
      </w:r>
      <w:r w:rsidRPr="00194389">
        <w:rPr>
          <w:rFonts w:ascii="StobiSerif Regular" w:eastAsia="Times New Roman" w:hAnsi="StobiSerif Regular" w:cs="Times New Roman"/>
          <w:lang w:val="en-US" w:eastAsia="mk-MK"/>
        </w:rPr>
        <w:t xml:space="preserve"> комуникација и презентирање на аргументите во врска со ова прашање се разменуваа во текот на 2015 и 2016 година во рамки</w:t>
      </w:r>
      <w:r w:rsidRPr="00194389">
        <w:rPr>
          <w:rFonts w:ascii="StobiSerif Regular" w:eastAsia="Times New Roman" w:hAnsi="StobiSerif Regular" w:cs="Times New Roman"/>
          <w:lang w:eastAsia="mk-MK"/>
        </w:rPr>
        <w:t>те</w:t>
      </w:r>
      <w:r w:rsidRPr="00194389">
        <w:rPr>
          <w:rFonts w:ascii="StobiSerif Regular" w:eastAsia="Times New Roman" w:hAnsi="StobiSerif Regular" w:cs="Times New Roman"/>
          <w:lang w:val="en-US" w:eastAsia="mk-MK"/>
        </w:rPr>
        <w:t xml:space="preserve"> на оваа постапка, но ние се уште имаме различни ставови во однос </w:t>
      </w:r>
      <w:r w:rsidRPr="00194389">
        <w:rPr>
          <w:rFonts w:ascii="StobiSerif Regular" w:eastAsia="Times New Roman" w:hAnsi="StobiSerif Regular" w:cs="Times New Roman"/>
          <w:lang w:eastAsia="mk-MK"/>
        </w:rPr>
        <w:t>на тоа</w:t>
      </w:r>
      <w:r w:rsidRPr="00194389">
        <w:rPr>
          <w:rFonts w:ascii="StobiSerif Regular" w:eastAsia="Times New Roman" w:hAnsi="StobiSerif Regular" w:cs="Times New Roman"/>
          <w:lang w:val="en-US" w:eastAsia="mk-MK"/>
        </w:rPr>
        <w:t xml:space="preserve"> кога е последниот датум </w:t>
      </w:r>
      <w:r w:rsidRPr="00194389">
        <w:rPr>
          <w:rFonts w:ascii="StobiSerif Regular" w:eastAsia="Times New Roman" w:hAnsi="StobiSerif Regular" w:cs="Times New Roman"/>
          <w:lang w:eastAsia="mk-MK"/>
        </w:rPr>
        <w:t>за исплатата да</w:t>
      </w:r>
      <w:r w:rsidRPr="00194389">
        <w:rPr>
          <w:rFonts w:ascii="StobiSerif Regular" w:eastAsia="Times New Roman" w:hAnsi="StobiSerif Regular" w:cs="Times New Roman"/>
          <w:lang w:val="en-US" w:eastAsia="mk-MK"/>
        </w:rPr>
        <w:t xml:space="preserve"> може да се смета за целосна и три</w:t>
      </w:r>
      <w:r w:rsidRPr="00194389">
        <w:rPr>
          <w:rFonts w:ascii="StobiSerif Regular" w:eastAsia="Times New Roman" w:hAnsi="StobiSerif Regular" w:cs="Times New Roman"/>
          <w:lang w:eastAsia="mk-MK"/>
        </w:rPr>
        <w:t>те</w:t>
      </w:r>
      <w:r w:rsidRPr="00194389">
        <w:rPr>
          <w:rFonts w:ascii="StobiSerif Regular" w:eastAsia="Times New Roman" w:hAnsi="StobiSerif Regular" w:cs="Times New Roman"/>
          <w:lang w:val="en-US" w:eastAsia="mk-MK"/>
        </w:rPr>
        <w:t xml:space="preserve"> месеци рок за исплата на крајните корисници</w:t>
      </w:r>
      <w:r w:rsidRPr="00194389">
        <w:rPr>
          <w:rFonts w:ascii="StobiSerif Regular" w:eastAsia="Times New Roman" w:hAnsi="StobiSerif Regular" w:cs="Times New Roman"/>
          <w:lang w:eastAsia="mk-MK"/>
        </w:rPr>
        <w:t xml:space="preserve"> кои</w:t>
      </w:r>
      <w:r w:rsidRPr="00194389">
        <w:rPr>
          <w:rFonts w:ascii="StobiSerif Regular" w:eastAsia="Times New Roman" w:hAnsi="StobiSerif Regular" w:cs="Times New Roman"/>
          <w:lang w:val="en-US" w:eastAsia="mk-MK"/>
        </w:rPr>
        <w:t xml:space="preserve"> треба да се пресметаат. </w:t>
      </w:r>
      <w:r w:rsidR="001B24F1" w:rsidRPr="001B24F1">
        <w:rPr>
          <w:rFonts w:ascii="StobiSerif Regular" w:eastAsia="Times New Roman" w:hAnsi="StobiSerif Regular" w:cs="Times New Roman"/>
          <w:lang w:val="en-US" w:eastAsia="mk-MK"/>
        </w:rPr>
        <w:t>Националните власти беа на ставот дека рокот од три месеци за исплата на крајните корисници се пресметува од датумот кога последниот документ потребен за разгледување на барањата за наплата е примен во Агенцијата и како так</w:t>
      </w:r>
      <w:r w:rsidR="001B24F1">
        <w:rPr>
          <w:rFonts w:ascii="StobiSerif Regular" w:eastAsia="Times New Roman" w:hAnsi="StobiSerif Regular" w:cs="Times New Roman"/>
          <w:lang w:eastAsia="mk-MK"/>
        </w:rPr>
        <w:t>о</w:t>
      </w:r>
      <w:r w:rsidR="001B24F1">
        <w:rPr>
          <w:rFonts w:ascii="StobiSerif Regular" w:eastAsia="Times New Roman" w:hAnsi="StobiSerif Regular" w:cs="Times New Roman"/>
          <w:lang w:val="en-US" w:eastAsia="mk-MK"/>
        </w:rPr>
        <w:t>в</w:t>
      </w:r>
      <w:r w:rsidR="001B24F1" w:rsidRPr="001B24F1">
        <w:rPr>
          <w:rFonts w:ascii="StobiSerif Regular" w:eastAsia="Times New Roman" w:hAnsi="StobiSerif Regular" w:cs="Times New Roman"/>
          <w:lang w:val="en-US" w:eastAsia="mk-MK"/>
        </w:rPr>
        <w:t xml:space="preserve"> </w:t>
      </w:r>
      <w:r w:rsidR="001B24F1">
        <w:rPr>
          <w:rFonts w:ascii="StobiSerif Regular" w:eastAsia="Times New Roman" w:hAnsi="StobiSerif Regular" w:cs="Times New Roman"/>
          <w:lang w:eastAsia="mk-MK"/>
        </w:rPr>
        <w:t xml:space="preserve">се смета </w:t>
      </w:r>
      <w:r w:rsidR="001B24F1" w:rsidRPr="001B24F1">
        <w:rPr>
          <w:rFonts w:ascii="StobiSerif Regular" w:eastAsia="Times New Roman" w:hAnsi="StobiSerif Regular" w:cs="Times New Roman"/>
          <w:lang w:val="en-US" w:eastAsia="mk-MK"/>
        </w:rPr>
        <w:t xml:space="preserve">како целосен што овозможува Агенцијата да продолжи со постапката </w:t>
      </w:r>
      <w:r w:rsidR="001B24F1">
        <w:rPr>
          <w:rFonts w:ascii="StobiSerif Regular" w:eastAsia="Times New Roman" w:hAnsi="StobiSerif Regular" w:cs="Times New Roman"/>
          <w:lang w:eastAsia="mk-MK"/>
        </w:rPr>
        <w:t>з</w:t>
      </w:r>
      <w:r w:rsidR="001B24F1" w:rsidRPr="001B24F1">
        <w:rPr>
          <w:rFonts w:ascii="StobiSerif Regular" w:eastAsia="Times New Roman" w:hAnsi="StobiSerif Regular" w:cs="Times New Roman"/>
          <w:lang w:val="en-US" w:eastAsia="mk-MK"/>
        </w:rPr>
        <w:t>а плаќање. Сепак, позиции</w:t>
      </w:r>
      <w:r w:rsidR="001B24F1">
        <w:rPr>
          <w:rFonts w:ascii="StobiSerif Regular" w:eastAsia="Times New Roman" w:hAnsi="StobiSerif Regular" w:cs="Times New Roman"/>
          <w:lang w:eastAsia="mk-MK"/>
        </w:rPr>
        <w:t>те</w:t>
      </w:r>
      <w:r w:rsidR="001B24F1" w:rsidRPr="001B24F1">
        <w:rPr>
          <w:rFonts w:ascii="StobiSerif Regular" w:eastAsia="Times New Roman" w:hAnsi="StobiSerif Regular" w:cs="Times New Roman"/>
          <w:lang w:val="en-US" w:eastAsia="mk-MK"/>
        </w:rPr>
        <w:t xml:space="preserve"> </w:t>
      </w:r>
      <w:r w:rsidR="001B24F1">
        <w:rPr>
          <w:rFonts w:ascii="StobiSerif Regular" w:eastAsia="Times New Roman" w:hAnsi="StobiSerif Regular" w:cs="Times New Roman"/>
          <w:lang w:val="en-US" w:eastAsia="mk-MK"/>
        </w:rPr>
        <w:t xml:space="preserve">ни се </w:t>
      </w:r>
      <w:r w:rsidR="001B24F1" w:rsidRPr="001B24F1">
        <w:rPr>
          <w:rFonts w:ascii="StobiSerif Regular" w:eastAsia="Times New Roman" w:hAnsi="StobiSerif Regular" w:cs="Times New Roman"/>
          <w:lang w:val="en-US" w:eastAsia="mk-MK"/>
        </w:rPr>
        <w:t xml:space="preserve"> различни.</w:t>
      </w:r>
    </w:p>
    <w:p w:rsidR="00194389" w:rsidRPr="00194389" w:rsidRDefault="00194389" w:rsidP="00156A6B">
      <w:pPr>
        <w:spacing w:before="120" w:after="120" w:line="240" w:lineRule="auto"/>
        <w:jc w:val="both"/>
        <w:rPr>
          <w:rFonts w:ascii="StobiSerif Regular" w:eastAsia="Times New Roman" w:hAnsi="StobiSerif Regular" w:cs="Times New Roman"/>
          <w:lang w:val="en-US" w:eastAsia="mk-MK"/>
        </w:rPr>
      </w:pPr>
      <w:r w:rsidRPr="001B24F1">
        <w:rPr>
          <w:rFonts w:ascii="StobiSerif Regular" w:eastAsia="Times New Roman" w:hAnsi="StobiSerif Regular" w:cs="Times New Roman"/>
          <w:lang w:val="en-US" w:eastAsia="mk-MK"/>
        </w:rPr>
        <w:t xml:space="preserve">Ова прашање продолжува да се дискутира и </w:t>
      </w:r>
      <w:r w:rsidRPr="001B24F1">
        <w:rPr>
          <w:rFonts w:ascii="StobiSerif Regular" w:eastAsia="Times New Roman" w:hAnsi="StobiSerif Regular" w:cs="Times New Roman"/>
          <w:lang w:eastAsia="mk-MK"/>
        </w:rPr>
        <w:t>решава</w:t>
      </w:r>
      <w:r w:rsidRPr="001B24F1">
        <w:rPr>
          <w:rFonts w:ascii="StobiSerif Regular" w:eastAsia="Times New Roman" w:hAnsi="StobiSerif Regular" w:cs="Times New Roman"/>
          <w:lang w:val="en-US" w:eastAsia="mk-MK"/>
        </w:rPr>
        <w:t xml:space="preserve"> во текот на постапката за одобрување на сметки за </w:t>
      </w:r>
      <w:r w:rsidRPr="001B24F1">
        <w:rPr>
          <w:rFonts w:ascii="StobiSerif Regular" w:eastAsia="Times New Roman" w:hAnsi="StobiSerif Regular" w:cs="Times New Roman"/>
          <w:lang w:eastAsia="mk-MK"/>
        </w:rPr>
        <w:t>фискална година</w:t>
      </w:r>
      <w:r w:rsidRPr="001B24F1">
        <w:rPr>
          <w:rFonts w:ascii="StobiSerif Regular" w:eastAsia="Times New Roman" w:hAnsi="StobiSerif Regular" w:cs="Times New Roman"/>
          <w:lang w:val="en-US" w:eastAsia="mk-MK"/>
        </w:rPr>
        <w:t xml:space="preserve"> 2015 година</w:t>
      </w:r>
      <w:r w:rsidRPr="001B24F1">
        <w:rPr>
          <w:rFonts w:ascii="StobiSerif Regular" w:eastAsia="Times New Roman" w:hAnsi="StobiSerif Regular" w:cs="Times New Roman"/>
          <w:lang w:eastAsia="mk-MK"/>
        </w:rPr>
        <w:t>.</w:t>
      </w:r>
      <w:r w:rsidRPr="001B24F1">
        <w:rPr>
          <w:rFonts w:ascii="StobiSerif Regular" w:eastAsia="Times New Roman" w:hAnsi="StobiSerif Regular" w:cs="Times New Roman"/>
          <w:lang w:val="en-US" w:eastAsia="mk-MK"/>
        </w:rPr>
        <w:t xml:space="preserve"> Се надеваме дека нашите аргументи и дополнителни информации даваат доволно основа за DG AGRI да ја преиспита позицијата и за потенцијалните финансиски ефект</w:t>
      </w:r>
      <w:r w:rsidRPr="001B24F1">
        <w:rPr>
          <w:rFonts w:ascii="StobiSerif Regular" w:eastAsia="Times New Roman" w:hAnsi="StobiSerif Regular" w:cs="Times New Roman"/>
          <w:lang w:eastAsia="mk-MK"/>
        </w:rPr>
        <w:t>и</w:t>
      </w:r>
      <w:r w:rsidRPr="001B24F1">
        <w:rPr>
          <w:rFonts w:ascii="StobiSerif Regular" w:eastAsia="Times New Roman" w:hAnsi="StobiSerif Regular" w:cs="Times New Roman"/>
          <w:lang w:val="en-US" w:eastAsia="mk-MK"/>
        </w:rPr>
        <w:t xml:space="preserve"> и намалување на ко</w:t>
      </w:r>
      <w:r w:rsidRPr="001B24F1">
        <w:rPr>
          <w:rFonts w:ascii="StobiSerif Regular" w:eastAsia="Times New Roman" w:hAnsi="StobiSerif Regular" w:cs="Times New Roman"/>
          <w:lang w:eastAsia="mk-MK"/>
        </w:rPr>
        <w:t xml:space="preserve">финансирање од </w:t>
      </w:r>
      <w:r w:rsidRPr="001B24F1">
        <w:rPr>
          <w:rFonts w:ascii="StobiSerif Regular" w:eastAsia="Times New Roman" w:hAnsi="StobiSerif Regular" w:cs="Times New Roman"/>
          <w:lang w:val="en-US" w:eastAsia="mk-MK"/>
        </w:rPr>
        <w:t xml:space="preserve"> ЕУ за задоцнети плаќања.</w:t>
      </w:r>
    </w:p>
    <w:p w:rsidR="00194389" w:rsidRPr="00194389" w:rsidRDefault="00194389" w:rsidP="00156A6B">
      <w:pPr>
        <w:spacing w:before="120" w:after="120" w:line="240" w:lineRule="auto"/>
        <w:jc w:val="both"/>
        <w:rPr>
          <w:rFonts w:ascii="StobiSerif Regular" w:eastAsia="Times New Roman" w:hAnsi="StobiSerif Regular" w:cs="Times New Roman"/>
          <w:color w:val="000000"/>
          <w:lang w:val="en-US" w:eastAsia="mk-MK"/>
        </w:rPr>
      </w:pPr>
      <w:r w:rsidRPr="00CF132D">
        <w:rPr>
          <w:rFonts w:ascii="StobiSerif Regular" w:eastAsia="Times New Roman" w:hAnsi="StobiSerif Regular" w:cs="Times New Roman"/>
          <w:color w:val="000000"/>
          <w:lang w:val="en-US" w:eastAsia="mk-MK"/>
        </w:rPr>
        <w:t xml:space="preserve">Исто така, во текот на 2016 година, со писмо Ares (2016) 3303246), </w:t>
      </w:r>
      <w:r w:rsidRPr="00CF132D">
        <w:rPr>
          <w:rFonts w:ascii="StobiSerif Regular" w:eastAsia="Times New Roman" w:hAnsi="StobiSerif Regular" w:cs="Times New Roman"/>
          <w:color w:val="000000"/>
          <w:lang w:eastAsia="mk-MK"/>
        </w:rPr>
        <w:t xml:space="preserve">од 11.07.2017 порамнувањето на сметки </w:t>
      </w:r>
      <w:r w:rsidRPr="00CF132D">
        <w:rPr>
          <w:rFonts w:ascii="StobiSerif Regular" w:eastAsia="Times New Roman" w:hAnsi="StobiSerif Regular" w:cs="Times New Roman"/>
          <w:color w:val="000000"/>
          <w:lang w:val="en-US" w:eastAsia="mk-MK"/>
        </w:rPr>
        <w:t xml:space="preserve">за фискална година 2015 година беше иницирано од страна на </w:t>
      </w:r>
      <w:r w:rsidR="00CF132D">
        <w:rPr>
          <w:rFonts w:ascii="StobiSerif Regular" w:eastAsia="Times New Roman" w:hAnsi="StobiSerif Regular" w:cs="Times New Roman"/>
          <w:color w:val="000000"/>
          <w:lang w:eastAsia="mk-MK"/>
        </w:rPr>
        <w:t>ГД Агри</w:t>
      </w:r>
      <w:r w:rsidRPr="00CF132D">
        <w:rPr>
          <w:rFonts w:ascii="StobiSerif Regular" w:eastAsia="Times New Roman" w:hAnsi="StobiSerif Regular" w:cs="Times New Roman"/>
          <w:color w:val="000000"/>
          <w:lang w:val="en-US" w:eastAsia="mk-MK"/>
        </w:rPr>
        <w:t xml:space="preserve">. Со комуникација во согласност со член 49 (4) од Секторската спогодба (Ares (2016) 7012606 од 2016/12/16) </w:t>
      </w:r>
      <w:r w:rsidR="00CF132D" w:rsidRPr="00CF132D">
        <w:rPr>
          <w:rFonts w:ascii="StobiSerif Regular" w:eastAsia="Times New Roman" w:hAnsi="StobiSerif Regular" w:cs="Times New Roman"/>
          <w:color w:val="000000"/>
          <w:lang w:val="en-US" w:eastAsia="mk-MK"/>
        </w:rPr>
        <w:t xml:space="preserve">ГД Агри </w:t>
      </w:r>
      <w:r w:rsidRPr="00CF132D">
        <w:rPr>
          <w:rFonts w:ascii="StobiSerif Regular" w:eastAsia="Times New Roman" w:hAnsi="StobiSerif Regular" w:cs="Times New Roman"/>
          <w:color w:val="000000"/>
          <w:lang w:val="en-US" w:eastAsia="mk-MK"/>
        </w:rPr>
        <w:t>предложи пролонгирање на рокот од три месеци за исплата на крајните корисници во износ од 213.249.33 евра. Националните ИПАРД</w:t>
      </w:r>
      <w:r w:rsidRPr="00CF132D">
        <w:rPr>
          <w:rFonts w:ascii="StobiSerif Regular" w:eastAsia="Times New Roman" w:hAnsi="StobiSerif Regular" w:cs="Times New Roman"/>
          <w:color w:val="000000"/>
          <w:lang w:eastAsia="mk-MK"/>
        </w:rPr>
        <w:t xml:space="preserve"> власти</w:t>
      </w:r>
      <w:r w:rsidRPr="00CF132D">
        <w:rPr>
          <w:rFonts w:ascii="StobiSerif Regular" w:eastAsia="Times New Roman" w:hAnsi="StobiSerif Regular" w:cs="Times New Roman"/>
          <w:color w:val="000000"/>
          <w:lang w:val="en-US" w:eastAsia="mk-MK"/>
        </w:rPr>
        <w:t xml:space="preserve"> по оваа комуникација пресметаниот износ за исклучување за финансирање на заедницата во врска со задоцнетите плаќања според методологијата предложена од </w:t>
      </w:r>
      <w:r w:rsidR="00CF132D" w:rsidRPr="00CF132D">
        <w:rPr>
          <w:rFonts w:ascii="StobiSerif Regular" w:eastAsia="Times New Roman" w:hAnsi="StobiSerif Regular" w:cs="Times New Roman"/>
          <w:color w:val="000000"/>
          <w:lang w:val="en-US" w:eastAsia="mk-MK"/>
        </w:rPr>
        <w:t>ГД Агри</w:t>
      </w:r>
      <w:r w:rsidRPr="00CF132D">
        <w:rPr>
          <w:rFonts w:ascii="StobiSerif Regular" w:eastAsia="Times New Roman" w:hAnsi="StobiSerif Regular" w:cs="Times New Roman"/>
          <w:color w:val="000000"/>
          <w:lang w:val="en-US" w:eastAsia="mk-MK"/>
        </w:rPr>
        <w:t xml:space="preserve"> и доставени пресметките со </w:t>
      </w:r>
      <w:r w:rsidR="00CF132D" w:rsidRPr="00CF132D">
        <w:rPr>
          <w:rFonts w:ascii="StobiSerif Regular" w:eastAsia="Times New Roman" w:hAnsi="StobiSerif Regular" w:cs="Times New Roman"/>
          <w:color w:val="000000"/>
          <w:lang w:val="en-US" w:eastAsia="mk-MK"/>
        </w:rPr>
        <w:t>ГД Агри</w:t>
      </w:r>
      <w:r w:rsidRPr="00CF132D">
        <w:rPr>
          <w:rFonts w:ascii="StobiSerif Regular" w:eastAsia="Times New Roman" w:hAnsi="StobiSerif Regular" w:cs="Times New Roman"/>
          <w:color w:val="000000"/>
          <w:lang w:val="en-US" w:eastAsia="mk-MK"/>
        </w:rPr>
        <w:t>. Според последните комуникации има различна позиција од Генералниот директорат за агро и националните власти во врска со финансиските намалувања за подолг рок од три месеци за исплата на крајните корисници. Постапката е во тек.</w:t>
      </w:r>
    </w:p>
    <w:p w:rsidR="00194389" w:rsidRPr="00CC3430" w:rsidRDefault="00CF132D" w:rsidP="00194389">
      <w:pPr>
        <w:spacing w:before="120" w:after="120" w:line="240" w:lineRule="auto"/>
        <w:jc w:val="both"/>
        <w:rPr>
          <w:rFonts w:ascii="Times New Roman" w:eastAsia="Times New Roman" w:hAnsi="Times New Roman" w:cs="Times New Roman"/>
          <w:sz w:val="24"/>
          <w:szCs w:val="24"/>
          <w:lang w:eastAsia="mk-MK"/>
        </w:rPr>
      </w:pPr>
      <w:r w:rsidRPr="00CF132D">
        <w:rPr>
          <w:rFonts w:ascii="StobiSerif Regular" w:eastAsia="Times New Roman" w:hAnsi="StobiSerif Regular" w:cs="Times New Roman"/>
          <w:b/>
          <w:bCs/>
          <w:i/>
          <w:iCs/>
          <w:sz w:val="24"/>
          <w:szCs w:val="24"/>
          <w:u w:val="single"/>
          <w:lang w:val="en-GB" w:eastAsia="mk-MK"/>
        </w:rPr>
        <w:t>Преод од ИПАРД Програмата 2007-2013 на ИПАРД Програма 2014-2020</w:t>
      </w:r>
    </w:p>
    <w:p w:rsidR="00194389" w:rsidRPr="00194389" w:rsidRDefault="00194389" w:rsidP="00194389">
      <w:pPr>
        <w:spacing w:before="120" w:after="120" w:line="240" w:lineRule="auto"/>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 xml:space="preserve">Во согласност со одредбите од </w:t>
      </w:r>
      <w:r w:rsidRPr="00194389">
        <w:rPr>
          <w:rFonts w:ascii="StobiSerif Regular" w:eastAsia="Times New Roman" w:hAnsi="StobiSerif Regular" w:cs="Times New Roman"/>
          <w:color w:val="000000"/>
          <w:lang w:eastAsia="mk-MK"/>
        </w:rPr>
        <w:t xml:space="preserve">Комисиската </w:t>
      </w:r>
      <w:r w:rsidRPr="00194389">
        <w:rPr>
          <w:rFonts w:ascii="StobiSerif Regular" w:eastAsia="Times New Roman" w:hAnsi="StobiSerif Regular" w:cs="Times New Roman"/>
          <w:color w:val="000000"/>
          <w:lang w:val="en-US" w:eastAsia="mk-MK"/>
        </w:rPr>
        <w:t xml:space="preserve">Регулативата за спроведување (ЕУ), бр 447/2014 и Рамковниот договор за ИПА II, НАО на </w:t>
      </w:r>
      <w:r w:rsidRPr="00194389">
        <w:rPr>
          <w:rFonts w:ascii="StobiSerif Regular" w:eastAsia="Calibri" w:hAnsi="StobiSerif Regular" w:cs="Times New Roman"/>
          <w:lang w:val="en-US"/>
        </w:rPr>
        <w:t xml:space="preserve">25.05.2016 </w:t>
      </w:r>
      <w:r w:rsidRPr="00194389">
        <w:rPr>
          <w:rFonts w:ascii="StobiSerif Regular" w:eastAsia="Times New Roman" w:hAnsi="StobiSerif Regular" w:cs="Times New Roman"/>
          <w:color w:val="000000"/>
          <w:lang w:val="en-US" w:eastAsia="mk-MK"/>
        </w:rPr>
        <w:t>со писмо број 10-3270 / 1 поднесе официјално барање за доверувањето</w:t>
      </w:r>
      <w:r w:rsidRPr="00194389">
        <w:rPr>
          <w:rFonts w:ascii="StobiSerif Regular" w:eastAsia="Times New Roman" w:hAnsi="StobiSerif Regular" w:cs="Times New Roman"/>
          <w:color w:val="000000"/>
          <w:lang w:eastAsia="mk-MK"/>
        </w:rPr>
        <w:t xml:space="preserve"> на</w:t>
      </w:r>
      <w:r w:rsidRPr="00194389">
        <w:rPr>
          <w:rFonts w:ascii="StobiSerif Regular" w:eastAsia="Times New Roman" w:hAnsi="StobiSerif Regular" w:cs="Times New Roman"/>
          <w:color w:val="000000"/>
          <w:lang w:val="en-US" w:eastAsia="mk-MK"/>
        </w:rPr>
        <w:t xml:space="preserve"> задачите за реализација на буџетот за индиректно управување кои се однесуваат на следниве мерки содржани во Програмата за Повеќегодишната рурален развој 2014-2020:</w:t>
      </w:r>
    </w:p>
    <w:p w:rsidR="00194389" w:rsidRPr="00194389" w:rsidRDefault="00194389" w:rsidP="00BA1CE8">
      <w:pPr>
        <w:numPr>
          <w:ilvl w:val="0"/>
          <w:numId w:val="49"/>
        </w:numPr>
        <w:spacing w:before="120" w:after="120" w:line="240" w:lineRule="auto"/>
        <w:contextualSpacing/>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 xml:space="preserve">инвестиции во </w:t>
      </w:r>
      <w:r w:rsidR="00156A6B">
        <w:rPr>
          <w:rFonts w:ascii="StobiSerif Regular" w:eastAsia="Times New Roman" w:hAnsi="StobiSerif Regular" w:cs="Times New Roman"/>
          <w:color w:val="000000"/>
          <w:lang w:eastAsia="mk-MK"/>
        </w:rPr>
        <w:t>материјални</w:t>
      </w:r>
      <w:r w:rsidRPr="00194389">
        <w:rPr>
          <w:rFonts w:ascii="StobiSerif Regular" w:eastAsia="Times New Roman" w:hAnsi="StobiSerif Regular" w:cs="Times New Roman"/>
          <w:color w:val="000000"/>
          <w:lang w:val="en-US" w:eastAsia="mk-MK"/>
        </w:rPr>
        <w:t xml:space="preserve"> средства на земјоделски стопанства,</w:t>
      </w:r>
    </w:p>
    <w:p w:rsidR="00194389" w:rsidRPr="00194389" w:rsidRDefault="00194389" w:rsidP="00BA1CE8">
      <w:pPr>
        <w:numPr>
          <w:ilvl w:val="0"/>
          <w:numId w:val="49"/>
        </w:numPr>
        <w:spacing w:before="120" w:after="120" w:line="240" w:lineRule="auto"/>
        <w:contextualSpacing/>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 xml:space="preserve">инвестиции во </w:t>
      </w:r>
      <w:r w:rsidR="00156A6B">
        <w:rPr>
          <w:rFonts w:ascii="StobiSerif Regular" w:eastAsia="Times New Roman" w:hAnsi="StobiSerif Regular" w:cs="Times New Roman"/>
          <w:color w:val="000000"/>
          <w:lang w:eastAsia="mk-MK"/>
        </w:rPr>
        <w:t>материјални</w:t>
      </w:r>
      <w:r w:rsidRPr="00194389">
        <w:rPr>
          <w:rFonts w:ascii="StobiSerif Regular" w:eastAsia="Times New Roman" w:hAnsi="StobiSerif Regular" w:cs="Times New Roman"/>
          <w:color w:val="000000"/>
          <w:lang w:val="en-US" w:eastAsia="mk-MK"/>
        </w:rPr>
        <w:t xml:space="preserve"> средства</w:t>
      </w:r>
      <w:r w:rsidRPr="00194389">
        <w:rPr>
          <w:rFonts w:ascii="StobiSerif Regular" w:eastAsia="Times New Roman" w:hAnsi="StobiSerif Regular" w:cs="Times New Roman"/>
          <w:color w:val="000000"/>
          <w:lang w:eastAsia="mk-MK"/>
        </w:rPr>
        <w:t xml:space="preserve"> во</w:t>
      </w:r>
      <w:r w:rsidRPr="00194389">
        <w:rPr>
          <w:rFonts w:ascii="StobiSerif Regular" w:eastAsia="Times New Roman" w:hAnsi="StobiSerif Regular" w:cs="Times New Roman"/>
          <w:color w:val="000000"/>
          <w:lang w:val="en-US" w:eastAsia="mk-MK"/>
        </w:rPr>
        <w:t xml:space="preserve"> врска</w:t>
      </w:r>
      <w:r w:rsidRPr="00194389">
        <w:rPr>
          <w:rFonts w:ascii="StobiSerif Regular" w:eastAsia="Times New Roman" w:hAnsi="StobiSerif Regular" w:cs="Times New Roman"/>
          <w:color w:val="000000"/>
          <w:lang w:eastAsia="mk-MK"/>
        </w:rPr>
        <w:t xml:space="preserve"> со</w:t>
      </w:r>
      <w:r w:rsidRPr="00194389">
        <w:rPr>
          <w:rFonts w:ascii="StobiSerif Regular" w:eastAsia="Times New Roman" w:hAnsi="StobiSerif Regular" w:cs="Times New Roman"/>
          <w:color w:val="000000"/>
          <w:lang w:val="en-US" w:eastAsia="mk-MK"/>
        </w:rPr>
        <w:t xml:space="preserve"> преработка и маркетинг на земјоделските и рибните производи,</w:t>
      </w:r>
    </w:p>
    <w:p w:rsidR="00194389" w:rsidRPr="00194389" w:rsidRDefault="00194389" w:rsidP="00BA1CE8">
      <w:pPr>
        <w:numPr>
          <w:ilvl w:val="0"/>
          <w:numId w:val="49"/>
        </w:numPr>
        <w:spacing w:before="120" w:after="120" w:line="240" w:lineRule="auto"/>
        <w:contextualSpacing/>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Диверзификација</w:t>
      </w:r>
      <w:r w:rsidRPr="00194389">
        <w:rPr>
          <w:rFonts w:ascii="StobiSerif Regular" w:eastAsia="Times New Roman" w:hAnsi="StobiSerif Regular" w:cs="Times New Roman"/>
          <w:color w:val="000000"/>
          <w:lang w:eastAsia="mk-MK"/>
        </w:rPr>
        <w:t xml:space="preserve"> на фарми</w:t>
      </w:r>
      <w:r w:rsidRPr="00194389">
        <w:rPr>
          <w:rFonts w:ascii="StobiSerif Regular" w:eastAsia="Times New Roman" w:hAnsi="StobiSerif Regular" w:cs="Times New Roman"/>
          <w:color w:val="000000"/>
          <w:lang w:val="en-US" w:eastAsia="mk-MK"/>
        </w:rPr>
        <w:t xml:space="preserve"> и развој на бизнисот и</w:t>
      </w:r>
    </w:p>
    <w:p w:rsidR="00194389" w:rsidRPr="00194389" w:rsidRDefault="00194389" w:rsidP="00BA1CE8">
      <w:pPr>
        <w:numPr>
          <w:ilvl w:val="0"/>
          <w:numId w:val="49"/>
        </w:numPr>
        <w:spacing w:before="120" w:after="120" w:line="240" w:lineRule="auto"/>
        <w:contextualSpacing/>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Мерки за Техничка помош.</w:t>
      </w:r>
    </w:p>
    <w:p w:rsidR="00194389" w:rsidRPr="00194389" w:rsidRDefault="00194389" w:rsidP="00194389">
      <w:pPr>
        <w:spacing w:before="120" w:after="120" w:line="240" w:lineRule="auto"/>
        <w:ind w:firstLine="284"/>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Овој пакет е составен со ревидираните договори за работа и документи според препораките </w:t>
      </w:r>
      <w:r w:rsidRPr="00194389">
        <w:rPr>
          <w:rFonts w:ascii="StobiSerif Regular" w:eastAsia="Times New Roman" w:hAnsi="StobiSerif Regular" w:cs="Times New Roman"/>
          <w:lang w:eastAsia="mk-MK"/>
        </w:rPr>
        <w:t xml:space="preserve">од </w:t>
      </w:r>
      <w:r w:rsidRPr="00194389">
        <w:rPr>
          <w:rFonts w:ascii="StobiSerif Regular" w:eastAsia="Times New Roman" w:hAnsi="StobiSerif Regular" w:cs="Times New Roman"/>
          <w:lang w:val="en-US" w:eastAsia="mk-MK"/>
        </w:rPr>
        <w:t xml:space="preserve">ГД АГРИ од прелиминарната оценка на Барањето за поверување за реализација на буџетот. Во пакетот се вклучени и дополнителни измени и промени во работните аранжмани кои беа </w:t>
      </w:r>
      <w:r w:rsidRPr="00194389">
        <w:rPr>
          <w:rFonts w:ascii="StobiSerif Regular" w:eastAsia="Times New Roman" w:hAnsi="StobiSerif Regular" w:cs="Times New Roman"/>
          <w:lang w:eastAsia="mk-MK"/>
        </w:rPr>
        <w:t>утврдени со</w:t>
      </w:r>
      <w:r w:rsidRPr="00194389">
        <w:rPr>
          <w:rFonts w:ascii="StobiSerif Regular" w:eastAsia="Times New Roman" w:hAnsi="StobiSerif Regular" w:cs="Times New Roman"/>
          <w:lang w:val="en-US" w:eastAsia="mk-MK"/>
        </w:rPr>
        <w:t xml:space="preserve"> ревизорските наоди и научените лекции од спроведувањето на ИПАРД I програмата. Измени</w:t>
      </w:r>
      <w:r w:rsidRPr="00194389">
        <w:rPr>
          <w:rFonts w:ascii="StobiSerif Regular" w:eastAsia="Times New Roman" w:hAnsi="StobiSerif Regular" w:cs="Times New Roman"/>
          <w:lang w:eastAsia="mk-MK"/>
        </w:rPr>
        <w:t>те</w:t>
      </w:r>
      <w:r w:rsidRPr="00194389">
        <w:rPr>
          <w:rFonts w:ascii="StobiSerif Regular" w:eastAsia="Times New Roman" w:hAnsi="StobiSerif Regular" w:cs="Times New Roman"/>
          <w:lang w:val="en-US" w:eastAsia="mk-MK"/>
        </w:rPr>
        <w:t xml:space="preserve"> и дополнувања</w:t>
      </w:r>
      <w:r w:rsidRPr="00194389">
        <w:rPr>
          <w:rFonts w:ascii="StobiSerif Regular" w:eastAsia="Times New Roman" w:hAnsi="StobiSerif Regular" w:cs="Times New Roman"/>
          <w:lang w:eastAsia="mk-MK"/>
        </w:rPr>
        <w:t>та</w:t>
      </w:r>
      <w:r w:rsidRPr="00194389">
        <w:rPr>
          <w:rFonts w:ascii="StobiSerif Regular" w:eastAsia="Times New Roman" w:hAnsi="StobiSerif Regular" w:cs="Times New Roman"/>
          <w:lang w:val="en-US" w:eastAsia="mk-MK"/>
        </w:rPr>
        <w:t xml:space="preserve"> на договори</w:t>
      </w:r>
      <w:r w:rsidRPr="00194389">
        <w:rPr>
          <w:rFonts w:ascii="StobiSerif Regular" w:eastAsia="Times New Roman" w:hAnsi="StobiSerif Regular" w:cs="Times New Roman"/>
          <w:lang w:eastAsia="mk-MK"/>
        </w:rPr>
        <w:t>те</w:t>
      </w:r>
      <w:r w:rsidRPr="00194389">
        <w:rPr>
          <w:rFonts w:ascii="StobiSerif Regular" w:eastAsia="Times New Roman" w:hAnsi="StobiSerif Regular" w:cs="Times New Roman"/>
          <w:lang w:val="en-US" w:eastAsia="mk-MK"/>
        </w:rPr>
        <w:t xml:space="preserve"> за работа се оценува</w:t>
      </w:r>
      <w:r w:rsidRPr="00194389">
        <w:rPr>
          <w:rFonts w:ascii="StobiSerif Regular" w:eastAsia="Times New Roman" w:hAnsi="StobiSerif Regular" w:cs="Times New Roman"/>
          <w:lang w:eastAsia="mk-MK"/>
        </w:rPr>
        <w:t xml:space="preserve">т </w:t>
      </w:r>
      <w:r w:rsidRPr="00194389">
        <w:rPr>
          <w:rFonts w:ascii="StobiSerif Regular" w:eastAsia="Times New Roman" w:hAnsi="StobiSerif Regular" w:cs="Times New Roman"/>
          <w:lang w:val="en-US" w:eastAsia="mk-MK"/>
        </w:rPr>
        <w:t>од страна на структурата за управување и одобруваат од страна на НАО.</w:t>
      </w:r>
    </w:p>
    <w:p w:rsidR="00194389" w:rsidRPr="00194389" w:rsidRDefault="00194389" w:rsidP="00194389">
      <w:pPr>
        <w:spacing w:before="120" w:after="120" w:line="240" w:lineRule="auto"/>
        <w:ind w:firstLine="284"/>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Правните акти и договори за работа, како што се: Секторската спогодба, Уредба за утврдување на меѓусебните односи на органите и структурите во рамките на ИПАРД II и Уредбата за начинот и методот на распределба на финансиска поддршка за мерките за рурален развој, </w:t>
      </w:r>
      <w:r w:rsidRPr="00194389">
        <w:rPr>
          <w:rFonts w:ascii="StobiSerif Regular" w:eastAsia="Times New Roman" w:hAnsi="StobiSerif Regular" w:cs="Times New Roman"/>
          <w:lang w:eastAsia="mk-MK"/>
        </w:rPr>
        <w:t>В</w:t>
      </w:r>
      <w:r w:rsidRPr="00194389">
        <w:rPr>
          <w:rFonts w:ascii="StobiSerif Regular" w:eastAsia="Times New Roman" w:hAnsi="StobiSerif Regular" w:cs="Times New Roman"/>
          <w:lang w:val="en-US" w:eastAsia="mk-MK"/>
        </w:rPr>
        <w:t xml:space="preserve">натрешните Процедури за работа, Одлука за назначување на </w:t>
      </w:r>
      <w:r w:rsidR="00BD7899">
        <w:rPr>
          <w:rFonts w:ascii="StobiSerif Regular" w:eastAsia="Times New Roman" w:hAnsi="StobiSerif Regular" w:cs="Times New Roman"/>
          <w:lang w:eastAsia="mk-MK"/>
        </w:rPr>
        <w:t>извршители</w:t>
      </w:r>
      <w:r w:rsidRPr="00194389">
        <w:rPr>
          <w:rFonts w:ascii="StobiSerif Regular" w:eastAsia="Times New Roman" w:hAnsi="StobiSerif Regular" w:cs="Times New Roman"/>
          <w:lang w:val="en-US" w:eastAsia="mk-MK"/>
        </w:rPr>
        <w:t>, извештаи на подготвеност, декларации и други акти и договори неопходни за спроведување на овие мерки во рамките на Инструментот ИПАРД II беа потпишани и формализира</w:t>
      </w:r>
      <w:r w:rsidRPr="00194389">
        <w:rPr>
          <w:rFonts w:ascii="StobiSerif Regular" w:eastAsia="Times New Roman" w:hAnsi="StobiSerif Regular" w:cs="Times New Roman"/>
          <w:lang w:eastAsia="mk-MK"/>
        </w:rPr>
        <w:t>ни</w:t>
      </w:r>
      <w:r w:rsidRPr="00194389">
        <w:rPr>
          <w:rFonts w:ascii="StobiSerif Regular" w:eastAsia="Times New Roman" w:hAnsi="StobiSerif Regular" w:cs="Times New Roman"/>
          <w:lang w:val="en-US" w:eastAsia="mk-MK"/>
        </w:rPr>
        <w:t>.</w:t>
      </w:r>
    </w:p>
    <w:p w:rsidR="00194389" w:rsidRPr="00194389" w:rsidRDefault="00194389" w:rsidP="00194389">
      <w:pPr>
        <w:spacing w:before="120" w:after="120" w:line="240" w:lineRule="auto"/>
        <w:ind w:firstLine="284"/>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Со ова барање НАО потврди дека Управувачката Структура и Оперативната структура ги исполни барањата од точките (а), (б) и (г) од член 12 (3) и оние од Анекс Б на Рамковниот договор и Прилог 2 од Секторската договор за ИПА II.</w:t>
      </w:r>
    </w:p>
    <w:p w:rsidR="00194389" w:rsidRPr="00194389" w:rsidRDefault="00194389" w:rsidP="00194389">
      <w:pPr>
        <w:spacing w:before="120" w:after="120" w:line="240" w:lineRule="auto"/>
        <w:ind w:firstLine="284"/>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Со писмо бр Ares (2017) 499409 – од 30.01.2017, DG AGRI </w:t>
      </w:r>
      <w:r w:rsidRPr="00194389">
        <w:rPr>
          <w:rFonts w:ascii="StobiSerif Regular" w:eastAsia="Times New Roman" w:hAnsi="StobiSerif Regular" w:cs="Times New Roman"/>
          <w:lang w:eastAsia="mk-MK"/>
        </w:rPr>
        <w:t>достави</w:t>
      </w:r>
      <w:r w:rsidRPr="00194389">
        <w:rPr>
          <w:rFonts w:ascii="StobiSerif Regular" w:eastAsia="Times New Roman" w:hAnsi="StobiSerif Regular" w:cs="Times New Roman"/>
          <w:lang w:val="en-US" w:eastAsia="mk-MK"/>
        </w:rPr>
        <w:t xml:space="preserve"> писмо за затворање на оваа постапка. Со ова писмо врз основа на расположливите докази, Генералниот директорат за земјоделство и рурален развој (DG AGRI) смета дека властите во Република Македонија на задоволително ниво се осврна</w:t>
      </w:r>
      <w:r w:rsidRPr="00194389">
        <w:rPr>
          <w:rFonts w:ascii="StobiSerif Regular" w:eastAsia="Times New Roman" w:hAnsi="StobiSerif Regular" w:cs="Times New Roman"/>
          <w:lang w:eastAsia="mk-MK"/>
        </w:rPr>
        <w:t>а</w:t>
      </w:r>
      <w:r w:rsidRPr="00194389">
        <w:rPr>
          <w:rFonts w:ascii="StobiSerif Regular" w:eastAsia="Times New Roman" w:hAnsi="StobiSerif Regular" w:cs="Times New Roman"/>
          <w:lang w:val="en-US" w:eastAsia="mk-MK"/>
        </w:rPr>
        <w:t xml:space="preserve"> на главните прашања доставени </w:t>
      </w:r>
      <w:r w:rsidRPr="00BD7899">
        <w:rPr>
          <w:rFonts w:ascii="StobiSerif Regular" w:eastAsia="Times New Roman" w:hAnsi="StobiSerif Regular" w:cs="Times New Roman"/>
          <w:lang w:val="en-US" w:eastAsia="mk-MK"/>
        </w:rPr>
        <w:t xml:space="preserve">во писмото </w:t>
      </w:r>
      <w:r w:rsidR="00BD7899">
        <w:rPr>
          <w:rFonts w:ascii="StobiSerif Regular" w:eastAsia="Times New Roman" w:hAnsi="StobiSerif Regular" w:cs="Times New Roman"/>
          <w:lang w:eastAsia="mk-MK"/>
        </w:rPr>
        <w:t>со забелешки</w:t>
      </w:r>
      <w:r w:rsidRPr="00194389">
        <w:rPr>
          <w:rFonts w:ascii="StobiSerif Regular" w:eastAsia="Times New Roman" w:hAnsi="StobiSerif Regular" w:cs="Times New Roman"/>
          <w:lang w:val="en-US" w:eastAsia="mk-MK"/>
        </w:rPr>
        <w:t xml:space="preserve"> Ares (2016) 249.476 и дека структурите и процедурите поставени за ИПАРД II </w:t>
      </w:r>
      <w:r w:rsidRPr="00194389">
        <w:rPr>
          <w:rFonts w:ascii="StobiSerif Regular" w:eastAsia="Times New Roman" w:hAnsi="StobiSerif Regular" w:cs="Times New Roman"/>
          <w:lang w:eastAsia="mk-MK"/>
        </w:rPr>
        <w:t xml:space="preserve">ги </w:t>
      </w:r>
      <w:r w:rsidRPr="00194389">
        <w:rPr>
          <w:rFonts w:ascii="StobiSerif Regular" w:eastAsia="Times New Roman" w:hAnsi="StobiSerif Regular" w:cs="Times New Roman"/>
          <w:lang w:val="en-US" w:eastAsia="mk-MK"/>
        </w:rPr>
        <w:t>исполнува</w:t>
      </w:r>
      <w:r w:rsidRPr="00194389">
        <w:rPr>
          <w:rFonts w:ascii="StobiSerif Regular" w:eastAsia="Times New Roman" w:hAnsi="StobiSerif Regular" w:cs="Times New Roman"/>
          <w:lang w:eastAsia="mk-MK"/>
        </w:rPr>
        <w:t>ат</w:t>
      </w:r>
      <w:r w:rsidRPr="00194389">
        <w:rPr>
          <w:rFonts w:ascii="StobiSerif Regular" w:eastAsia="Times New Roman" w:hAnsi="StobiSerif Regular" w:cs="Times New Roman"/>
          <w:lang w:val="en-US" w:eastAsia="mk-MK"/>
        </w:rPr>
        <w:t xml:space="preserve"> минималните услови наведени во чл 13 (4) од Рамковниот договор. Како резултат на тоа, доверување</w:t>
      </w:r>
      <w:r w:rsidRPr="00194389">
        <w:rPr>
          <w:rFonts w:ascii="StobiSerif Regular" w:eastAsia="Times New Roman" w:hAnsi="StobiSerif Regular" w:cs="Times New Roman"/>
          <w:lang w:eastAsia="mk-MK"/>
        </w:rPr>
        <w:t>то</w:t>
      </w:r>
      <w:r w:rsidRPr="00194389">
        <w:rPr>
          <w:rFonts w:ascii="StobiSerif Regular" w:eastAsia="Times New Roman" w:hAnsi="StobiSerif Regular" w:cs="Times New Roman"/>
          <w:lang w:val="en-US" w:eastAsia="mk-MK"/>
        </w:rPr>
        <w:t xml:space="preserve"> да се управува со горенаведените мерки во рамките на ИПАРД II може да се даде со помош на склучување на договорот за финансирање. Со ова писмо DG AGRI, исто така, ги потврди некои од препораките </w:t>
      </w:r>
      <w:r w:rsidRPr="00194389">
        <w:rPr>
          <w:rFonts w:ascii="StobiSerif Regular" w:eastAsia="Times New Roman" w:hAnsi="StobiSerif Regular" w:cs="Times New Roman"/>
          <w:lang w:eastAsia="mk-MK"/>
        </w:rPr>
        <w:t xml:space="preserve">кои </w:t>
      </w:r>
      <w:r w:rsidRPr="00194389">
        <w:rPr>
          <w:rFonts w:ascii="StobiSerif Regular" w:eastAsia="Times New Roman" w:hAnsi="StobiSerif Regular" w:cs="Times New Roman"/>
          <w:lang w:val="en-US" w:eastAsia="mk-MK"/>
        </w:rPr>
        <w:t>веќе се доставени во писмото за набљудување Ares (2016) 249476 од 18 јануари 2016 година, за што е потребно спроведување на дополнителни мерки. Спроведувањ</w:t>
      </w:r>
      <w:r w:rsidRPr="00194389">
        <w:rPr>
          <w:rFonts w:ascii="StobiSerif Regular" w:eastAsia="Times New Roman" w:hAnsi="StobiSerif Regular" w:cs="Times New Roman"/>
          <w:lang w:eastAsia="mk-MK"/>
        </w:rPr>
        <w:t>то</w:t>
      </w:r>
      <w:r w:rsidRPr="00194389">
        <w:rPr>
          <w:rFonts w:ascii="StobiSerif Regular" w:eastAsia="Times New Roman" w:hAnsi="StobiSerif Regular" w:cs="Times New Roman"/>
          <w:lang w:val="en-US" w:eastAsia="mk-MK"/>
        </w:rPr>
        <w:t>е на препораките дадени во Анекс 1 и 3 од ова писмо</w:t>
      </w:r>
      <w:r w:rsidRPr="00194389">
        <w:rPr>
          <w:rFonts w:ascii="StobiSerif Regular" w:eastAsia="Times New Roman" w:hAnsi="StobiSerif Regular" w:cs="Times New Roman"/>
          <w:lang w:eastAsia="mk-MK"/>
        </w:rPr>
        <w:t xml:space="preserve"> треба да се направи</w:t>
      </w:r>
      <w:r w:rsidRPr="00194389">
        <w:rPr>
          <w:rFonts w:ascii="StobiSerif Regular" w:eastAsia="Times New Roman" w:hAnsi="StobiSerif Regular" w:cs="Times New Roman"/>
          <w:lang w:val="en-US" w:eastAsia="mk-MK"/>
        </w:rPr>
        <w:t xml:space="preserve"> пред да се применат предложените процедурални одредби. ИПАРД националните власти веднаш по добивањето на оваа препорака започна</w:t>
      </w:r>
      <w:r w:rsidRPr="00194389">
        <w:rPr>
          <w:rFonts w:ascii="StobiSerif Regular" w:eastAsia="Times New Roman" w:hAnsi="StobiSerif Regular" w:cs="Times New Roman"/>
          <w:lang w:eastAsia="mk-MK"/>
        </w:rPr>
        <w:t>а</w:t>
      </w:r>
      <w:r w:rsidRPr="00194389">
        <w:rPr>
          <w:rFonts w:ascii="StobiSerif Regular" w:eastAsia="Times New Roman" w:hAnsi="StobiSerif Regular" w:cs="Times New Roman"/>
          <w:lang w:val="en-US" w:eastAsia="mk-MK"/>
        </w:rPr>
        <w:t xml:space="preserve"> со спроведување на препораките дадени во Анекс 1 и 3 на овој допис бр Ares (2017) 499.409.</w:t>
      </w:r>
    </w:p>
    <w:p w:rsidR="00194389" w:rsidRPr="00194389" w:rsidRDefault="00194389" w:rsidP="00BA1CE8">
      <w:pPr>
        <w:numPr>
          <w:ilvl w:val="0"/>
          <w:numId w:val="32"/>
        </w:numPr>
        <w:spacing w:before="120" w:after="120" w:line="240" w:lineRule="auto"/>
        <w:rPr>
          <w:rFonts w:ascii="StobiSerif Regular" w:hAnsi="StobiSerif Regular"/>
          <w:lang w:val="en-US" w:eastAsia="mk-MK"/>
        </w:rPr>
      </w:pPr>
      <w:r w:rsidRPr="00194389">
        <w:rPr>
          <w:rFonts w:ascii="StobiSerif Regular" w:hAnsi="StobiSerif Regular"/>
          <w:lang w:eastAsia="mk-MK"/>
        </w:rPr>
        <w:t>Промени во системот за управување и контрола</w:t>
      </w:r>
    </w:p>
    <w:p w:rsidR="00194389" w:rsidRPr="00194389" w:rsidRDefault="00194389" w:rsidP="00156A6B">
      <w:pPr>
        <w:spacing w:before="120" w:after="120" w:line="240" w:lineRule="auto"/>
        <w:jc w:val="both"/>
        <w:rPr>
          <w:rFonts w:ascii="StobiSerif Regular" w:eastAsia="Calibri" w:hAnsi="StobiSerif Regular" w:cs="Times New Roman"/>
        </w:rPr>
      </w:pPr>
      <w:r w:rsidRPr="00194389">
        <w:rPr>
          <w:rFonts w:ascii="StobiSerif Regular" w:eastAsia="Calibri" w:hAnsi="StobiSerif Regular" w:cs="Times New Roman"/>
        </w:rPr>
        <w:t>Во текот на 2016 година, новата Одлука за именување на Надлежен координатор за акредитација (НКА) во децентрализиран систем на имплементација за управување со претпристапните фондови на Европската унија во Република Македонија беше усвоена со Реф. Број 42-6130 / 1 од 30.08. 2016 година. Владата на Република Македонија, на седницата одржана на 30 август 2016 година, официјално го назначи г-дин Кирил Миноски, министерот за финансии, како Надлежен координатор за акредитација (НКА).</w:t>
      </w:r>
    </w:p>
    <w:p w:rsidR="00194389" w:rsidRPr="00194389" w:rsidRDefault="00194389" w:rsidP="00156A6B">
      <w:pPr>
        <w:spacing w:before="120" w:after="120" w:line="240" w:lineRule="auto"/>
        <w:jc w:val="both"/>
        <w:rPr>
          <w:rFonts w:ascii="StobiSerif Regular" w:eastAsia="Calibri" w:hAnsi="StobiSerif Regular" w:cs="Times New Roman"/>
        </w:rPr>
      </w:pPr>
      <w:r w:rsidRPr="00194389">
        <w:rPr>
          <w:rFonts w:ascii="StobiSerif Regular" w:eastAsia="Calibri" w:hAnsi="StobiSerif Regular" w:cs="Times New Roman"/>
        </w:rPr>
        <w:t>Исто така, заменик премиерот на Владата на Република Македонија задолжен за европски прашања, д-р. Aрбр Адеми е назначен за Национален координатор на ИПА за управување со средства од претпристапна помош ИПА и ИПА II од Европската унија во Република Македонија (Решение бр 42-3647 од 26 април 2016 година).</w:t>
      </w:r>
    </w:p>
    <w:p w:rsidR="00194389" w:rsidRPr="00194389" w:rsidRDefault="00194389" w:rsidP="00194389">
      <w:pPr>
        <w:framePr w:hSpace="180" w:wrap="around" w:vAnchor="text" w:hAnchor="text" w:x="-470" w:y="27"/>
        <w:spacing w:before="120" w:after="120" w:line="240" w:lineRule="auto"/>
        <w:ind w:firstLine="567"/>
        <w:jc w:val="both"/>
        <w:rPr>
          <w:rFonts w:ascii="StobiSerif Regular" w:eastAsia="Calibri" w:hAnsi="StobiSerif Regular" w:cs="Times New Roman"/>
          <w:u w:val="single"/>
        </w:rPr>
      </w:pPr>
      <w:r w:rsidRPr="00194389">
        <w:rPr>
          <w:rFonts w:ascii="StobiSerif Regular" w:eastAsia="Calibri" w:hAnsi="StobiSerif Regular" w:cs="Times New Roman"/>
          <w:u w:val="single"/>
        </w:rPr>
        <w:t>Менаџмент структура</w:t>
      </w:r>
    </w:p>
    <w:p w:rsidR="00194389" w:rsidRPr="00194389" w:rsidRDefault="00194389" w:rsidP="00194389">
      <w:pPr>
        <w:framePr w:hSpace="180" w:wrap="around" w:vAnchor="text" w:hAnchor="text" w:x="-470" w:y="27"/>
        <w:spacing w:before="120" w:after="120" w:line="240" w:lineRule="auto"/>
        <w:ind w:firstLine="567"/>
        <w:jc w:val="both"/>
        <w:rPr>
          <w:rFonts w:ascii="StobiSerif Regular" w:eastAsia="Calibri" w:hAnsi="StobiSerif Regular" w:cs="Times New Roman"/>
        </w:rPr>
      </w:pPr>
      <w:r w:rsidRPr="00194389">
        <w:rPr>
          <w:rFonts w:ascii="StobiSerif Regular" w:eastAsia="Calibri" w:hAnsi="StobiSerif Regular" w:cs="Times New Roman"/>
        </w:rPr>
        <w:t>Во текот на 2016 година не беа воведени организациони промени во структурата на управување</w:t>
      </w:r>
    </w:p>
    <w:p w:rsidR="00194389" w:rsidRPr="00194389" w:rsidRDefault="00194389" w:rsidP="00194389">
      <w:pPr>
        <w:framePr w:hSpace="180" w:wrap="around" w:vAnchor="text" w:hAnchor="text" w:x="-470" w:y="27"/>
        <w:spacing w:before="120" w:after="120" w:line="240" w:lineRule="auto"/>
        <w:ind w:firstLine="567"/>
        <w:jc w:val="both"/>
        <w:rPr>
          <w:rFonts w:ascii="StobiSerif Regular" w:eastAsia="Calibri" w:hAnsi="StobiSerif Regular" w:cs="Times New Roman"/>
          <w:u w:val="single"/>
        </w:rPr>
      </w:pPr>
      <w:r w:rsidRPr="00194389">
        <w:rPr>
          <w:rFonts w:ascii="StobiSerif Regular" w:eastAsia="Calibri" w:hAnsi="StobiSerif Regular" w:cs="Times New Roman"/>
          <w:u w:val="single"/>
        </w:rPr>
        <w:t>ИПАРД Агенција</w:t>
      </w:r>
    </w:p>
    <w:p w:rsidR="00194389" w:rsidRPr="00194389" w:rsidRDefault="00194389" w:rsidP="00194389">
      <w:pPr>
        <w:spacing w:before="120" w:after="120" w:line="240" w:lineRule="auto"/>
        <w:ind w:firstLine="567"/>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eastAsia="mk-MK"/>
        </w:rPr>
        <w:t xml:space="preserve">Во </w:t>
      </w:r>
      <w:r w:rsidRPr="00194389">
        <w:rPr>
          <w:rFonts w:ascii="StobiSerif Regular" w:eastAsia="Times New Roman" w:hAnsi="StobiSerif Regular" w:cs="Times New Roman"/>
          <w:lang w:val="en-US" w:eastAsia="mk-MK"/>
        </w:rPr>
        <w:t>текот на 2016 година направен</w:t>
      </w:r>
      <w:r w:rsidRPr="00194389">
        <w:rPr>
          <w:rFonts w:ascii="StobiSerif Regular" w:eastAsia="Times New Roman" w:hAnsi="StobiSerif Regular" w:cs="Times New Roman"/>
          <w:lang w:eastAsia="mk-MK"/>
        </w:rPr>
        <w:t>и се</w:t>
      </w:r>
      <w:r w:rsidRPr="00194389">
        <w:rPr>
          <w:rFonts w:ascii="StobiSerif Regular" w:eastAsia="Times New Roman" w:hAnsi="StobiSerif Regular" w:cs="Times New Roman"/>
          <w:lang w:val="en-US" w:eastAsia="mk-MK"/>
        </w:rPr>
        <w:t xml:space="preserve"> организациски промени во ИПАРД Агенцијата. Агенцијата поднесе промени на интерните акти за систематизација и организација. </w:t>
      </w:r>
      <w:r w:rsidRPr="00194389">
        <w:rPr>
          <w:rFonts w:ascii="StobiSerif Regular" w:eastAsia="Times New Roman" w:hAnsi="StobiSerif Regular" w:cs="Times New Roman"/>
          <w:lang w:eastAsia="mk-MK"/>
        </w:rPr>
        <w:t>Истите</w:t>
      </w:r>
      <w:r w:rsidRPr="00194389">
        <w:rPr>
          <w:rFonts w:ascii="StobiSerif Regular" w:eastAsia="Times New Roman" w:hAnsi="StobiSerif Regular" w:cs="Times New Roman"/>
          <w:lang w:val="en-US" w:eastAsia="mk-MK"/>
        </w:rPr>
        <w:t xml:space="preserve"> официјално </w:t>
      </w:r>
      <w:r w:rsidRPr="00194389">
        <w:rPr>
          <w:rFonts w:ascii="StobiSerif Regular" w:eastAsia="Times New Roman" w:hAnsi="StobiSerif Regular" w:cs="Times New Roman"/>
          <w:lang w:eastAsia="mk-MK"/>
        </w:rPr>
        <w:t>стапија</w:t>
      </w:r>
      <w:r w:rsidRPr="00194389">
        <w:rPr>
          <w:rFonts w:ascii="StobiSerif Regular" w:eastAsia="Times New Roman" w:hAnsi="StobiSerif Regular" w:cs="Times New Roman"/>
          <w:lang w:val="en-US" w:eastAsia="mk-MK"/>
        </w:rPr>
        <w:t xml:space="preserve"> на сила на 29.01.2016, со одобрување / согласност од Министерството за информатичко општество. Во текот на септември беше направена и нова промена на интерните акти за систематизација и организација, но ова е само техничко приспособување заради усогласување според националното законодавство. Оваа промена не имплицира никакво влијание врз правилата за спроведување на ИПАРД. Овие промени официјално </w:t>
      </w:r>
      <w:r w:rsidRPr="00194389">
        <w:rPr>
          <w:rFonts w:ascii="StobiSerif Regular" w:eastAsia="Times New Roman" w:hAnsi="StobiSerif Regular" w:cs="Times New Roman"/>
          <w:lang w:eastAsia="mk-MK"/>
        </w:rPr>
        <w:t>стапија</w:t>
      </w:r>
      <w:r w:rsidRPr="00194389">
        <w:rPr>
          <w:rFonts w:ascii="StobiSerif Regular" w:eastAsia="Times New Roman" w:hAnsi="StobiSerif Regular" w:cs="Times New Roman"/>
          <w:lang w:val="en-US" w:eastAsia="mk-MK"/>
        </w:rPr>
        <w:t xml:space="preserve"> во сила на </w:t>
      </w:r>
      <w:r w:rsidRPr="00194389">
        <w:rPr>
          <w:rFonts w:ascii="StobiSerif Regular" w:eastAsia="Times New Roman" w:hAnsi="StobiSerif Regular" w:cs="Times New Roman"/>
          <w:lang w:eastAsia="mk-MK"/>
        </w:rPr>
        <w:t>30.09.2016</w:t>
      </w:r>
      <w:r w:rsidRPr="00194389">
        <w:rPr>
          <w:rFonts w:ascii="StobiSerif Regular" w:eastAsia="Times New Roman" w:hAnsi="StobiSerif Regular" w:cs="Times New Roman"/>
          <w:lang w:val="en-US" w:eastAsia="mk-MK"/>
        </w:rPr>
        <w:t xml:space="preserve">, со одобрување / согласност од Министерството за информатичко општество (писмо за одобрување 12 / 6-524 / 9 од </w:t>
      </w:r>
      <w:r w:rsidRPr="00194389">
        <w:rPr>
          <w:rFonts w:ascii="StobiSerif Regular" w:eastAsia="Times New Roman" w:hAnsi="StobiSerif Regular" w:cs="Times New Roman"/>
          <w:lang w:eastAsia="mk-MK"/>
        </w:rPr>
        <w:t>30.09.2016</w:t>
      </w:r>
      <w:r w:rsidRPr="00194389">
        <w:rPr>
          <w:rFonts w:ascii="StobiSerif Regular" w:eastAsia="Times New Roman" w:hAnsi="StobiSerif Regular" w:cs="Times New Roman"/>
          <w:lang w:val="en-US" w:eastAsia="mk-MK"/>
        </w:rPr>
        <w:t>).</w:t>
      </w:r>
    </w:p>
    <w:p w:rsidR="00194389" w:rsidRPr="00194389" w:rsidRDefault="00194389" w:rsidP="00156A6B">
      <w:pPr>
        <w:spacing w:before="120"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Со </w:t>
      </w:r>
      <w:r w:rsidRPr="00194389">
        <w:rPr>
          <w:rFonts w:ascii="StobiSerif Regular" w:eastAsia="Times New Roman" w:hAnsi="StobiSerif Regular" w:cs="Times New Roman"/>
          <w:lang w:eastAsia="mk-MK"/>
        </w:rPr>
        <w:t>иницираната</w:t>
      </w:r>
      <w:r w:rsidRPr="00194389">
        <w:rPr>
          <w:rFonts w:ascii="StobiSerif Regular" w:eastAsia="Times New Roman" w:hAnsi="StobiSerif Regular" w:cs="Times New Roman"/>
          <w:lang w:val="en-US" w:eastAsia="mk-MK"/>
        </w:rPr>
        <w:t xml:space="preserve"> промена на акти (</w:t>
      </w:r>
      <w:r w:rsidRPr="00194389">
        <w:rPr>
          <w:rFonts w:ascii="StobiSerif Regular" w:eastAsia="Times New Roman" w:hAnsi="StobiSerif Regular" w:cs="Times New Roman"/>
          <w:lang w:eastAsia="mk-MK"/>
        </w:rPr>
        <w:t xml:space="preserve">од </w:t>
      </w:r>
      <w:r w:rsidRPr="00194389">
        <w:rPr>
          <w:rFonts w:ascii="StobiSerif Regular" w:eastAsia="Times New Roman" w:hAnsi="StobiSerif Regular" w:cs="Times New Roman"/>
          <w:lang w:val="en-US" w:eastAsia="mk-MK"/>
        </w:rPr>
        <w:t>29.01.2016) Одделение</w:t>
      </w:r>
      <w:r w:rsidRPr="00194389">
        <w:rPr>
          <w:rFonts w:ascii="StobiSerif Regular" w:eastAsia="Times New Roman" w:hAnsi="StobiSerif Regular" w:cs="Times New Roman"/>
          <w:lang w:eastAsia="mk-MK"/>
        </w:rPr>
        <w:t>то</w:t>
      </w:r>
      <w:r w:rsidRPr="00194389">
        <w:rPr>
          <w:rFonts w:ascii="StobiSerif Regular" w:eastAsia="Times New Roman" w:hAnsi="StobiSerif Regular" w:cs="Times New Roman"/>
          <w:lang w:val="en-US" w:eastAsia="mk-MK"/>
        </w:rPr>
        <w:t xml:space="preserve"> за база на податоци </w:t>
      </w:r>
      <w:r w:rsidRPr="00194389">
        <w:rPr>
          <w:rFonts w:ascii="StobiSerif Regular" w:eastAsia="Times New Roman" w:hAnsi="StobiSerif Regular" w:cs="Times New Roman"/>
          <w:lang w:eastAsia="mk-MK"/>
        </w:rPr>
        <w:t xml:space="preserve">за </w:t>
      </w:r>
      <w:r w:rsidRPr="00194389">
        <w:rPr>
          <w:rFonts w:ascii="StobiSerif Regular" w:eastAsia="Times New Roman" w:hAnsi="StobiSerif Regular" w:cs="Times New Roman"/>
          <w:lang w:val="en-US" w:eastAsia="mk-MK"/>
        </w:rPr>
        <w:t>референтни цени Секторот за ИТ се префрли во новоформираниот Сектор за регистри. Сите функции на Одделението остануваат исти. Организациски</w:t>
      </w:r>
      <w:r w:rsidRPr="00194389">
        <w:rPr>
          <w:rFonts w:ascii="StobiSerif Regular" w:eastAsia="Times New Roman" w:hAnsi="StobiSerif Regular" w:cs="Times New Roman"/>
          <w:lang w:eastAsia="mk-MK"/>
        </w:rPr>
        <w:t>те</w:t>
      </w:r>
      <w:r w:rsidRPr="00194389">
        <w:rPr>
          <w:rFonts w:ascii="StobiSerif Regular" w:eastAsia="Times New Roman" w:hAnsi="StobiSerif Regular" w:cs="Times New Roman"/>
          <w:lang w:val="en-US" w:eastAsia="mk-MK"/>
        </w:rPr>
        <w:t xml:space="preserve"> промени не влијаат врз секојдневното спроведувањето на ИПАРД Програмата.</w:t>
      </w:r>
    </w:p>
    <w:p w:rsidR="00194389" w:rsidRPr="00194389" w:rsidRDefault="00194389" w:rsidP="00156A6B">
      <w:pPr>
        <w:spacing w:before="120" w:after="120" w:line="240" w:lineRule="auto"/>
        <w:jc w:val="both"/>
        <w:rPr>
          <w:rFonts w:ascii="StobiSerif Regular" w:eastAsia="Calibri" w:hAnsi="StobiSerif Regular" w:cs="Times New Roman"/>
        </w:rPr>
      </w:pPr>
      <w:r w:rsidRPr="00194389">
        <w:rPr>
          <w:rFonts w:ascii="StobiSerif Regular" w:eastAsia="Calibri" w:hAnsi="StobiSerif Regular" w:cs="Times New Roman"/>
        </w:rPr>
        <w:t>Промените во постапките во врска со базата на референтни цена во текот на 2015 (Писмо No.11-2471 / 1 од 17.04.2015) беа покренати врз основа на наодите утврдени во текот на ревизијата, како и од претходното искуство во текот на имплементацијата. Промените беа доставени до DG AGRI и по проверката за промените кои се однесуваат на прирачникот за базата на податоци за референтни цена; DG AGRI достави забелешки до националните власти на 25.09.2015. По спроведувањето на нивните препораки, промените беа одобрени од страна на Националниот координатор за авторизација со допис бр 10-4363 / 3 од  22.10.2015. DG AGRI испрати официјално писмо со прифаќање на оваа верзија 2.1 на 18.02.2016. Сето ова кое се однесува на Прирачникот за база на податоци на референтна цена беше доставено со последната SOA за 2015 година.</w:t>
      </w:r>
    </w:p>
    <w:p w:rsidR="00194389" w:rsidRPr="00194389" w:rsidRDefault="00194389" w:rsidP="00194389">
      <w:pPr>
        <w:spacing w:before="120" w:after="120" w:line="240" w:lineRule="auto"/>
        <w:ind w:firstLine="567"/>
        <w:jc w:val="both"/>
        <w:rPr>
          <w:rFonts w:ascii="StobiSerif Regular" w:eastAsia="Calibri" w:hAnsi="StobiSerif Regular" w:cs="Times New Roman"/>
          <w:u w:val="single"/>
        </w:rPr>
      </w:pPr>
      <w:r w:rsidRPr="00194389">
        <w:rPr>
          <w:rFonts w:ascii="StobiSerif Regular" w:eastAsia="Calibri" w:hAnsi="StobiSerif Regular" w:cs="Times New Roman"/>
          <w:u w:val="single"/>
        </w:rPr>
        <w:t xml:space="preserve"> Тело за управување</w:t>
      </w:r>
    </w:p>
    <w:p w:rsidR="00194389" w:rsidRPr="00194389" w:rsidRDefault="00194389" w:rsidP="00194389">
      <w:pPr>
        <w:widowControl w:val="0"/>
        <w:suppressAutoHyphens/>
        <w:snapToGrid w:val="0"/>
        <w:spacing w:before="120" w:after="120" w:line="240" w:lineRule="auto"/>
        <w:ind w:firstLine="567"/>
        <w:jc w:val="both"/>
        <w:rPr>
          <w:rFonts w:ascii="StobiSerif Regular" w:eastAsia="Arial Unicode MS" w:hAnsi="StobiSerif Regular" w:cs="Tahoma"/>
          <w:kern w:val="1"/>
          <w:lang w:val="en-US" w:eastAsia="mk-MK" w:bidi="mk-MK"/>
        </w:rPr>
      </w:pPr>
      <w:r w:rsidRPr="00194389">
        <w:rPr>
          <w:rFonts w:ascii="StobiSerif Regular" w:eastAsia="Arial Unicode MS" w:hAnsi="StobiSerif Regular" w:cs="Tahoma"/>
          <w:kern w:val="1"/>
          <w:lang w:eastAsia="mk-MK" w:bidi="mk-MK"/>
        </w:rPr>
        <w:t>Телото за управување</w:t>
      </w:r>
      <w:r w:rsidRPr="00194389">
        <w:rPr>
          <w:rFonts w:ascii="StobiSerif Regular" w:eastAsia="Arial Unicode MS" w:hAnsi="StobiSerif Regular" w:cs="Tahoma"/>
          <w:kern w:val="1"/>
          <w:lang w:val="en-US" w:eastAsia="mk-MK" w:bidi="mk-MK"/>
        </w:rPr>
        <w:t xml:space="preserve"> и официјално поднесе барање за промени во актот за систематизација за</w:t>
      </w:r>
      <w:r w:rsidRPr="00194389">
        <w:rPr>
          <w:rFonts w:ascii="StobiSerif Regular" w:eastAsia="Arial Unicode MS" w:hAnsi="StobiSerif Regular" w:cs="Tahoma"/>
          <w:kern w:val="1"/>
          <w:lang w:eastAsia="mk-MK" w:bidi="mk-MK"/>
        </w:rPr>
        <w:t xml:space="preserve"> Сектор</w:t>
      </w:r>
      <w:r w:rsidRPr="00194389">
        <w:rPr>
          <w:rFonts w:ascii="StobiSerif Regular" w:eastAsia="Arial Unicode MS" w:hAnsi="StobiSerif Regular" w:cs="Tahoma"/>
          <w:kern w:val="1"/>
          <w:lang w:val="en-US" w:eastAsia="mk-MK" w:bidi="mk-MK"/>
        </w:rPr>
        <w:t xml:space="preserve"> ИПАРД </w:t>
      </w:r>
      <w:r w:rsidRPr="00194389">
        <w:rPr>
          <w:rFonts w:ascii="StobiSerif Regular" w:eastAsia="Arial Unicode MS" w:hAnsi="StobiSerif Regular" w:cs="Tahoma"/>
          <w:kern w:val="1"/>
          <w:lang w:eastAsia="mk-MK" w:bidi="mk-MK"/>
        </w:rPr>
        <w:t xml:space="preserve">до Секторот </w:t>
      </w:r>
      <w:r w:rsidRPr="00194389">
        <w:rPr>
          <w:rFonts w:ascii="StobiSerif Regular" w:eastAsia="Arial Unicode MS" w:hAnsi="StobiSerif Regular" w:cs="Tahoma"/>
          <w:kern w:val="1"/>
          <w:lang w:val="en-US" w:eastAsia="mk-MK" w:bidi="mk-MK"/>
        </w:rPr>
        <w:t>за човечки ресурси во рамките на Министерството за земјоделство, шумарство и водостопанство (писмо бр 11-9427 / 1 од 20 октомври 2016 година). Овие промени беа иницирани во однос на потребата за усогласување на работните места со потребите утврдени со Анализа на обемот на работа. Постапката за донесување на актот за систематизација не е финализиран до денот на изготвување на овој извештај.</w:t>
      </w:r>
    </w:p>
    <w:p w:rsidR="00194389" w:rsidRPr="00194389" w:rsidRDefault="00194389" w:rsidP="00BA1CE8">
      <w:pPr>
        <w:numPr>
          <w:ilvl w:val="0"/>
          <w:numId w:val="32"/>
        </w:numPr>
        <w:spacing w:before="120" w:after="120" w:line="240" w:lineRule="auto"/>
        <w:rPr>
          <w:rFonts w:ascii="StobiSerif Regular" w:hAnsi="StobiSerif Regular"/>
          <w:sz w:val="24"/>
          <w:szCs w:val="24"/>
          <w:lang w:eastAsia="mk-MK"/>
        </w:rPr>
      </w:pPr>
      <w:r w:rsidRPr="00194389">
        <w:rPr>
          <w:rFonts w:ascii="StobiSerif Regular" w:hAnsi="StobiSerif Regular"/>
          <w:lang w:eastAsia="mk-MK"/>
        </w:rPr>
        <w:t>Исклучоци од процедурите</w:t>
      </w:r>
    </w:p>
    <w:p w:rsidR="00194389" w:rsidRPr="00194389" w:rsidRDefault="00194389" w:rsidP="00194389">
      <w:pPr>
        <w:spacing w:before="120" w:after="120" w:line="240" w:lineRule="auto"/>
        <w:rPr>
          <w:rFonts w:ascii="StobiSerif Regular" w:hAnsi="StobiSerif Regular"/>
          <w:lang w:val="en-US" w:eastAsia="mk-MK"/>
        </w:rPr>
      </w:pPr>
      <w:r w:rsidRPr="00194389">
        <w:rPr>
          <w:rFonts w:ascii="StobiSerif Regular" w:hAnsi="StobiSerif Regular"/>
          <w:lang w:val="en-US" w:eastAsia="mk-MK"/>
        </w:rPr>
        <w:t>Во</w:t>
      </w:r>
      <w:r w:rsidRPr="00194389">
        <w:rPr>
          <w:rFonts w:ascii="StobiSerif Regular" w:hAnsi="StobiSerif Regular"/>
          <w:lang w:eastAsia="mk-MK"/>
        </w:rPr>
        <w:t xml:space="preserve"> текот на</w:t>
      </w:r>
      <w:r w:rsidRPr="00194389">
        <w:rPr>
          <w:rFonts w:ascii="StobiSerif Regular" w:hAnsi="StobiSerif Regular"/>
          <w:lang w:val="en-US" w:eastAsia="mk-MK"/>
        </w:rPr>
        <w:t xml:space="preserve"> 2016 година</w:t>
      </w:r>
      <w:r w:rsidRPr="00194389">
        <w:rPr>
          <w:rFonts w:ascii="StobiSerif Regular" w:hAnsi="StobiSerif Regular"/>
          <w:lang w:eastAsia="mk-MK"/>
        </w:rPr>
        <w:t xml:space="preserve"> не се забележани исклучоци</w:t>
      </w:r>
      <w:r w:rsidRPr="00194389">
        <w:rPr>
          <w:rFonts w:ascii="StobiSerif Regular" w:hAnsi="StobiSerif Regular"/>
          <w:lang w:val="en-US" w:eastAsia="mk-MK"/>
        </w:rPr>
        <w:t xml:space="preserve"> во системот за управување и контрола. Измени</w:t>
      </w:r>
      <w:r w:rsidRPr="00194389">
        <w:rPr>
          <w:rFonts w:ascii="StobiSerif Regular" w:hAnsi="StobiSerif Regular"/>
          <w:lang w:eastAsia="mk-MK"/>
        </w:rPr>
        <w:t>те</w:t>
      </w:r>
      <w:r w:rsidRPr="00194389">
        <w:rPr>
          <w:rFonts w:ascii="StobiSerif Regular" w:hAnsi="StobiSerif Regular"/>
          <w:lang w:val="en-US" w:eastAsia="mk-MK"/>
        </w:rPr>
        <w:t xml:space="preserve"> во работните договор</w:t>
      </w:r>
      <w:r w:rsidRPr="00194389">
        <w:rPr>
          <w:rFonts w:ascii="StobiSerif Regular" w:hAnsi="StobiSerif Regular"/>
          <w:lang w:eastAsia="mk-MK"/>
        </w:rPr>
        <w:t>и</w:t>
      </w:r>
      <w:r w:rsidRPr="00194389">
        <w:rPr>
          <w:rFonts w:ascii="StobiSerif Regular" w:hAnsi="StobiSerif Regular"/>
          <w:lang w:val="en-US" w:eastAsia="mk-MK"/>
        </w:rPr>
        <w:t xml:space="preserve"> одобрен</w:t>
      </w:r>
      <w:r w:rsidRPr="00194389">
        <w:rPr>
          <w:rFonts w:ascii="StobiSerif Regular" w:hAnsi="StobiSerif Regular"/>
          <w:lang w:eastAsia="mk-MK"/>
        </w:rPr>
        <w:t>и</w:t>
      </w:r>
      <w:r w:rsidRPr="00194389">
        <w:rPr>
          <w:rFonts w:ascii="StobiSerif Regular" w:hAnsi="StobiSerif Regular"/>
          <w:lang w:val="en-US" w:eastAsia="mk-MK"/>
        </w:rPr>
        <w:t xml:space="preserve"> од страна на ЕК ги покри претходните исклучителни ситуации, одобрен</w:t>
      </w:r>
      <w:r w:rsidRPr="00194389">
        <w:rPr>
          <w:rFonts w:ascii="StobiSerif Regular" w:hAnsi="StobiSerif Regular"/>
          <w:lang w:eastAsia="mk-MK"/>
        </w:rPr>
        <w:t>и</w:t>
      </w:r>
      <w:r w:rsidRPr="00194389">
        <w:rPr>
          <w:rFonts w:ascii="StobiSerif Regular" w:hAnsi="StobiSerif Regular"/>
          <w:lang w:val="en-US" w:eastAsia="mk-MK"/>
        </w:rPr>
        <w:t xml:space="preserve"> од страна на НАО.</w:t>
      </w:r>
    </w:p>
    <w:p w:rsidR="00194389" w:rsidRPr="00194389" w:rsidRDefault="00194389" w:rsidP="00BA1CE8">
      <w:pPr>
        <w:numPr>
          <w:ilvl w:val="0"/>
          <w:numId w:val="32"/>
        </w:numPr>
        <w:spacing w:before="120" w:after="120" w:line="240" w:lineRule="auto"/>
        <w:rPr>
          <w:rFonts w:ascii="StobiSerif Regular" w:hAnsi="StobiSerif Regular"/>
          <w:lang w:val="en-US" w:eastAsia="mk-MK"/>
        </w:rPr>
      </w:pPr>
      <w:r w:rsidRPr="00194389">
        <w:rPr>
          <w:rFonts w:ascii="StobiSerif Regular" w:hAnsi="StobiSerif Regular"/>
          <w:lang w:eastAsia="mk-MK"/>
        </w:rPr>
        <w:t>Слабости во внатрешните контроли</w:t>
      </w:r>
    </w:p>
    <w:p w:rsidR="00194389" w:rsidRPr="00194389" w:rsidRDefault="00194389" w:rsidP="00194389">
      <w:pPr>
        <w:spacing w:before="120" w:after="120" w:line="240" w:lineRule="auto"/>
        <w:ind w:left="360"/>
        <w:rPr>
          <w:rFonts w:ascii="StobiSerif Regular" w:hAnsi="StobiSerif Regular"/>
          <w:lang w:val="en-US" w:eastAsia="mk-MK"/>
        </w:rPr>
      </w:pPr>
      <w:r w:rsidRPr="00194389">
        <w:rPr>
          <w:rFonts w:ascii="StobiSerif Regular" w:hAnsi="StobiSerif Regular"/>
          <w:lang w:val="en-US" w:eastAsia="mk-MK"/>
        </w:rPr>
        <w:t>Во текот на 2016 беа подготвени два Регистри за слабости на внатрешната контрола. Според</w:t>
      </w:r>
      <w:r w:rsidRPr="00194389">
        <w:rPr>
          <w:rFonts w:ascii="StobiSerif Regular" w:hAnsi="StobiSerif Regular"/>
          <w:lang w:eastAsia="mk-MK"/>
        </w:rPr>
        <w:t xml:space="preserve"> преземените</w:t>
      </w:r>
      <w:r w:rsidRPr="00194389">
        <w:rPr>
          <w:rFonts w:ascii="StobiSerif Regular" w:hAnsi="StobiSerif Regular"/>
          <w:lang w:val="en-US" w:eastAsia="mk-MK"/>
        </w:rPr>
        <w:t xml:space="preserve"> активности, </w:t>
      </w:r>
      <w:r w:rsidRPr="00194389">
        <w:rPr>
          <w:rFonts w:ascii="StobiSerif Regular" w:hAnsi="StobiSerif Regular"/>
          <w:lang w:eastAsia="mk-MK"/>
        </w:rPr>
        <w:t>истите сѐуште не се</w:t>
      </w:r>
      <w:r w:rsidRPr="00194389">
        <w:rPr>
          <w:rFonts w:ascii="StobiSerif Regular" w:hAnsi="StobiSerif Regular"/>
          <w:lang w:val="en-US" w:eastAsia="mk-MK"/>
        </w:rPr>
        <w:t xml:space="preserve"> затворени. Последните регистар на слабости на внатрешната контрола е </w:t>
      </w:r>
      <w:r w:rsidRPr="00194389">
        <w:rPr>
          <w:rFonts w:ascii="StobiSerif Regular" w:hAnsi="StobiSerif Regular"/>
          <w:lang w:eastAsia="mk-MK"/>
        </w:rPr>
        <w:t>ажуриран</w:t>
      </w:r>
      <w:r w:rsidRPr="00194389">
        <w:rPr>
          <w:rFonts w:ascii="StobiSerif Regular" w:hAnsi="StobiSerif Regular"/>
          <w:lang w:val="en-US" w:eastAsia="mk-MK"/>
        </w:rPr>
        <w:t xml:space="preserve"> во јануари 2017 година, </w:t>
      </w:r>
      <w:r w:rsidRPr="00194389">
        <w:rPr>
          <w:rFonts w:ascii="StobiSerif Regular" w:hAnsi="StobiSerif Regular"/>
          <w:lang w:eastAsia="mk-MK"/>
        </w:rPr>
        <w:t xml:space="preserve">и </w:t>
      </w:r>
      <w:r w:rsidRPr="00194389">
        <w:rPr>
          <w:rFonts w:ascii="StobiSerif Regular" w:hAnsi="StobiSerif Regular"/>
          <w:lang w:val="en-US" w:eastAsia="mk-MK"/>
        </w:rPr>
        <w:t xml:space="preserve">се состои од 5 (пет) слабости, </w:t>
      </w:r>
      <w:r w:rsidRPr="00194389">
        <w:rPr>
          <w:rFonts w:ascii="StobiSerif Regular" w:hAnsi="StobiSerif Regular"/>
          <w:lang w:eastAsia="mk-MK"/>
        </w:rPr>
        <w:t xml:space="preserve">кои </w:t>
      </w:r>
      <w:r w:rsidRPr="00194389">
        <w:rPr>
          <w:rFonts w:ascii="StobiSerif Regular" w:hAnsi="StobiSerif Regular"/>
          <w:lang w:val="en-US" w:eastAsia="mk-MK"/>
        </w:rPr>
        <w:t>се однесуваат на:</w:t>
      </w:r>
    </w:p>
    <w:p w:rsidR="00194389" w:rsidRPr="00194389" w:rsidRDefault="00194389" w:rsidP="00BA1CE8">
      <w:pPr>
        <w:numPr>
          <w:ilvl w:val="0"/>
          <w:numId w:val="50"/>
        </w:numPr>
        <w:spacing w:before="120" w:after="120" w:line="240" w:lineRule="auto"/>
        <w:rPr>
          <w:rFonts w:ascii="StobiSerif Regular" w:hAnsi="StobiSerif Regular"/>
          <w:lang w:val="en-US" w:eastAsia="mk-MK"/>
        </w:rPr>
      </w:pPr>
      <w:r w:rsidRPr="00194389">
        <w:rPr>
          <w:rFonts w:ascii="StobiSerif Regular" w:hAnsi="StobiSerif Regular"/>
          <w:lang w:val="en-US" w:eastAsia="mk-MK"/>
        </w:rPr>
        <w:t>Флуктуација на вработените во Агенцијата за ИПАРД - идентификувани во 2013 година;</w:t>
      </w:r>
    </w:p>
    <w:p w:rsidR="00194389" w:rsidRPr="00194389" w:rsidRDefault="00194389" w:rsidP="00BA1CE8">
      <w:pPr>
        <w:numPr>
          <w:ilvl w:val="0"/>
          <w:numId w:val="50"/>
        </w:numPr>
        <w:spacing w:before="120" w:after="120" w:line="240" w:lineRule="auto"/>
        <w:rPr>
          <w:rFonts w:ascii="StobiSerif Regular" w:hAnsi="StobiSerif Regular"/>
          <w:lang w:val="en-US" w:eastAsia="mk-MK"/>
        </w:rPr>
      </w:pPr>
      <w:r w:rsidRPr="00194389">
        <w:rPr>
          <w:rFonts w:ascii="StobiSerif Regular" w:hAnsi="StobiSerif Regular"/>
          <w:lang w:val="en-US" w:eastAsia="mk-MK"/>
        </w:rPr>
        <w:t xml:space="preserve">Нецелосни и </w:t>
      </w:r>
      <w:r w:rsidRPr="00194389">
        <w:rPr>
          <w:rFonts w:ascii="StobiSerif Regular" w:hAnsi="StobiSerif Regular"/>
          <w:lang w:eastAsia="mk-MK"/>
        </w:rPr>
        <w:t>неажурирани</w:t>
      </w:r>
      <w:r w:rsidRPr="00194389">
        <w:rPr>
          <w:rFonts w:ascii="StobiSerif Regular" w:hAnsi="StobiSerif Regular"/>
          <w:lang w:val="en-US" w:eastAsia="mk-MK"/>
        </w:rPr>
        <w:t xml:space="preserve"> податоци (регистри), под надлежност на државните институции (за ТУ) - идентификуван во 2013 година;</w:t>
      </w:r>
    </w:p>
    <w:p w:rsidR="00194389" w:rsidRPr="00194389" w:rsidRDefault="00194389" w:rsidP="00BA1CE8">
      <w:pPr>
        <w:numPr>
          <w:ilvl w:val="0"/>
          <w:numId w:val="50"/>
        </w:numPr>
        <w:spacing w:before="120" w:after="120" w:line="240" w:lineRule="auto"/>
        <w:rPr>
          <w:rFonts w:ascii="StobiSerif Regular" w:hAnsi="StobiSerif Regular"/>
          <w:lang w:val="en-US" w:eastAsia="mk-MK"/>
        </w:rPr>
      </w:pPr>
      <w:r w:rsidRPr="00194389">
        <w:rPr>
          <w:rFonts w:ascii="StobiSerif Regular" w:hAnsi="StobiSerif Regular"/>
          <w:lang w:eastAsia="mk-MK"/>
        </w:rPr>
        <w:t xml:space="preserve">Недостиг на </w:t>
      </w:r>
      <w:r w:rsidRPr="00194389">
        <w:rPr>
          <w:rFonts w:ascii="StobiSerif Regular" w:hAnsi="StobiSerif Regular"/>
          <w:lang w:val="en-US" w:eastAsia="mk-MK"/>
        </w:rPr>
        <w:t>раководни лица во ТУ - идентификувано во 2014 година;</w:t>
      </w:r>
    </w:p>
    <w:p w:rsidR="00194389" w:rsidRPr="00194389" w:rsidRDefault="00194389" w:rsidP="00BA1CE8">
      <w:pPr>
        <w:numPr>
          <w:ilvl w:val="0"/>
          <w:numId w:val="50"/>
        </w:numPr>
        <w:spacing w:before="120" w:after="120" w:line="240" w:lineRule="auto"/>
        <w:rPr>
          <w:rFonts w:ascii="StobiSerif Regular" w:hAnsi="StobiSerif Regular"/>
          <w:lang w:val="en-US" w:eastAsia="mk-MK"/>
        </w:rPr>
      </w:pPr>
      <w:r w:rsidRPr="00194389">
        <w:rPr>
          <w:rFonts w:ascii="StobiSerif Regular" w:hAnsi="StobiSerif Regular"/>
          <w:lang w:val="en-US" w:eastAsia="mk-MK"/>
        </w:rPr>
        <w:t>Практична употреба на SAP систем може да доведе до слабости во сметководство - слабост идентификувана во 2014 година;</w:t>
      </w:r>
    </w:p>
    <w:p w:rsidR="00194389" w:rsidRPr="00194389" w:rsidRDefault="00194389" w:rsidP="00BA1CE8">
      <w:pPr>
        <w:numPr>
          <w:ilvl w:val="0"/>
          <w:numId w:val="50"/>
        </w:numPr>
        <w:spacing w:before="120" w:after="120" w:line="240" w:lineRule="auto"/>
        <w:rPr>
          <w:rFonts w:ascii="StobiSerif Regular" w:hAnsi="StobiSerif Regular"/>
          <w:lang w:val="en-US" w:eastAsia="mk-MK"/>
        </w:rPr>
      </w:pPr>
      <w:r w:rsidRPr="00194389">
        <w:rPr>
          <w:rFonts w:ascii="StobiSerif Regular" w:hAnsi="StobiSerif Regular"/>
          <w:lang w:val="en-US" w:eastAsia="mk-MK"/>
        </w:rPr>
        <w:t xml:space="preserve">Значајни корекции </w:t>
      </w:r>
      <w:r w:rsidRPr="00194389">
        <w:rPr>
          <w:rFonts w:ascii="StobiSerif Regular" w:hAnsi="StobiSerif Regular"/>
          <w:lang w:eastAsia="mk-MK"/>
        </w:rPr>
        <w:t>покренати</w:t>
      </w:r>
      <w:r w:rsidRPr="00194389">
        <w:rPr>
          <w:rFonts w:ascii="StobiSerif Regular" w:hAnsi="StobiSerif Regular"/>
          <w:lang w:val="en-US" w:eastAsia="mk-MK"/>
        </w:rPr>
        <w:t xml:space="preserve"> од страна на ГД АГРИ поради различното </w:t>
      </w:r>
      <w:r w:rsidRPr="00194389">
        <w:rPr>
          <w:rFonts w:ascii="StobiSerif Regular" w:hAnsi="StobiSerif Regular"/>
          <w:lang w:eastAsia="mk-MK"/>
        </w:rPr>
        <w:t>толкување</w:t>
      </w:r>
      <w:r w:rsidRPr="00194389">
        <w:rPr>
          <w:rFonts w:ascii="StobiSerif Regular" w:hAnsi="StobiSerif Regular"/>
          <w:lang w:val="en-US" w:eastAsia="mk-MK"/>
        </w:rPr>
        <w:t xml:space="preserve"> за предвидените рокови во постапките на ИПАРД Агенцијата за пресметување на задоцнети плаќања во согласност со член 44 од СА.</w:t>
      </w:r>
    </w:p>
    <w:p w:rsidR="00194389" w:rsidRPr="00194389" w:rsidRDefault="00194389" w:rsidP="00194389">
      <w:pPr>
        <w:spacing w:before="120" w:after="120" w:line="240" w:lineRule="auto"/>
        <w:rPr>
          <w:rFonts w:ascii="StobiSerif Regular" w:hAnsi="StobiSerif Regular"/>
          <w:lang w:eastAsia="mk-MK"/>
        </w:rPr>
      </w:pPr>
      <w:r w:rsidRPr="00194389">
        <w:rPr>
          <w:rFonts w:ascii="StobiSerif Regular" w:hAnsi="StobiSerif Regular"/>
          <w:lang w:val="en-US" w:eastAsia="mk-MK"/>
        </w:rPr>
        <w:t xml:space="preserve">Во врска со овие слабости, утврдени се </w:t>
      </w:r>
      <w:r w:rsidRPr="00194389">
        <w:rPr>
          <w:rFonts w:ascii="StobiSerif Regular" w:hAnsi="StobiSerif Regular"/>
          <w:lang w:eastAsia="mk-MK"/>
        </w:rPr>
        <w:t xml:space="preserve">соодветни </w:t>
      </w:r>
      <w:r w:rsidRPr="00194389">
        <w:rPr>
          <w:rFonts w:ascii="StobiSerif Regular" w:hAnsi="StobiSerif Regular"/>
          <w:lang w:val="en-US" w:eastAsia="mk-MK"/>
        </w:rPr>
        <w:t xml:space="preserve">активности за </w:t>
      </w:r>
      <w:r w:rsidRPr="00194389">
        <w:rPr>
          <w:rFonts w:ascii="StobiSerif Regular" w:hAnsi="StobiSerif Regular"/>
          <w:lang w:eastAsia="mk-MK"/>
        </w:rPr>
        <w:t>надминување</w:t>
      </w:r>
      <w:r w:rsidRPr="00194389">
        <w:rPr>
          <w:rFonts w:ascii="StobiSerif Regular" w:hAnsi="StobiSerif Regular"/>
          <w:lang w:val="en-US" w:eastAsia="mk-MK"/>
        </w:rPr>
        <w:t xml:space="preserve"> </w:t>
      </w:r>
      <w:r w:rsidRPr="00194389">
        <w:rPr>
          <w:rFonts w:ascii="StobiSerif Regular" w:hAnsi="StobiSerif Regular"/>
          <w:lang w:eastAsia="mk-MK"/>
        </w:rPr>
        <w:t>и истите се во тек.</w:t>
      </w:r>
    </w:p>
    <w:p w:rsidR="00194389" w:rsidRPr="00194389" w:rsidRDefault="00194389" w:rsidP="007C2528">
      <w:pPr>
        <w:numPr>
          <w:ilvl w:val="0"/>
          <w:numId w:val="31"/>
        </w:numPr>
        <w:spacing w:before="120" w:after="120" w:line="240" w:lineRule="auto"/>
        <w:ind w:left="714" w:hanging="357"/>
        <w:rPr>
          <w:rFonts w:ascii="StobiSerif Regular" w:hAnsi="StobiSerif Regular"/>
          <w:sz w:val="24"/>
          <w:szCs w:val="24"/>
          <w:lang w:eastAsia="mk-MK"/>
        </w:rPr>
      </w:pPr>
      <w:r w:rsidRPr="00194389">
        <w:rPr>
          <w:rFonts w:ascii="StobiSerif Regular" w:hAnsi="StobiSerif Regular"/>
          <w:b/>
          <w:bCs/>
          <w:lang w:eastAsia="mk-MK"/>
        </w:rPr>
        <w:t>Финансиски менаџмент</w:t>
      </w:r>
    </w:p>
    <w:p w:rsidR="00194389" w:rsidRPr="00194389" w:rsidRDefault="00194389" w:rsidP="00BA1CE8">
      <w:pPr>
        <w:numPr>
          <w:ilvl w:val="0"/>
          <w:numId w:val="33"/>
        </w:numPr>
        <w:spacing w:before="120" w:after="120" w:line="240" w:lineRule="auto"/>
        <w:rPr>
          <w:rFonts w:ascii="StobiSerif Regular" w:hAnsi="StobiSerif Regular"/>
          <w:sz w:val="24"/>
          <w:szCs w:val="24"/>
          <w:lang w:val="en-US" w:eastAsia="mk-MK"/>
        </w:rPr>
      </w:pPr>
      <w:r w:rsidRPr="00194389">
        <w:rPr>
          <w:rFonts w:ascii="StobiSerif Regular" w:hAnsi="StobiSerif Regular"/>
          <w:i/>
          <w:iCs/>
          <w:u w:val="single"/>
          <w:lang w:eastAsia="mk-MK"/>
        </w:rPr>
        <w:t>Финансиско спроведување</w:t>
      </w:r>
    </w:p>
    <w:p w:rsidR="00194389" w:rsidRPr="00194389" w:rsidRDefault="00194389" w:rsidP="00194389">
      <w:pPr>
        <w:spacing w:before="120" w:after="120" w:line="240" w:lineRule="auto"/>
        <w:ind w:firstLine="720"/>
        <w:jc w:val="both"/>
        <w:rPr>
          <w:rFonts w:ascii="StobiSerif Regular" w:eastAsia="Times New Roman" w:hAnsi="StobiSerif Regular" w:cs="Times New Roman"/>
          <w:lang w:val="en-US" w:eastAsia="mk-MK"/>
        </w:rPr>
      </w:pPr>
      <w:bookmarkStart w:id="92" w:name="_ftnref5"/>
      <w:bookmarkEnd w:id="92"/>
      <w:r w:rsidRPr="00194389">
        <w:rPr>
          <w:rFonts w:ascii="StobiSerif Regular" w:eastAsia="Times New Roman" w:hAnsi="StobiSerif Regular" w:cs="Times New Roman"/>
          <w:lang w:val="en-US" w:eastAsia="mk-MK"/>
        </w:rPr>
        <w:t xml:space="preserve">На </w:t>
      </w:r>
      <w:r w:rsidRPr="00194389">
        <w:rPr>
          <w:rFonts w:ascii="StobiSerif Regular" w:eastAsia="Times New Roman" w:hAnsi="StobiSerif Regular" w:cs="Times New Roman"/>
          <w:lang w:eastAsia="mk-MK"/>
        </w:rPr>
        <w:t>26.02.2016</w:t>
      </w:r>
      <w:r w:rsidRPr="00194389">
        <w:rPr>
          <w:rFonts w:ascii="StobiSerif Regular" w:eastAsia="Times New Roman" w:hAnsi="StobiSerif Regular" w:cs="Times New Roman"/>
          <w:lang w:val="en-US" w:eastAsia="mk-MK"/>
        </w:rPr>
        <w:t xml:space="preserve"> (бр 10-1436 / 1), Националниот координатор за авторизација испраќа до Комисијата </w:t>
      </w:r>
      <w:r w:rsidR="006619E2" w:rsidRPr="006619E2">
        <w:rPr>
          <w:rFonts w:ascii="StobiSerif Regular" w:eastAsia="Times New Roman" w:hAnsi="StobiSerif Regular" w:cs="Times New Roman"/>
          <w:lang w:val="en-US" w:eastAsia="mk-MK"/>
        </w:rPr>
        <w:t>Прогноза за парични приливи</w:t>
      </w:r>
      <w:r w:rsidRPr="00194389">
        <w:rPr>
          <w:rFonts w:ascii="StobiSerif Regular" w:eastAsia="Times New Roman" w:hAnsi="StobiSerif Regular" w:cs="Times New Roman"/>
          <w:lang w:val="en-US" w:eastAsia="mk-MK"/>
        </w:rPr>
        <w:t xml:space="preserve"> </w:t>
      </w:r>
      <w:r w:rsidRPr="00194389">
        <w:rPr>
          <w:rFonts w:ascii="StobiSerif Regular" w:eastAsia="Times New Roman" w:hAnsi="StobiSerif Regular" w:cs="Times New Roman"/>
          <w:lang w:eastAsia="mk-MK"/>
        </w:rPr>
        <w:t xml:space="preserve">за </w:t>
      </w:r>
      <w:r w:rsidRPr="00194389">
        <w:rPr>
          <w:rFonts w:ascii="StobiSerif Regular" w:eastAsia="Times New Roman" w:hAnsi="StobiSerif Regular" w:cs="Times New Roman"/>
          <w:lang w:val="en-US" w:eastAsia="mk-MK"/>
        </w:rPr>
        <w:t>2016-2017.</w:t>
      </w:r>
    </w:p>
    <w:p w:rsidR="00194389" w:rsidRPr="00194389" w:rsidRDefault="00194389" w:rsidP="00156A6B">
      <w:pPr>
        <w:spacing w:before="120"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Врз основа на моменталната состојба на проекти и предвидувањата за наредниот период </w:t>
      </w:r>
      <w:r w:rsidR="006619E2">
        <w:rPr>
          <w:rFonts w:ascii="StobiSerif Regular" w:eastAsia="Times New Roman" w:hAnsi="StobiSerif Regular" w:cs="Times New Roman"/>
          <w:lang w:eastAsia="mk-MK"/>
        </w:rPr>
        <w:t>НФ</w:t>
      </w:r>
      <w:r w:rsidRPr="00194389">
        <w:rPr>
          <w:rFonts w:ascii="StobiSerif Regular" w:eastAsia="Times New Roman" w:hAnsi="StobiSerif Regular" w:cs="Times New Roman"/>
          <w:lang w:val="en-US" w:eastAsia="mk-MK"/>
        </w:rPr>
        <w:t xml:space="preserve"> подготви соодветна оптимална прогноза за ИПА и национално кофинансирање на средства, како и каматата и потреба за дополнително национално кофинансирање заради постигнување на 95% од расположливите средства. Предлогот за конечниот буџет беше поднесен од страна на НАО до </w:t>
      </w:r>
      <w:r w:rsidRPr="00194389">
        <w:rPr>
          <w:rFonts w:ascii="StobiSerif Regular" w:eastAsia="Times New Roman" w:hAnsi="StobiSerif Regular" w:cs="Times New Roman"/>
          <w:lang w:eastAsia="mk-MK"/>
        </w:rPr>
        <w:t>Секторот</w:t>
      </w:r>
      <w:r w:rsidRPr="00194389">
        <w:rPr>
          <w:rFonts w:ascii="StobiSerif Regular" w:eastAsia="Times New Roman" w:hAnsi="StobiSerif Regular" w:cs="Times New Roman"/>
          <w:lang w:val="en-US" w:eastAsia="mk-MK"/>
        </w:rPr>
        <w:t xml:space="preserve"> на Министерството за финансии, во согласност со условите наведени во Законот за буџетите.</w:t>
      </w:r>
    </w:p>
    <w:p w:rsidR="00194389" w:rsidRPr="00194389" w:rsidRDefault="00194389" w:rsidP="00194389">
      <w:pPr>
        <w:spacing w:before="120"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Врз основа на проекциите на паричните текови, финансиски проекции поднесени од ИПАРД Агенцијата во текот на годината, а врз основа на различни анализи извршени од страна на НФ, ликвидност</w:t>
      </w:r>
      <w:r w:rsidRPr="00194389">
        <w:rPr>
          <w:rFonts w:ascii="StobiSerif Regular" w:eastAsia="Times New Roman" w:hAnsi="StobiSerif Regular" w:cs="Times New Roman"/>
          <w:lang w:eastAsia="mk-MK"/>
        </w:rPr>
        <w:t>а на</w:t>
      </w:r>
      <w:r w:rsidRPr="00194389">
        <w:rPr>
          <w:rFonts w:ascii="StobiSerif Regular" w:eastAsia="Times New Roman" w:hAnsi="StobiSerif Regular" w:cs="Times New Roman"/>
          <w:lang w:val="en-US" w:eastAsia="mk-MK"/>
        </w:rPr>
        <w:t xml:space="preserve"> буџет</w:t>
      </w:r>
      <w:r w:rsidRPr="00194389">
        <w:rPr>
          <w:rFonts w:ascii="StobiSerif Regular" w:eastAsia="Times New Roman" w:hAnsi="StobiSerif Regular" w:cs="Times New Roman"/>
          <w:lang w:eastAsia="mk-MK"/>
        </w:rPr>
        <w:t>от</w:t>
      </w:r>
      <w:r w:rsidRPr="00194389">
        <w:rPr>
          <w:rFonts w:ascii="StobiSerif Regular" w:eastAsia="Times New Roman" w:hAnsi="StobiSerif Regular" w:cs="Times New Roman"/>
          <w:lang w:val="en-US" w:eastAsia="mk-MK"/>
        </w:rPr>
        <w:t xml:space="preserve"> беше анализирана и соодветни мерки беа преземени од страна на НФ, со цел да се обезбеди непречено спроведување на планираните проекции. Во текот на 2016 година беше соодветно обезбедено национално кофинансирање за ИПАРД проекти.</w:t>
      </w:r>
    </w:p>
    <w:p w:rsidR="00194389" w:rsidRPr="00194389" w:rsidRDefault="00194389" w:rsidP="00194389">
      <w:pPr>
        <w:spacing w:before="120" w:after="120" w:line="240" w:lineRule="auto"/>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Во табелата подолу се прикажани извршените плаќања - ИПА придонес во евра за периодот 2011-2016 година:</w:t>
      </w:r>
    </w:p>
    <w:tbl>
      <w:tblPr>
        <w:tblW w:w="97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29" w:type="dxa"/>
          <w:left w:w="19" w:type="dxa"/>
          <w:bottom w:w="29" w:type="dxa"/>
          <w:right w:w="0" w:type="dxa"/>
        </w:tblCellMar>
        <w:tblLook w:val="04A0" w:firstRow="1" w:lastRow="0" w:firstColumn="1" w:lastColumn="0" w:noHBand="0" w:noVBand="1"/>
      </w:tblPr>
      <w:tblGrid>
        <w:gridCol w:w="982"/>
        <w:gridCol w:w="1255"/>
        <w:gridCol w:w="1273"/>
        <w:gridCol w:w="1133"/>
        <w:gridCol w:w="1133"/>
        <w:gridCol w:w="1277"/>
        <w:gridCol w:w="1275"/>
        <w:gridCol w:w="1453"/>
      </w:tblGrid>
      <w:tr w:rsidR="00194389" w:rsidRPr="00194389" w:rsidTr="00EE5E4C">
        <w:trPr>
          <w:trHeight w:val="486"/>
        </w:trPr>
        <w:tc>
          <w:tcPr>
            <w:tcW w:w="982" w:type="dxa"/>
            <w:tcBorders>
              <w:top w:val="single" w:sz="4" w:space="0" w:color="00000A"/>
              <w:left w:val="single" w:sz="4" w:space="0" w:color="00000A"/>
              <w:bottom w:val="single" w:sz="4" w:space="0" w:color="00000A"/>
              <w:right w:val="single" w:sz="4" w:space="0" w:color="00000A"/>
            </w:tcBorders>
            <w:shd w:val="clear" w:color="auto" w:fill="BFBFBF"/>
            <w:tcMar>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b/>
                <w:sz w:val="20"/>
                <w:szCs w:val="20"/>
                <w:lang w:val="en-US" w:eastAsia="mk-MK"/>
              </w:rPr>
            </w:pPr>
            <w:r w:rsidRPr="00194389">
              <w:rPr>
                <w:rFonts w:ascii="Times New Roman" w:eastAsia="Times New Roman" w:hAnsi="Times New Roman" w:cs="Times New Roman"/>
                <w:b/>
                <w:sz w:val="20"/>
                <w:szCs w:val="20"/>
                <w:lang w:val="en-US" w:eastAsia="mk-MK"/>
              </w:rPr>
              <w:t>Мерка</w:t>
            </w:r>
          </w:p>
        </w:tc>
        <w:tc>
          <w:tcPr>
            <w:tcW w:w="8799" w:type="dxa"/>
            <w:gridSpan w:val="7"/>
            <w:tcBorders>
              <w:top w:val="single" w:sz="4" w:space="0" w:color="00000A"/>
              <w:left w:val="single" w:sz="4" w:space="0" w:color="00000A"/>
              <w:bottom w:val="single" w:sz="4" w:space="0" w:color="00000A"/>
              <w:right w:val="single" w:sz="4" w:space="0" w:color="00000A"/>
            </w:tcBorders>
            <w:shd w:val="clear" w:color="auto" w:fill="BFBFBF"/>
            <w:tcMar>
              <w:top w:w="30" w:type="dxa"/>
              <w:left w:w="25" w:type="dxa"/>
              <w:bottom w:w="30" w:type="dxa"/>
              <w:right w:w="30"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b/>
                <w:sz w:val="20"/>
                <w:szCs w:val="20"/>
                <w:lang w:val="en-US" w:eastAsia="mk-MK"/>
              </w:rPr>
            </w:pPr>
            <w:r w:rsidRPr="00194389">
              <w:rPr>
                <w:rFonts w:ascii="StobiSerif Regular" w:eastAsia="Times New Roman" w:hAnsi="StobiSerif Regular" w:cs="Times New Roman"/>
                <w:b/>
                <w:bCs/>
                <w:sz w:val="20"/>
                <w:szCs w:val="20"/>
                <w:lang w:val="en-US" w:eastAsia="mk-MK"/>
              </w:rPr>
              <w:t>Извршените плаќања - ИПА придонес во евра</w:t>
            </w:r>
          </w:p>
        </w:tc>
      </w:tr>
      <w:tr w:rsidR="00194389" w:rsidRPr="00194389" w:rsidTr="00EE5E4C">
        <w:trPr>
          <w:trHeight w:val="570"/>
        </w:trPr>
        <w:tc>
          <w:tcPr>
            <w:tcW w:w="982"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b/>
                <w:sz w:val="20"/>
                <w:szCs w:val="20"/>
                <w:lang w:eastAsia="mk-MK"/>
              </w:rPr>
            </w:pPr>
          </w:p>
        </w:tc>
        <w:tc>
          <w:tcPr>
            <w:tcW w:w="1255"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b/>
                <w:sz w:val="20"/>
                <w:szCs w:val="20"/>
                <w:lang w:val="en-US" w:eastAsia="mk-MK"/>
              </w:rPr>
            </w:pPr>
            <w:r w:rsidRPr="00194389">
              <w:rPr>
                <w:rFonts w:ascii="StobiSerif Regular" w:eastAsia="Times New Roman" w:hAnsi="StobiSerif Regular" w:cs="Times New Roman"/>
                <w:b/>
                <w:bCs/>
                <w:sz w:val="20"/>
                <w:szCs w:val="20"/>
                <w:lang w:val="en-US" w:eastAsia="mk-MK"/>
              </w:rPr>
              <w:t>2011</w:t>
            </w:r>
          </w:p>
        </w:tc>
        <w:tc>
          <w:tcPr>
            <w:tcW w:w="1273"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b/>
                <w:sz w:val="20"/>
                <w:szCs w:val="20"/>
                <w:lang w:val="en-US" w:eastAsia="mk-MK"/>
              </w:rPr>
            </w:pPr>
            <w:r w:rsidRPr="00194389">
              <w:rPr>
                <w:rFonts w:ascii="StobiSerif Regular" w:eastAsia="Times New Roman" w:hAnsi="StobiSerif Regular" w:cs="Times New Roman"/>
                <w:b/>
                <w:bCs/>
                <w:sz w:val="20"/>
                <w:szCs w:val="20"/>
                <w:lang w:val="en-US" w:eastAsia="mk-MK"/>
              </w:rPr>
              <w:t>2012</w:t>
            </w:r>
          </w:p>
        </w:tc>
        <w:tc>
          <w:tcPr>
            <w:tcW w:w="1133"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b/>
                <w:sz w:val="20"/>
                <w:szCs w:val="20"/>
                <w:lang w:val="en-US" w:eastAsia="mk-MK"/>
              </w:rPr>
            </w:pPr>
            <w:r w:rsidRPr="00194389">
              <w:rPr>
                <w:rFonts w:ascii="StobiSerif Regular" w:eastAsia="Times New Roman" w:hAnsi="StobiSerif Regular" w:cs="Times New Roman"/>
                <w:b/>
                <w:bCs/>
                <w:sz w:val="20"/>
                <w:szCs w:val="20"/>
                <w:lang w:val="en-US" w:eastAsia="mk-MK"/>
              </w:rPr>
              <w:t>2013</w:t>
            </w:r>
          </w:p>
        </w:tc>
        <w:tc>
          <w:tcPr>
            <w:tcW w:w="1133"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b/>
                <w:sz w:val="20"/>
                <w:szCs w:val="20"/>
                <w:lang w:val="en-US" w:eastAsia="mk-MK"/>
              </w:rPr>
            </w:pPr>
            <w:r w:rsidRPr="00194389">
              <w:rPr>
                <w:rFonts w:ascii="StobiSerif Regular" w:eastAsia="Times New Roman" w:hAnsi="StobiSerif Regular" w:cs="Times New Roman"/>
                <w:b/>
                <w:bCs/>
                <w:sz w:val="20"/>
                <w:szCs w:val="20"/>
                <w:lang w:val="en-US" w:eastAsia="mk-MK"/>
              </w:rPr>
              <w:t>2014</w:t>
            </w:r>
          </w:p>
        </w:tc>
        <w:tc>
          <w:tcPr>
            <w:tcW w:w="1277"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b/>
                <w:sz w:val="20"/>
                <w:szCs w:val="20"/>
                <w:lang w:val="en-US" w:eastAsia="mk-MK"/>
              </w:rPr>
            </w:pPr>
            <w:r w:rsidRPr="00194389">
              <w:rPr>
                <w:rFonts w:ascii="StobiSerif Regular" w:eastAsia="Times New Roman" w:hAnsi="StobiSerif Regular" w:cs="Times New Roman"/>
                <w:b/>
                <w:bCs/>
                <w:sz w:val="20"/>
                <w:szCs w:val="20"/>
                <w:lang w:val="en-US" w:eastAsia="mk-MK"/>
              </w:rPr>
              <w:t>2015</w:t>
            </w:r>
          </w:p>
        </w:tc>
        <w:tc>
          <w:tcPr>
            <w:tcW w:w="1275" w:type="dxa"/>
            <w:tcBorders>
              <w:top w:val="single" w:sz="4" w:space="0" w:color="00000A"/>
              <w:left w:val="single" w:sz="4" w:space="0" w:color="00000A"/>
              <w:bottom w:val="single" w:sz="4" w:space="0" w:color="00000A"/>
              <w:right w:val="single" w:sz="4" w:space="0" w:color="00000A"/>
            </w:tcBorders>
            <w:shd w:val="clear" w:color="auto" w:fill="BFBFBF"/>
            <w:tcMar>
              <w:top w:w="30" w:type="dxa"/>
              <w:left w:w="25" w:type="dxa"/>
              <w:bottom w:w="30" w:type="dxa"/>
              <w:right w:w="30"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b/>
                <w:bCs/>
                <w:sz w:val="20"/>
                <w:szCs w:val="20"/>
                <w:lang w:val="en-US" w:eastAsia="mk-MK"/>
              </w:rPr>
            </w:pPr>
            <w:r w:rsidRPr="00194389">
              <w:rPr>
                <w:rFonts w:ascii="StobiSerif Regular" w:eastAsia="Times New Roman" w:hAnsi="StobiSerif Regular" w:cs="Times New Roman"/>
                <w:b/>
                <w:bCs/>
                <w:sz w:val="20"/>
                <w:szCs w:val="20"/>
                <w:lang w:val="en-US" w:eastAsia="mk-MK"/>
              </w:rPr>
              <w:t>2016</w:t>
            </w:r>
          </w:p>
        </w:tc>
        <w:tc>
          <w:tcPr>
            <w:tcW w:w="1453"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right w:w="2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b/>
                <w:sz w:val="20"/>
                <w:szCs w:val="20"/>
                <w:lang w:val="en-US" w:eastAsia="mk-MK"/>
              </w:rPr>
            </w:pPr>
            <w:r w:rsidRPr="00194389">
              <w:rPr>
                <w:rFonts w:ascii="StobiSerif Regular" w:eastAsia="Times New Roman" w:hAnsi="StobiSerif Regular" w:cs="Times New Roman"/>
                <w:b/>
                <w:bCs/>
                <w:sz w:val="20"/>
                <w:szCs w:val="20"/>
                <w:lang w:val="en-US" w:eastAsia="mk-MK"/>
              </w:rPr>
              <w:t>вкупно</w:t>
            </w:r>
          </w:p>
        </w:tc>
      </w:tr>
      <w:tr w:rsidR="00194389" w:rsidRPr="00194389" w:rsidTr="00EE5E4C">
        <w:trPr>
          <w:trHeight w:val="741"/>
        </w:trPr>
        <w:tc>
          <w:tcPr>
            <w:tcW w:w="982"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eastAsia="mk-MK"/>
              </w:rPr>
              <w:t>Мерка</w:t>
            </w:r>
            <w:r w:rsidRPr="00194389">
              <w:rPr>
                <w:rFonts w:ascii="StobiSerif Regular" w:eastAsia="Times New Roman" w:hAnsi="StobiSerif Regular" w:cs="Times New Roman"/>
                <w:sz w:val="20"/>
                <w:szCs w:val="20"/>
                <w:lang w:val="en-US" w:eastAsia="mk-MK"/>
              </w:rPr>
              <w:t xml:space="preserve"> 101</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272.141,89</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183.339,64</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107.997,23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309.996,58</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1.698.966,88</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30" w:type="dxa"/>
              <w:left w:w="25" w:type="dxa"/>
              <w:bottom w:w="30" w:type="dxa"/>
              <w:right w:w="30"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20"/>
                <w:szCs w:val="20"/>
                <w:lang w:val="en-US" w:eastAsia="mk-MK"/>
              </w:rPr>
            </w:pPr>
            <w:r w:rsidRPr="00194389">
              <w:rPr>
                <w:rFonts w:ascii="StobiSerif Regular" w:eastAsia="Times New Roman" w:hAnsi="StobiSerif Regular" w:cs="Times New Roman"/>
                <w:sz w:val="20"/>
                <w:szCs w:val="20"/>
                <w:lang w:val="en-US" w:eastAsia="mk-MK"/>
              </w:rPr>
              <w:t>1,865,075.92</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right w:w="2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4,437,518.14</w:t>
            </w:r>
          </w:p>
        </w:tc>
      </w:tr>
      <w:tr w:rsidR="00194389" w:rsidRPr="00194389" w:rsidTr="00EE5E4C">
        <w:trPr>
          <w:trHeight w:val="655"/>
        </w:trPr>
        <w:tc>
          <w:tcPr>
            <w:tcW w:w="982"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eastAsia="mk-MK"/>
              </w:rPr>
              <w:t>Мерка</w:t>
            </w:r>
            <w:r w:rsidRPr="00194389">
              <w:rPr>
                <w:rFonts w:ascii="StobiSerif Regular" w:eastAsia="Times New Roman" w:hAnsi="StobiSerif Regular" w:cs="Times New Roman"/>
                <w:sz w:val="20"/>
                <w:szCs w:val="20"/>
                <w:lang w:val="en-US" w:eastAsia="mk-MK"/>
              </w:rPr>
              <w:t xml:space="preserve"> 103</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738.499,17</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1.004.812,69</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366.450,26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43.125,01</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30" w:type="dxa"/>
              <w:left w:w="25" w:type="dxa"/>
              <w:bottom w:w="30" w:type="dxa"/>
              <w:right w:w="30"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20"/>
                <w:szCs w:val="20"/>
                <w:lang w:val="en-US" w:eastAsia="mk-MK"/>
              </w:rPr>
            </w:pPr>
            <w:r w:rsidRPr="00194389">
              <w:rPr>
                <w:rFonts w:ascii="StobiSerif Regular" w:eastAsia="Times New Roman" w:hAnsi="StobiSerif Regular" w:cs="Times New Roman"/>
                <w:sz w:val="20"/>
                <w:szCs w:val="20"/>
                <w:lang w:val="en-US" w:eastAsia="mk-MK"/>
              </w:rPr>
              <w:t>1,091,818.22</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right w:w="2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3,244,705.35</w:t>
            </w:r>
          </w:p>
        </w:tc>
      </w:tr>
      <w:tr w:rsidR="00194389" w:rsidRPr="00194389" w:rsidTr="00EE5E4C">
        <w:trPr>
          <w:trHeight w:val="594"/>
        </w:trPr>
        <w:tc>
          <w:tcPr>
            <w:tcW w:w="982"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eastAsia="mk-MK"/>
              </w:rPr>
              <w:t>Мерка</w:t>
            </w:r>
            <w:r w:rsidRPr="00194389">
              <w:rPr>
                <w:rFonts w:ascii="StobiSerif Regular" w:eastAsia="Times New Roman" w:hAnsi="StobiSerif Regular" w:cs="Times New Roman"/>
                <w:sz w:val="20"/>
                <w:szCs w:val="20"/>
                <w:lang w:val="en-US" w:eastAsia="mk-MK"/>
              </w:rPr>
              <w:t xml:space="preserve"> 302</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79.154,87</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30" w:type="dxa"/>
              <w:left w:w="25" w:type="dxa"/>
              <w:bottom w:w="30" w:type="dxa"/>
              <w:right w:w="30"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20"/>
                <w:szCs w:val="20"/>
                <w:lang w:val="en-US" w:eastAsia="mk-MK"/>
              </w:rPr>
            </w:pPr>
            <w:r w:rsidRPr="00194389">
              <w:rPr>
                <w:rFonts w:ascii="StobiSerif Regular" w:eastAsia="Times New Roman" w:hAnsi="StobiSerif Regular" w:cs="Times New Roman"/>
                <w:sz w:val="20"/>
                <w:szCs w:val="20"/>
                <w:lang w:val="en-US" w:eastAsia="mk-MK"/>
              </w:rPr>
              <w:t>196,085.60</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right w:w="2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275,240.47</w:t>
            </w:r>
          </w:p>
        </w:tc>
      </w:tr>
      <w:tr w:rsidR="00194389" w:rsidRPr="00194389" w:rsidTr="00EE5E4C">
        <w:trPr>
          <w:trHeight w:val="430"/>
        </w:trPr>
        <w:tc>
          <w:tcPr>
            <w:tcW w:w="982"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eastAsia="mk-MK"/>
              </w:rPr>
              <w:t>Мерка</w:t>
            </w:r>
            <w:r w:rsidRPr="00194389">
              <w:rPr>
                <w:rFonts w:ascii="StobiSerif Regular" w:eastAsia="Times New Roman" w:hAnsi="StobiSerif Regular" w:cs="Times New Roman"/>
                <w:sz w:val="20"/>
                <w:szCs w:val="20"/>
                <w:lang w:val="en-US" w:eastAsia="mk-MK"/>
              </w:rPr>
              <w:t xml:space="preserve"> 501</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30" w:type="dxa"/>
              <w:left w:w="25" w:type="dxa"/>
              <w:bottom w:w="30" w:type="dxa"/>
              <w:right w:w="30"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c>
          <w:tcPr>
            <w:tcW w:w="1453" w:type="dxa"/>
            <w:tcBorders>
              <w:top w:val="single" w:sz="4" w:space="0" w:color="00000A"/>
              <w:left w:val="single" w:sz="4" w:space="0" w:color="00000A"/>
              <w:bottom w:val="single" w:sz="4" w:space="0" w:color="00000A"/>
              <w:right w:val="single" w:sz="4" w:space="0" w:color="00000A"/>
            </w:tcBorders>
            <w:shd w:val="clear" w:color="auto" w:fill="auto"/>
            <w:tcMar>
              <w:top w:w="0" w:type="dxa"/>
              <w:left w:w="19" w:type="dxa"/>
              <w:right w:w="2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sz w:val="20"/>
                <w:szCs w:val="20"/>
                <w:lang w:val="en-US" w:eastAsia="mk-MK"/>
              </w:rPr>
              <w:t>0,00</w:t>
            </w:r>
          </w:p>
        </w:tc>
      </w:tr>
      <w:tr w:rsidR="00194389" w:rsidRPr="00194389" w:rsidTr="00EE5E4C">
        <w:trPr>
          <w:trHeight w:val="650"/>
        </w:trPr>
        <w:tc>
          <w:tcPr>
            <w:tcW w:w="982"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eastAsia="mk-MK"/>
              </w:rPr>
            </w:pPr>
            <w:r w:rsidRPr="00194389">
              <w:rPr>
                <w:rFonts w:ascii="StobiSerif Regular" w:eastAsia="Times New Roman" w:hAnsi="StobiSerif Regular" w:cs="Times New Roman"/>
                <w:b/>
                <w:bCs/>
                <w:sz w:val="20"/>
                <w:szCs w:val="20"/>
                <w:lang w:eastAsia="mk-MK"/>
              </w:rPr>
              <w:t>вкупно</w:t>
            </w:r>
          </w:p>
        </w:tc>
        <w:tc>
          <w:tcPr>
            <w:tcW w:w="1255"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b/>
                <w:bCs/>
                <w:sz w:val="20"/>
                <w:szCs w:val="20"/>
                <w:lang w:val="en-US" w:eastAsia="mk-MK"/>
              </w:rPr>
              <w:t>1.010.641,08</w:t>
            </w:r>
          </w:p>
        </w:tc>
        <w:tc>
          <w:tcPr>
            <w:tcW w:w="1273"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b/>
                <w:bCs/>
                <w:sz w:val="20"/>
                <w:szCs w:val="20"/>
                <w:lang w:val="en-US" w:eastAsia="mk-MK"/>
              </w:rPr>
              <w:t>1.188.152,33</w:t>
            </w:r>
          </w:p>
        </w:tc>
        <w:tc>
          <w:tcPr>
            <w:tcW w:w="1133"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b/>
                <w:bCs/>
                <w:sz w:val="20"/>
                <w:szCs w:val="20"/>
                <w:lang w:val="en-US" w:eastAsia="mk-MK"/>
              </w:rPr>
              <w:t>474.447,49</w:t>
            </w:r>
          </w:p>
        </w:tc>
        <w:tc>
          <w:tcPr>
            <w:tcW w:w="1133"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b/>
                <w:bCs/>
                <w:sz w:val="20"/>
                <w:szCs w:val="20"/>
                <w:lang w:val="en-US" w:eastAsia="mk-MK"/>
              </w:rPr>
              <w:t>309.996,58</w:t>
            </w:r>
          </w:p>
        </w:tc>
        <w:tc>
          <w:tcPr>
            <w:tcW w:w="1277"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b/>
                <w:bCs/>
                <w:sz w:val="20"/>
                <w:szCs w:val="20"/>
                <w:lang w:val="en-US" w:eastAsia="mk-MK"/>
              </w:rPr>
              <w:t>1.821.246,76</w:t>
            </w:r>
          </w:p>
        </w:tc>
        <w:tc>
          <w:tcPr>
            <w:tcW w:w="1275" w:type="dxa"/>
            <w:tcBorders>
              <w:top w:val="single" w:sz="4" w:space="0" w:color="00000A"/>
              <w:left w:val="single" w:sz="4" w:space="0" w:color="00000A"/>
              <w:bottom w:val="single" w:sz="4" w:space="0" w:color="00000A"/>
              <w:right w:val="single" w:sz="4" w:space="0" w:color="00000A"/>
            </w:tcBorders>
            <w:shd w:val="clear" w:color="auto" w:fill="BFBFBF"/>
            <w:tcMar>
              <w:top w:w="30" w:type="dxa"/>
              <w:left w:w="25" w:type="dxa"/>
              <w:bottom w:w="30" w:type="dxa"/>
              <w:right w:w="30"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b/>
                <w:bCs/>
                <w:sz w:val="20"/>
                <w:szCs w:val="20"/>
                <w:lang w:val="en-US" w:eastAsia="mk-MK"/>
              </w:rPr>
            </w:pPr>
            <w:r w:rsidRPr="00194389">
              <w:rPr>
                <w:rFonts w:ascii="StobiSerif Regular" w:eastAsia="Times New Roman" w:hAnsi="StobiSerif Regular" w:cs="Times New Roman"/>
                <w:b/>
                <w:bCs/>
                <w:sz w:val="20"/>
                <w:szCs w:val="20"/>
                <w:lang w:val="en-US" w:eastAsia="mk-MK"/>
              </w:rPr>
              <w:t>3,152,979.74</w:t>
            </w:r>
          </w:p>
        </w:tc>
        <w:tc>
          <w:tcPr>
            <w:tcW w:w="1453" w:type="dxa"/>
            <w:tcBorders>
              <w:top w:val="single" w:sz="4" w:space="0" w:color="00000A"/>
              <w:left w:val="single" w:sz="4" w:space="0" w:color="00000A"/>
              <w:bottom w:val="single" w:sz="4" w:space="0" w:color="00000A"/>
              <w:right w:val="single" w:sz="4" w:space="0" w:color="00000A"/>
            </w:tcBorders>
            <w:shd w:val="clear" w:color="auto" w:fill="BFBFBF"/>
            <w:tcMar>
              <w:top w:w="0" w:type="dxa"/>
              <w:left w:w="19" w:type="dxa"/>
              <w:right w:w="2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20"/>
                <w:szCs w:val="20"/>
                <w:lang w:val="en-US" w:eastAsia="mk-MK"/>
              </w:rPr>
            </w:pPr>
            <w:r w:rsidRPr="00194389">
              <w:rPr>
                <w:rFonts w:ascii="StobiSerif Regular" w:eastAsia="Times New Roman" w:hAnsi="StobiSerif Regular" w:cs="Times New Roman"/>
                <w:b/>
                <w:bCs/>
                <w:sz w:val="20"/>
                <w:szCs w:val="20"/>
                <w:lang w:val="en-US" w:eastAsia="mk-MK"/>
              </w:rPr>
              <w:t>7,957,463.96</w:t>
            </w:r>
          </w:p>
        </w:tc>
      </w:tr>
    </w:tbl>
    <w:p w:rsidR="00194389" w:rsidRPr="00194389" w:rsidRDefault="00194389" w:rsidP="00194389">
      <w:pPr>
        <w:spacing w:after="120" w:line="240" w:lineRule="auto"/>
        <w:jc w:val="both"/>
        <w:rPr>
          <w:rFonts w:ascii="StobiSerif Regular" w:eastAsia="Times New Roman" w:hAnsi="StobiSerif Regular" w:cs="Times New Roman"/>
          <w:bCs/>
          <w:color w:val="000000"/>
          <w:sz w:val="16"/>
          <w:szCs w:val="16"/>
          <w:lang w:val="en-US" w:eastAsia="mk-MK"/>
        </w:rPr>
      </w:pPr>
      <w:r w:rsidRPr="00194389">
        <w:rPr>
          <w:rFonts w:ascii="StobiSerif Regular" w:eastAsia="Times New Roman" w:hAnsi="StobiSerif Regular" w:cs="Times New Roman"/>
          <w:bCs/>
          <w:color w:val="000000"/>
          <w:sz w:val="16"/>
          <w:szCs w:val="16"/>
          <w:lang w:val="en-US" w:eastAsia="mk-MK"/>
        </w:rPr>
        <w:t>Извор: НАО</w:t>
      </w:r>
    </w:p>
    <w:p w:rsidR="00194389" w:rsidRPr="00194389" w:rsidRDefault="00194389" w:rsidP="00194389">
      <w:pPr>
        <w:spacing w:before="120" w:after="120" w:line="240" w:lineRule="auto"/>
        <w:ind w:firstLine="720"/>
        <w:jc w:val="both"/>
        <w:rPr>
          <w:rFonts w:ascii="StobiSerif Regular" w:eastAsia="Times New Roman" w:hAnsi="StobiSerif Regular" w:cs="Times New Roman"/>
          <w:color w:val="000000"/>
          <w:lang w:val="en-US" w:eastAsia="mk-MK"/>
        </w:rPr>
      </w:pPr>
      <w:r w:rsidRPr="00194389">
        <w:rPr>
          <w:rFonts w:ascii="StobiSerif Regular" w:eastAsia="Times New Roman" w:hAnsi="StobiSerif Regular" w:cs="Times New Roman"/>
          <w:color w:val="000000"/>
          <w:lang w:val="en-US" w:eastAsia="mk-MK"/>
        </w:rPr>
        <w:t>Во однос на статусот на ИПАРД Програмата, на вкупно договорената сума ИПА  од 15,303.431,83 евра, вкупниот ИПА исплатен износ е 7,957,463.96 евра (51,93% повлечениот износ од вкупно договорената сума).</w:t>
      </w:r>
    </w:p>
    <w:p w:rsidR="00194389" w:rsidRPr="00194389" w:rsidRDefault="00194389" w:rsidP="00194389">
      <w:pPr>
        <w:spacing w:before="120" w:after="120" w:line="240" w:lineRule="auto"/>
        <w:ind w:firstLine="720"/>
        <w:jc w:val="both"/>
        <w:rPr>
          <w:rFonts w:ascii="StobiSerif Regular" w:eastAsia="Times New Roman" w:hAnsi="StobiSerif Regular" w:cs="Times New Roman"/>
          <w:i/>
          <w:iCs/>
          <w:u w:val="single"/>
          <w:lang w:eastAsia="mk-MK"/>
        </w:rPr>
      </w:pPr>
      <w:r w:rsidRPr="00194389">
        <w:rPr>
          <w:rFonts w:ascii="StobiSerif Regular" w:eastAsia="Times New Roman" w:hAnsi="StobiSerif Regular" w:cs="Times New Roman"/>
          <w:i/>
          <w:iCs/>
          <w:u w:val="single"/>
          <w:lang w:eastAsia="mk-MK"/>
        </w:rPr>
        <w:t>Статус на спроведување на ИПАРД Програмата</w:t>
      </w:r>
    </w:p>
    <w:tbl>
      <w:tblPr>
        <w:tblW w:w="9431" w:type="dxa"/>
        <w:tblBorders>
          <w:top w:val="single" w:sz="8" w:space="0" w:color="000080"/>
          <w:left w:val="single" w:sz="8" w:space="0" w:color="000080"/>
          <w:bottom w:val="single" w:sz="8" w:space="0" w:color="000080"/>
          <w:insideH w:val="single" w:sz="8" w:space="0" w:color="000080"/>
        </w:tblBorders>
        <w:tblLayout w:type="fixed"/>
        <w:tblCellMar>
          <w:top w:w="29" w:type="dxa"/>
          <w:left w:w="9" w:type="dxa"/>
          <w:bottom w:w="29" w:type="dxa"/>
          <w:right w:w="0" w:type="dxa"/>
        </w:tblCellMar>
        <w:tblLook w:val="04A0" w:firstRow="1" w:lastRow="0" w:firstColumn="1" w:lastColumn="0" w:noHBand="0" w:noVBand="1"/>
      </w:tblPr>
      <w:tblGrid>
        <w:gridCol w:w="2273"/>
        <w:gridCol w:w="1640"/>
        <w:gridCol w:w="1650"/>
        <w:gridCol w:w="1649"/>
        <w:gridCol w:w="2219"/>
      </w:tblGrid>
      <w:tr w:rsidR="00194389" w:rsidRPr="00194389" w:rsidTr="00EE5E4C">
        <w:tc>
          <w:tcPr>
            <w:tcW w:w="7212" w:type="dxa"/>
            <w:gridSpan w:val="4"/>
            <w:tcBorders>
              <w:top w:val="single" w:sz="8" w:space="0" w:color="000080"/>
              <w:left w:val="single" w:sz="8" w:space="0" w:color="000080"/>
              <w:bottom w:val="single" w:sz="8" w:space="0" w:color="000080"/>
            </w:tcBorders>
            <w:shd w:val="clear" w:color="auto" w:fill="BFBFBF"/>
            <w:tcMar>
              <w:left w:w="9" w:type="dxa"/>
            </w:tcMar>
            <w:vAlign w:val="bottom"/>
          </w:tcPr>
          <w:p w:rsidR="00194389" w:rsidRPr="00194389" w:rsidRDefault="00194389" w:rsidP="00194389">
            <w:pPr>
              <w:spacing w:beforeAutospacing="1" w:after="288" w:line="240" w:lineRule="auto"/>
              <w:jc w:val="both"/>
              <w:rPr>
                <w:rFonts w:ascii="Times New Roman" w:eastAsia="Times New Roman" w:hAnsi="Times New Roman" w:cs="Times New Roman"/>
                <w:sz w:val="16"/>
                <w:szCs w:val="16"/>
                <w:lang w:eastAsia="mk-MK"/>
              </w:rPr>
            </w:pPr>
            <w:r w:rsidRPr="00194389">
              <w:rPr>
                <w:rFonts w:ascii="Times New Roman" w:eastAsia="Times New Roman" w:hAnsi="Times New Roman" w:cs="Times New Roman"/>
                <w:sz w:val="16"/>
                <w:szCs w:val="16"/>
                <w:lang w:eastAsia="mk-MK"/>
              </w:rPr>
              <w:t>  </w:t>
            </w:r>
          </w:p>
          <w:p w:rsidR="00194389" w:rsidRPr="00194389" w:rsidRDefault="00194389" w:rsidP="00194389">
            <w:pPr>
              <w:spacing w:beforeAutospacing="1" w:after="0" w:line="240" w:lineRule="auto"/>
              <w:jc w:val="both"/>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b/>
                <w:bCs/>
                <w:sz w:val="16"/>
                <w:szCs w:val="16"/>
                <w:lang w:val="en-US" w:eastAsia="mk-MK"/>
              </w:rPr>
              <w:t>Износ во €</w:t>
            </w:r>
          </w:p>
        </w:tc>
        <w:tc>
          <w:tcPr>
            <w:tcW w:w="2219" w:type="dxa"/>
            <w:vMerge w:val="restart"/>
            <w:tcBorders>
              <w:top w:val="single" w:sz="8" w:space="0" w:color="000080"/>
              <w:left w:val="single" w:sz="8" w:space="0" w:color="000080"/>
              <w:bottom w:val="single" w:sz="8" w:space="0" w:color="000080"/>
              <w:right w:val="single" w:sz="8" w:space="0" w:color="000001"/>
            </w:tcBorders>
            <w:shd w:val="clear" w:color="auto" w:fill="BFBFBF"/>
            <w:tcMar>
              <w:left w:w="9" w:type="dxa"/>
              <w:right w:w="29" w:type="dxa"/>
            </w:tcMar>
            <w:vAlign w:val="center"/>
          </w:tcPr>
          <w:p w:rsidR="00194389" w:rsidRPr="00156A6B" w:rsidRDefault="00194389" w:rsidP="00156A6B">
            <w:pPr>
              <w:spacing w:beforeAutospacing="1" w:after="0" w:line="240" w:lineRule="auto"/>
              <w:jc w:val="both"/>
              <w:rPr>
                <w:rFonts w:ascii="Times New Roman" w:eastAsia="Times New Roman" w:hAnsi="Times New Roman" w:cs="Times New Roman"/>
                <w:sz w:val="16"/>
                <w:szCs w:val="16"/>
                <w:lang w:eastAsia="mk-MK"/>
              </w:rPr>
            </w:pPr>
            <w:r w:rsidRPr="00194389">
              <w:rPr>
                <w:rFonts w:ascii="StobiSerif Regular" w:eastAsia="Times New Roman" w:hAnsi="StobiSerif Regular" w:cs="Times New Roman"/>
                <w:sz w:val="16"/>
                <w:szCs w:val="16"/>
                <w:lang w:val="en-US" w:eastAsia="mk-MK"/>
              </w:rPr>
              <w:t xml:space="preserve">% </w:t>
            </w:r>
            <w:r w:rsidR="00156A6B">
              <w:rPr>
                <w:rFonts w:ascii="StobiSerif Regular" w:eastAsia="Times New Roman" w:hAnsi="StobiSerif Regular" w:cs="Times New Roman"/>
                <w:sz w:val="16"/>
                <w:szCs w:val="16"/>
                <w:lang w:eastAsia="mk-MK"/>
              </w:rPr>
              <w:t>споредено со достапен буџет</w:t>
            </w:r>
          </w:p>
        </w:tc>
      </w:tr>
      <w:tr w:rsidR="00194389" w:rsidRPr="00194389" w:rsidTr="00EE5E4C">
        <w:tc>
          <w:tcPr>
            <w:tcW w:w="2273" w:type="dxa"/>
            <w:tcBorders>
              <w:top w:val="single" w:sz="8" w:space="0" w:color="000080"/>
              <w:left w:val="single" w:sz="8" w:space="0" w:color="000080"/>
              <w:bottom w:val="single" w:sz="8" w:space="0" w:color="000080"/>
            </w:tcBorders>
            <w:shd w:val="clear" w:color="auto" w:fill="auto"/>
            <w:tcMar>
              <w:top w:w="0" w:type="dxa"/>
              <w:left w:w="9" w:type="dxa"/>
            </w:tcMar>
            <w:vAlign w:val="bottom"/>
          </w:tcPr>
          <w:p w:rsidR="00194389" w:rsidRPr="00194389" w:rsidRDefault="00194389" w:rsidP="00194389">
            <w:pPr>
              <w:spacing w:beforeAutospacing="1" w:after="0" w:line="240" w:lineRule="auto"/>
              <w:jc w:val="both"/>
              <w:rPr>
                <w:rFonts w:ascii="Times New Roman" w:eastAsia="Times New Roman" w:hAnsi="Times New Roman" w:cs="Times New Roman"/>
                <w:sz w:val="16"/>
                <w:szCs w:val="16"/>
                <w:lang w:eastAsia="mk-MK"/>
              </w:rPr>
            </w:pPr>
            <w:r w:rsidRPr="00194389">
              <w:rPr>
                <w:rFonts w:ascii="Times New Roman" w:eastAsia="Times New Roman" w:hAnsi="Times New Roman" w:cs="Times New Roman"/>
                <w:sz w:val="16"/>
                <w:szCs w:val="16"/>
                <w:lang w:eastAsia="mk-MK"/>
              </w:rPr>
              <w:t> </w:t>
            </w:r>
          </w:p>
        </w:tc>
        <w:tc>
          <w:tcPr>
            <w:tcW w:w="1640" w:type="dxa"/>
            <w:tcBorders>
              <w:top w:val="single" w:sz="8" w:space="0" w:color="000080"/>
              <w:left w:val="single" w:sz="8" w:space="0" w:color="000080"/>
              <w:bottom w:val="single" w:sz="8" w:space="0" w:color="000080"/>
            </w:tcBorders>
            <w:shd w:val="clear" w:color="auto" w:fill="BFBFBF"/>
            <w:tcMar>
              <w:top w:w="0" w:type="dxa"/>
              <w:left w:w="9" w:type="dxa"/>
            </w:tcMar>
            <w:vAlign w:val="center"/>
          </w:tcPr>
          <w:p w:rsidR="00194389" w:rsidRPr="00194389" w:rsidRDefault="00194389" w:rsidP="00194389">
            <w:pPr>
              <w:spacing w:beforeAutospacing="1" w:after="0" w:line="240" w:lineRule="auto"/>
              <w:jc w:val="both"/>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b/>
                <w:bCs/>
                <w:sz w:val="16"/>
                <w:szCs w:val="16"/>
                <w:lang w:val="en-US" w:eastAsia="mk-MK"/>
              </w:rPr>
              <w:t>IPA</w:t>
            </w:r>
          </w:p>
        </w:tc>
        <w:tc>
          <w:tcPr>
            <w:tcW w:w="1650" w:type="dxa"/>
            <w:tcBorders>
              <w:top w:val="single" w:sz="8" w:space="0" w:color="000080"/>
              <w:left w:val="single" w:sz="8" w:space="0" w:color="000080"/>
              <w:bottom w:val="single" w:sz="8" w:space="0" w:color="000080"/>
            </w:tcBorders>
            <w:shd w:val="clear" w:color="auto" w:fill="BFBFBF"/>
            <w:tcMar>
              <w:top w:w="0" w:type="dxa"/>
              <w:left w:w="9" w:type="dxa"/>
            </w:tcMar>
            <w:vAlign w:val="center"/>
          </w:tcPr>
          <w:p w:rsidR="00194389" w:rsidRPr="00156A6B" w:rsidRDefault="00156A6B" w:rsidP="00194389">
            <w:pPr>
              <w:spacing w:beforeAutospacing="1" w:after="0" w:line="240" w:lineRule="auto"/>
              <w:jc w:val="both"/>
              <w:rPr>
                <w:rFonts w:ascii="Times New Roman" w:eastAsia="Times New Roman" w:hAnsi="Times New Roman" w:cs="Times New Roman"/>
                <w:sz w:val="16"/>
                <w:szCs w:val="16"/>
                <w:lang w:eastAsia="mk-MK"/>
              </w:rPr>
            </w:pPr>
            <w:r>
              <w:rPr>
                <w:rFonts w:ascii="StobiSerif Regular" w:eastAsia="Times New Roman" w:hAnsi="StobiSerif Regular" w:cs="Times New Roman"/>
                <w:b/>
                <w:bCs/>
                <w:sz w:val="16"/>
                <w:szCs w:val="16"/>
                <w:lang w:eastAsia="mk-MK"/>
              </w:rPr>
              <w:t>Националне фонд</w:t>
            </w:r>
          </w:p>
        </w:tc>
        <w:tc>
          <w:tcPr>
            <w:tcW w:w="1649" w:type="dxa"/>
            <w:tcBorders>
              <w:top w:val="single" w:sz="8" w:space="0" w:color="000080"/>
              <w:left w:val="single" w:sz="8" w:space="0" w:color="000001"/>
              <w:bottom w:val="single" w:sz="8" w:space="0" w:color="000001"/>
            </w:tcBorders>
            <w:shd w:val="clear" w:color="auto" w:fill="BFBFBF"/>
            <w:tcMar>
              <w:top w:w="0" w:type="dxa"/>
              <w:left w:w="9" w:type="dxa"/>
            </w:tcMar>
            <w:vAlign w:val="center"/>
          </w:tcPr>
          <w:p w:rsidR="00194389" w:rsidRPr="00156A6B" w:rsidRDefault="00156A6B" w:rsidP="00194389">
            <w:pPr>
              <w:spacing w:beforeAutospacing="1" w:after="0" w:line="240" w:lineRule="auto"/>
              <w:jc w:val="both"/>
              <w:rPr>
                <w:rFonts w:ascii="Times New Roman" w:eastAsia="Times New Roman" w:hAnsi="Times New Roman" w:cs="Times New Roman"/>
                <w:sz w:val="16"/>
                <w:szCs w:val="16"/>
                <w:lang w:eastAsia="mk-MK"/>
              </w:rPr>
            </w:pPr>
            <w:r>
              <w:rPr>
                <w:rFonts w:ascii="StobiSerif Regular" w:eastAsia="Times New Roman" w:hAnsi="StobiSerif Regular" w:cs="Times New Roman"/>
                <w:b/>
                <w:bCs/>
                <w:sz w:val="16"/>
                <w:szCs w:val="16"/>
                <w:lang w:eastAsia="mk-MK"/>
              </w:rPr>
              <w:t>Вкупно</w:t>
            </w:r>
          </w:p>
        </w:tc>
        <w:tc>
          <w:tcPr>
            <w:tcW w:w="2219" w:type="dxa"/>
            <w:vMerge/>
            <w:tcBorders>
              <w:top w:val="single" w:sz="8" w:space="0" w:color="000080"/>
              <w:left w:val="single" w:sz="8" w:space="0" w:color="000080"/>
              <w:bottom w:val="single" w:sz="8" w:space="0" w:color="000080"/>
              <w:right w:val="single" w:sz="8" w:space="0" w:color="000001"/>
            </w:tcBorders>
            <w:shd w:val="clear" w:color="auto" w:fill="BFBFBF"/>
            <w:tcMar>
              <w:top w:w="30" w:type="dxa"/>
              <w:left w:w="10" w:type="dxa"/>
              <w:bottom w:w="30" w:type="dxa"/>
              <w:right w:w="30" w:type="dxa"/>
            </w:tcMar>
            <w:vAlign w:val="center"/>
          </w:tcPr>
          <w:p w:rsidR="00194389" w:rsidRPr="00194389" w:rsidRDefault="00194389" w:rsidP="00194389">
            <w:pPr>
              <w:spacing w:after="0" w:line="240" w:lineRule="auto"/>
              <w:jc w:val="both"/>
              <w:rPr>
                <w:rFonts w:ascii="Times New Roman" w:eastAsia="Times New Roman" w:hAnsi="Times New Roman" w:cs="Times New Roman"/>
                <w:sz w:val="16"/>
                <w:szCs w:val="16"/>
                <w:lang w:val="en-US" w:eastAsia="mk-MK"/>
              </w:rPr>
            </w:pPr>
          </w:p>
        </w:tc>
      </w:tr>
      <w:tr w:rsidR="00194389" w:rsidRPr="00194389" w:rsidTr="00EE5E4C">
        <w:tc>
          <w:tcPr>
            <w:tcW w:w="2273"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94389" w:rsidP="00194389">
            <w:pPr>
              <w:spacing w:beforeAutospacing="1" w:after="0" w:line="240" w:lineRule="auto"/>
              <w:jc w:val="both"/>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sz w:val="16"/>
                <w:szCs w:val="16"/>
                <w:lang w:val="en-US" w:eastAsia="mk-MK"/>
              </w:rPr>
              <w:t>Расположлив буџет (2007 – 2013)</w:t>
            </w:r>
          </w:p>
        </w:tc>
        <w:tc>
          <w:tcPr>
            <w:tcW w:w="1640"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sz w:val="16"/>
                <w:szCs w:val="16"/>
                <w:lang w:val="en-US" w:eastAsia="mk-MK"/>
              </w:rPr>
              <w:t>67.649.341,00</w:t>
            </w:r>
          </w:p>
        </w:tc>
        <w:tc>
          <w:tcPr>
            <w:tcW w:w="1650"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sz w:val="16"/>
                <w:szCs w:val="16"/>
                <w:lang w:val="en-US" w:eastAsia="mk-MK"/>
              </w:rPr>
              <w:t>22.549.780,33</w:t>
            </w:r>
          </w:p>
        </w:tc>
        <w:tc>
          <w:tcPr>
            <w:tcW w:w="1649"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sz w:val="16"/>
                <w:szCs w:val="16"/>
                <w:lang w:val="en-US" w:eastAsia="mk-MK"/>
              </w:rPr>
              <w:t>90.199.121,33</w:t>
            </w:r>
          </w:p>
        </w:tc>
        <w:tc>
          <w:tcPr>
            <w:tcW w:w="2219" w:type="dxa"/>
            <w:tcBorders>
              <w:top w:val="single" w:sz="8" w:space="0" w:color="000080"/>
              <w:left w:val="single" w:sz="8" w:space="0" w:color="000080"/>
              <w:bottom w:val="single" w:sz="8" w:space="0" w:color="000080"/>
              <w:right w:val="single" w:sz="8" w:space="0" w:color="000080"/>
            </w:tcBorders>
            <w:shd w:val="clear" w:color="auto" w:fill="auto"/>
            <w:tcMar>
              <w:top w:w="0" w:type="dxa"/>
              <w:left w:w="9" w:type="dxa"/>
              <w:right w:w="2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16"/>
                <w:szCs w:val="16"/>
                <w:lang w:eastAsia="mk-MK"/>
              </w:rPr>
            </w:pPr>
          </w:p>
        </w:tc>
      </w:tr>
      <w:tr w:rsidR="00194389" w:rsidRPr="00194389" w:rsidTr="00EE5E4C">
        <w:tc>
          <w:tcPr>
            <w:tcW w:w="2273"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94389" w:rsidP="00194389">
            <w:pPr>
              <w:spacing w:beforeAutospacing="1" w:after="0" w:line="240" w:lineRule="auto"/>
              <w:jc w:val="both"/>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sz w:val="16"/>
                <w:szCs w:val="16"/>
                <w:lang w:val="en-US" w:eastAsia="mk-MK"/>
              </w:rPr>
              <w:t>Договорен буџет</w:t>
            </w:r>
          </w:p>
        </w:tc>
        <w:tc>
          <w:tcPr>
            <w:tcW w:w="1640"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sz w:val="16"/>
                <w:szCs w:val="16"/>
                <w:lang w:val="en-US" w:eastAsia="mk-MK"/>
              </w:rPr>
              <w:t>15.303.431,83</w:t>
            </w:r>
          </w:p>
        </w:tc>
        <w:tc>
          <w:tcPr>
            <w:tcW w:w="1650"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sz w:val="16"/>
                <w:szCs w:val="16"/>
                <w:lang w:val="en-US" w:eastAsia="mk-MK"/>
              </w:rPr>
              <w:t>6.077.308,62</w:t>
            </w:r>
          </w:p>
        </w:tc>
        <w:tc>
          <w:tcPr>
            <w:tcW w:w="1649"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color w:val="000000"/>
                <w:sz w:val="16"/>
                <w:szCs w:val="16"/>
                <w:lang w:val="en-US" w:eastAsia="mk-MK"/>
              </w:rPr>
              <w:t>25,223,577,45</w:t>
            </w:r>
          </w:p>
        </w:tc>
        <w:tc>
          <w:tcPr>
            <w:tcW w:w="2219" w:type="dxa"/>
            <w:tcBorders>
              <w:top w:val="single" w:sz="8" w:space="0" w:color="000080"/>
              <w:left w:val="single" w:sz="8" w:space="0" w:color="000080"/>
              <w:bottom w:val="single" w:sz="8" w:space="0" w:color="000080"/>
              <w:right w:val="single" w:sz="8" w:space="0" w:color="000080"/>
            </w:tcBorders>
            <w:shd w:val="clear" w:color="auto" w:fill="auto"/>
            <w:tcMar>
              <w:top w:w="0" w:type="dxa"/>
              <w:left w:w="9" w:type="dxa"/>
              <w:right w:w="2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color w:val="000000"/>
                <w:sz w:val="16"/>
                <w:szCs w:val="16"/>
                <w:lang w:val="en-US" w:eastAsia="mk-MK"/>
              </w:rPr>
              <w:t>22.62%</w:t>
            </w:r>
          </w:p>
        </w:tc>
      </w:tr>
      <w:tr w:rsidR="00194389" w:rsidRPr="00194389" w:rsidTr="00EE5E4C">
        <w:tc>
          <w:tcPr>
            <w:tcW w:w="2273"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94389" w:rsidP="00194389">
            <w:pPr>
              <w:spacing w:beforeAutospacing="1" w:after="0" w:line="240" w:lineRule="auto"/>
              <w:jc w:val="both"/>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sz w:val="16"/>
                <w:szCs w:val="16"/>
                <w:lang w:val="en-US" w:eastAsia="mk-MK"/>
              </w:rPr>
              <w:t>Вкупниот износ на извршените плаќања (2011 - 2016)</w:t>
            </w:r>
          </w:p>
        </w:tc>
        <w:tc>
          <w:tcPr>
            <w:tcW w:w="1640"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359FE" w:rsidP="00194389">
            <w:pPr>
              <w:spacing w:beforeAutospacing="1" w:after="0" w:line="240" w:lineRule="auto"/>
              <w:jc w:val="center"/>
              <w:rPr>
                <w:rFonts w:ascii="Times New Roman" w:eastAsia="Times New Roman" w:hAnsi="Times New Roman" w:cs="Times New Roman"/>
                <w:sz w:val="16"/>
                <w:szCs w:val="16"/>
                <w:lang w:val="en-US" w:eastAsia="mk-MK"/>
              </w:rPr>
            </w:pPr>
            <w:r>
              <w:rPr>
                <w:rFonts w:ascii="StobiSerif Regular" w:eastAsia="Times New Roman" w:hAnsi="StobiSerif Regular" w:cs="Times New Roman"/>
                <w:color w:val="000000"/>
                <w:sz w:val="16"/>
                <w:szCs w:val="16"/>
                <w:lang w:val="en-US" w:eastAsia="mk-MK"/>
              </w:rPr>
              <w:t>7</w:t>
            </w:r>
            <w:r>
              <w:rPr>
                <w:rFonts w:ascii="StobiSerif Regular" w:eastAsia="Times New Roman" w:hAnsi="StobiSerif Regular" w:cs="Times New Roman"/>
                <w:color w:val="000000"/>
                <w:sz w:val="16"/>
                <w:szCs w:val="16"/>
                <w:lang w:eastAsia="mk-MK"/>
              </w:rPr>
              <w:t>.</w:t>
            </w:r>
            <w:r>
              <w:rPr>
                <w:rFonts w:ascii="StobiSerif Regular" w:eastAsia="Times New Roman" w:hAnsi="StobiSerif Regular" w:cs="Times New Roman"/>
                <w:color w:val="000000"/>
                <w:sz w:val="16"/>
                <w:szCs w:val="16"/>
                <w:lang w:val="en-US" w:eastAsia="mk-MK"/>
              </w:rPr>
              <w:t>957</w:t>
            </w:r>
            <w:r>
              <w:rPr>
                <w:rFonts w:ascii="StobiSerif Regular" w:eastAsia="Times New Roman" w:hAnsi="StobiSerif Regular" w:cs="Times New Roman"/>
                <w:color w:val="000000"/>
                <w:sz w:val="16"/>
                <w:szCs w:val="16"/>
                <w:lang w:eastAsia="mk-MK"/>
              </w:rPr>
              <w:t>.</w:t>
            </w:r>
            <w:r w:rsidR="00194389" w:rsidRPr="00194389">
              <w:rPr>
                <w:rFonts w:ascii="StobiSerif Regular" w:eastAsia="Times New Roman" w:hAnsi="StobiSerif Regular" w:cs="Times New Roman"/>
                <w:color w:val="000000"/>
                <w:sz w:val="16"/>
                <w:szCs w:val="16"/>
                <w:lang w:val="en-US" w:eastAsia="mk-MK"/>
              </w:rPr>
              <w:t>463.96</w:t>
            </w:r>
          </w:p>
        </w:tc>
        <w:tc>
          <w:tcPr>
            <w:tcW w:w="1650"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359FE" w:rsidP="00194389">
            <w:pPr>
              <w:spacing w:beforeAutospacing="1" w:after="0" w:line="240" w:lineRule="auto"/>
              <w:jc w:val="center"/>
              <w:rPr>
                <w:rFonts w:ascii="Times New Roman" w:eastAsia="Times New Roman" w:hAnsi="Times New Roman" w:cs="Times New Roman"/>
                <w:sz w:val="16"/>
                <w:szCs w:val="16"/>
                <w:lang w:val="en-US" w:eastAsia="mk-MK"/>
              </w:rPr>
            </w:pPr>
            <w:r>
              <w:rPr>
                <w:rFonts w:ascii="StobiSerif Regular" w:eastAsia="Times New Roman" w:hAnsi="StobiSerif Regular" w:cs="Times New Roman"/>
                <w:sz w:val="16"/>
                <w:szCs w:val="16"/>
                <w:lang w:val="en-US" w:eastAsia="mk-MK"/>
              </w:rPr>
              <w:t>2</w:t>
            </w:r>
            <w:r>
              <w:rPr>
                <w:rFonts w:ascii="StobiSerif Regular" w:eastAsia="Times New Roman" w:hAnsi="StobiSerif Regular" w:cs="Times New Roman"/>
                <w:sz w:val="16"/>
                <w:szCs w:val="16"/>
                <w:lang w:eastAsia="mk-MK"/>
              </w:rPr>
              <w:t>.</w:t>
            </w:r>
            <w:r>
              <w:rPr>
                <w:rFonts w:ascii="StobiSerif Regular" w:eastAsia="Times New Roman" w:hAnsi="StobiSerif Regular" w:cs="Times New Roman"/>
                <w:sz w:val="16"/>
                <w:szCs w:val="16"/>
                <w:lang w:val="en-US" w:eastAsia="mk-MK"/>
              </w:rPr>
              <w:t>565</w:t>
            </w:r>
            <w:r>
              <w:rPr>
                <w:rFonts w:ascii="StobiSerif Regular" w:eastAsia="Times New Roman" w:hAnsi="StobiSerif Regular" w:cs="Times New Roman"/>
                <w:sz w:val="16"/>
                <w:szCs w:val="16"/>
                <w:lang w:eastAsia="mk-MK"/>
              </w:rPr>
              <w:t>.</w:t>
            </w:r>
            <w:r w:rsidR="00194389" w:rsidRPr="00194389">
              <w:rPr>
                <w:rFonts w:ascii="StobiSerif Regular" w:eastAsia="Times New Roman" w:hAnsi="StobiSerif Regular" w:cs="Times New Roman"/>
                <w:sz w:val="16"/>
                <w:szCs w:val="16"/>
                <w:lang w:val="en-US" w:eastAsia="mk-MK"/>
              </w:rPr>
              <w:t>954.96</w:t>
            </w:r>
          </w:p>
        </w:tc>
        <w:tc>
          <w:tcPr>
            <w:tcW w:w="1649" w:type="dxa"/>
            <w:tcBorders>
              <w:top w:val="single" w:sz="8" w:space="0" w:color="000080"/>
              <w:left w:val="single" w:sz="8" w:space="0" w:color="000080"/>
              <w:bottom w:val="single" w:sz="8" w:space="0" w:color="000080"/>
            </w:tcBorders>
            <w:shd w:val="clear" w:color="auto" w:fill="auto"/>
            <w:tcMar>
              <w:top w:w="0" w:type="dxa"/>
              <w:left w:w="9" w:type="dxa"/>
            </w:tcMar>
            <w:vAlign w:val="center"/>
          </w:tcPr>
          <w:p w:rsidR="00194389" w:rsidRPr="00194389" w:rsidRDefault="001359FE" w:rsidP="00194389">
            <w:pPr>
              <w:spacing w:beforeAutospacing="1" w:after="0" w:line="240" w:lineRule="auto"/>
              <w:jc w:val="center"/>
              <w:rPr>
                <w:rFonts w:ascii="Times New Roman" w:eastAsia="Times New Roman" w:hAnsi="Times New Roman" w:cs="Times New Roman"/>
                <w:sz w:val="16"/>
                <w:szCs w:val="16"/>
                <w:lang w:val="en-US" w:eastAsia="mk-MK"/>
              </w:rPr>
            </w:pPr>
            <w:r>
              <w:rPr>
                <w:rFonts w:ascii="StobiSerif Regular" w:eastAsia="Times New Roman" w:hAnsi="StobiSerif Regular" w:cs="Times New Roman"/>
                <w:color w:val="000000"/>
                <w:sz w:val="16"/>
                <w:szCs w:val="16"/>
                <w:lang w:val="en-US" w:eastAsia="mk-MK"/>
              </w:rPr>
              <w:t>10</w:t>
            </w:r>
            <w:r>
              <w:rPr>
                <w:rFonts w:ascii="StobiSerif Regular" w:eastAsia="Times New Roman" w:hAnsi="StobiSerif Regular" w:cs="Times New Roman"/>
                <w:color w:val="000000"/>
                <w:sz w:val="16"/>
                <w:szCs w:val="16"/>
                <w:lang w:eastAsia="mk-MK"/>
              </w:rPr>
              <w:t>.</w:t>
            </w:r>
            <w:r>
              <w:rPr>
                <w:rFonts w:ascii="StobiSerif Regular" w:eastAsia="Times New Roman" w:hAnsi="StobiSerif Regular" w:cs="Times New Roman"/>
                <w:color w:val="000000"/>
                <w:sz w:val="16"/>
                <w:szCs w:val="16"/>
                <w:lang w:val="en-US" w:eastAsia="mk-MK"/>
              </w:rPr>
              <w:t>523</w:t>
            </w:r>
            <w:r>
              <w:rPr>
                <w:rFonts w:ascii="StobiSerif Regular" w:eastAsia="Times New Roman" w:hAnsi="StobiSerif Regular" w:cs="Times New Roman"/>
                <w:color w:val="000000"/>
                <w:sz w:val="16"/>
                <w:szCs w:val="16"/>
                <w:lang w:eastAsia="mk-MK"/>
              </w:rPr>
              <w:t>.</w:t>
            </w:r>
            <w:r w:rsidR="00194389" w:rsidRPr="00194389">
              <w:rPr>
                <w:rFonts w:ascii="StobiSerif Regular" w:eastAsia="Times New Roman" w:hAnsi="StobiSerif Regular" w:cs="Times New Roman"/>
                <w:color w:val="000000"/>
                <w:sz w:val="16"/>
                <w:szCs w:val="16"/>
                <w:lang w:val="en-US" w:eastAsia="mk-MK"/>
              </w:rPr>
              <w:t>418.92</w:t>
            </w:r>
          </w:p>
        </w:tc>
        <w:tc>
          <w:tcPr>
            <w:tcW w:w="2219" w:type="dxa"/>
            <w:tcBorders>
              <w:top w:val="single" w:sz="8" w:space="0" w:color="000080"/>
              <w:left w:val="single" w:sz="8" w:space="0" w:color="000080"/>
              <w:bottom w:val="single" w:sz="8" w:space="0" w:color="000080"/>
              <w:right w:val="single" w:sz="8" w:space="0" w:color="000080"/>
            </w:tcBorders>
            <w:shd w:val="clear" w:color="auto" w:fill="auto"/>
            <w:tcMar>
              <w:top w:w="0" w:type="dxa"/>
              <w:left w:w="9" w:type="dxa"/>
              <w:right w:w="29" w:type="dxa"/>
            </w:tcMar>
            <w:vAlign w:val="center"/>
          </w:tcPr>
          <w:p w:rsidR="00194389" w:rsidRPr="00194389" w:rsidRDefault="00194389" w:rsidP="00194389">
            <w:pPr>
              <w:spacing w:beforeAutospacing="1" w:after="0" w:line="240" w:lineRule="auto"/>
              <w:jc w:val="center"/>
              <w:rPr>
                <w:rFonts w:ascii="Times New Roman" w:eastAsia="Times New Roman" w:hAnsi="Times New Roman" w:cs="Times New Roman"/>
                <w:sz w:val="16"/>
                <w:szCs w:val="16"/>
                <w:lang w:val="en-US" w:eastAsia="mk-MK"/>
              </w:rPr>
            </w:pPr>
            <w:r w:rsidRPr="00194389">
              <w:rPr>
                <w:rFonts w:ascii="StobiSerif Regular" w:eastAsia="Times New Roman" w:hAnsi="StobiSerif Regular" w:cs="Times New Roman"/>
                <w:color w:val="000000"/>
                <w:sz w:val="16"/>
                <w:szCs w:val="16"/>
                <w:lang w:val="en-US" w:eastAsia="mk-MK"/>
              </w:rPr>
              <w:t>11.76%</w:t>
            </w:r>
          </w:p>
        </w:tc>
      </w:tr>
    </w:tbl>
    <w:p w:rsidR="00194389" w:rsidRPr="00194389" w:rsidRDefault="00194389" w:rsidP="00194389">
      <w:pPr>
        <w:spacing w:after="120" w:line="240" w:lineRule="auto"/>
        <w:jc w:val="both"/>
        <w:rPr>
          <w:rFonts w:ascii="StobiSerif Regular" w:eastAsia="Times New Roman" w:hAnsi="StobiSerif Regular" w:cs="Times New Roman"/>
          <w:bCs/>
          <w:color w:val="000000"/>
          <w:sz w:val="16"/>
          <w:szCs w:val="16"/>
          <w:lang w:val="en-US" w:eastAsia="mk-MK"/>
        </w:rPr>
      </w:pPr>
      <w:r w:rsidRPr="00194389">
        <w:rPr>
          <w:rFonts w:ascii="StobiSerif Regular" w:eastAsia="Times New Roman" w:hAnsi="StobiSerif Regular" w:cs="Times New Roman"/>
          <w:bCs/>
          <w:color w:val="000000"/>
          <w:sz w:val="16"/>
          <w:szCs w:val="16"/>
          <w:lang w:val="en-US" w:eastAsia="mk-MK"/>
        </w:rPr>
        <w:t>Извор: НАО</w:t>
      </w:r>
    </w:p>
    <w:p w:rsidR="00194389" w:rsidRPr="00194389" w:rsidRDefault="005404C9" w:rsidP="00194389">
      <w:pPr>
        <w:spacing w:before="120" w:after="120" w:line="240" w:lineRule="auto"/>
        <w:jc w:val="both"/>
        <w:rPr>
          <w:rFonts w:ascii="StobiSerif Regular" w:eastAsia="Times New Roman" w:hAnsi="StobiSerif Regular"/>
          <w:lang w:val="en-US" w:eastAsia="mk-MK"/>
        </w:rPr>
      </w:pPr>
      <w:r w:rsidRPr="005404C9">
        <w:rPr>
          <w:rFonts w:ascii="StobiSerif Regular" w:eastAsia="Times New Roman" w:hAnsi="StobiSerif Regular"/>
          <w:lang w:val="en-US" w:eastAsia="mk-MK"/>
        </w:rPr>
        <w:t xml:space="preserve">НАО испрати четири </w:t>
      </w:r>
      <w:r>
        <w:rPr>
          <w:rFonts w:ascii="StobiSerif Regular" w:eastAsia="Times New Roman" w:hAnsi="StobiSerif Regular"/>
          <w:lang w:eastAsia="mk-MK"/>
        </w:rPr>
        <w:t>Изјави за трошоци,</w:t>
      </w:r>
      <w:r w:rsidRPr="005404C9">
        <w:rPr>
          <w:rFonts w:ascii="StobiSerif Regular" w:eastAsia="Times New Roman" w:hAnsi="StobiSerif Regular"/>
          <w:lang w:val="en-US" w:eastAsia="mk-MK"/>
        </w:rPr>
        <w:t xml:space="preserve"> кои служат како барања за исплата за настанатите трошоци и приходи остварени во текот на 2016 година. Барањата за исплата беа поднесени со следниве рокови и износи:</w:t>
      </w:r>
    </w:p>
    <w:tbl>
      <w:tblPr>
        <w:tblW w:w="10035" w:type="dxa"/>
        <w:tblBorders>
          <w:top w:val="single" w:sz="8" w:space="0" w:color="000001"/>
          <w:left w:val="single" w:sz="8" w:space="0" w:color="000001"/>
          <w:bottom w:val="single" w:sz="8" w:space="0" w:color="000001"/>
          <w:insideH w:val="single" w:sz="8" w:space="0" w:color="000001"/>
        </w:tblBorders>
        <w:tblLayout w:type="fixed"/>
        <w:tblCellMar>
          <w:top w:w="29" w:type="dxa"/>
          <w:left w:w="9" w:type="dxa"/>
          <w:bottom w:w="29" w:type="dxa"/>
          <w:right w:w="0" w:type="dxa"/>
        </w:tblCellMar>
        <w:tblLook w:val="04A0" w:firstRow="1" w:lastRow="0" w:firstColumn="1" w:lastColumn="0" w:noHBand="0" w:noVBand="1"/>
      </w:tblPr>
      <w:tblGrid>
        <w:gridCol w:w="879"/>
        <w:gridCol w:w="1382"/>
        <w:gridCol w:w="1678"/>
        <w:gridCol w:w="1675"/>
        <w:gridCol w:w="1471"/>
        <w:gridCol w:w="1189"/>
        <w:gridCol w:w="1761"/>
      </w:tblGrid>
      <w:tr w:rsidR="00194389" w:rsidRPr="00194389" w:rsidTr="00EE5E4C">
        <w:tc>
          <w:tcPr>
            <w:tcW w:w="879" w:type="dxa"/>
            <w:vMerge w:val="restart"/>
            <w:tcBorders>
              <w:top w:val="single" w:sz="8" w:space="0" w:color="000001"/>
              <w:left w:val="single" w:sz="8" w:space="0" w:color="000001"/>
              <w:bottom w:val="single" w:sz="8" w:space="0" w:color="000001"/>
            </w:tcBorders>
            <w:shd w:val="clear" w:color="auto" w:fill="BFBFBF"/>
            <w:tcMar>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b/>
                <w:bCs/>
                <w:sz w:val="16"/>
                <w:szCs w:val="16"/>
                <w:lang w:val="en-US" w:eastAsia="mk-MK"/>
              </w:rPr>
              <w:t>Изјава за трошоците</w:t>
            </w:r>
          </w:p>
        </w:tc>
        <w:tc>
          <w:tcPr>
            <w:tcW w:w="1382" w:type="dxa"/>
            <w:vMerge w:val="restart"/>
            <w:tcBorders>
              <w:top w:val="single" w:sz="8" w:space="0" w:color="000001"/>
              <w:left w:val="single" w:sz="8" w:space="0" w:color="000001"/>
              <w:bottom w:val="single" w:sz="8" w:space="0" w:color="000001"/>
            </w:tcBorders>
            <w:shd w:val="clear" w:color="auto" w:fill="BFBFBF"/>
            <w:tcMar>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b/>
                <w:bCs/>
                <w:sz w:val="16"/>
                <w:szCs w:val="16"/>
                <w:lang w:val="en-US" w:eastAsia="mk-MK"/>
              </w:rPr>
              <w:t xml:space="preserve">Датум на испраќање </w:t>
            </w:r>
            <w:r w:rsidRPr="00194389">
              <w:rPr>
                <w:rFonts w:ascii="StobiSerif Regular" w:eastAsia="Times New Roman" w:hAnsi="StobiSerif Regular" w:cs="Times New Roman"/>
                <w:b/>
                <w:bCs/>
                <w:sz w:val="16"/>
                <w:szCs w:val="16"/>
                <w:lang w:eastAsia="mk-MK"/>
              </w:rPr>
              <w:t>на Изјавата</w:t>
            </w:r>
            <w:r w:rsidRPr="00194389">
              <w:rPr>
                <w:rFonts w:ascii="StobiSerif Regular" w:eastAsia="Times New Roman" w:hAnsi="StobiSerif Regular" w:cs="Times New Roman"/>
                <w:b/>
                <w:bCs/>
                <w:sz w:val="16"/>
                <w:szCs w:val="16"/>
                <w:lang w:val="en-US" w:eastAsia="mk-MK"/>
              </w:rPr>
              <w:t xml:space="preserve"> на ЕК</w:t>
            </w:r>
          </w:p>
        </w:tc>
        <w:tc>
          <w:tcPr>
            <w:tcW w:w="3353" w:type="dxa"/>
            <w:gridSpan w:val="2"/>
            <w:tcBorders>
              <w:top w:val="single" w:sz="8" w:space="0" w:color="000001"/>
              <w:left w:val="single" w:sz="8" w:space="0" w:color="000001"/>
              <w:bottom w:val="single" w:sz="8" w:space="0" w:color="000001"/>
            </w:tcBorders>
            <w:shd w:val="clear" w:color="auto" w:fill="BFBFBF"/>
            <w:tcMar>
              <w:left w:w="9" w:type="dxa"/>
            </w:tcMar>
            <w:vAlign w:val="center"/>
          </w:tcPr>
          <w:p w:rsidR="00194389" w:rsidRPr="001359FE" w:rsidRDefault="001359FE" w:rsidP="00194389">
            <w:pPr>
              <w:spacing w:beforeAutospacing="1" w:after="0" w:line="240" w:lineRule="auto"/>
              <w:jc w:val="center"/>
              <w:rPr>
                <w:rFonts w:ascii="StobiSerif Regular" w:eastAsia="Times New Roman" w:hAnsi="StobiSerif Regular" w:cs="Times New Roman"/>
                <w:sz w:val="16"/>
                <w:szCs w:val="16"/>
                <w:lang w:eastAsia="mk-MK"/>
              </w:rPr>
            </w:pPr>
            <w:r>
              <w:rPr>
                <w:rFonts w:ascii="StobiSerif Regular" w:eastAsia="Times New Roman" w:hAnsi="StobiSerif Regular" w:cs="Times New Roman"/>
                <w:b/>
                <w:bCs/>
                <w:sz w:val="16"/>
                <w:szCs w:val="16"/>
                <w:lang w:eastAsia="mk-MK"/>
              </w:rPr>
              <w:t>Исплата на средства во евра</w:t>
            </w:r>
          </w:p>
        </w:tc>
        <w:tc>
          <w:tcPr>
            <w:tcW w:w="2660" w:type="dxa"/>
            <w:gridSpan w:val="2"/>
            <w:tcBorders>
              <w:top w:val="single" w:sz="8" w:space="0" w:color="000001"/>
              <w:left w:val="single" w:sz="8" w:space="0" w:color="000001"/>
              <w:bottom w:val="single" w:sz="8" w:space="0" w:color="000001"/>
            </w:tcBorders>
            <w:shd w:val="clear" w:color="auto" w:fill="BFBFBF"/>
            <w:tcMar>
              <w:left w:w="9" w:type="dxa"/>
            </w:tcMar>
            <w:vAlign w:val="center"/>
          </w:tcPr>
          <w:p w:rsidR="00194389" w:rsidRPr="00194389" w:rsidRDefault="001359FE" w:rsidP="001359FE">
            <w:pPr>
              <w:spacing w:beforeAutospacing="1" w:after="0" w:line="240" w:lineRule="auto"/>
              <w:jc w:val="center"/>
              <w:rPr>
                <w:rFonts w:ascii="StobiSerif Regular" w:eastAsia="Times New Roman" w:hAnsi="StobiSerif Regular" w:cs="Times New Roman"/>
                <w:sz w:val="16"/>
                <w:szCs w:val="16"/>
                <w:lang w:val="en-US" w:eastAsia="mk-MK"/>
              </w:rPr>
            </w:pPr>
            <w:r>
              <w:rPr>
                <w:rFonts w:ascii="StobiSerif Regular" w:eastAsia="Times New Roman" w:hAnsi="StobiSerif Regular" w:cs="Times New Roman"/>
                <w:b/>
                <w:bCs/>
                <w:sz w:val="16"/>
                <w:szCs w:val="16"/>
                <w:lang w:eastAsia="mk-MK"/>
              </w:rPr>
              <w:t>Поврат на средства во евра</w:t>
            </w:r>
          </w:p>
        </w:tc>
        <w:tc>
          <w:tcPr>
            <w:tcW w:w="1761" w:type="dxa"/>
            <w:vMerge w:val="restart"/>
            <w:tcBorders>
              <w:top w:val="single" w:sz="8" w:space="0" w:color="000001"/>
              <w:left w:val="single" w:sz="8" w:space="0" w:color="000001"/>
              <w:bottom w:val="single" w:sz="8" w:space="0" w:color="000001"/>
              <w:right w:val="single" w:sz="8" w:space="0" w:color="000001"/>
            </w:tcBorders>
            <w:shd w:val="clear" w:color="auto" w:fill="BFBFBF"/>
            <w:tcMar>
              <w:left w:w="9" w:type="dxa"/>
              <w:right w:w="2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b/>
                <w:bCs/>
                <w:sz w:val="16"/>
                <w:szCs w:val="16"/>
                <w:lang w:eastAsia="mk-MK"/>
              </w:rPr>
              <w:t>Барање за исплата</w:t>
            </w:r>
            <w:r w:rsidRPr="00194389">
              <w:rPr>
                <w:rFonts w:ascii="StobiSerif Regular" w:eastAsia="Times New Roman" w:hAnsi="StobiSerif Regular" w:cs="Times New Roman"/>
                <w:b/>
                <w:bCs/>
                <w:sz w:val="16"/>
                <w:szCs w:val="16"/>
                <w:vertAlign w:val="superscript"/>
                <w:lang w:val="en-US" w:eastAsia="mk-MK"/>
              </w:rPr>
              <w:footnoteReference w:id="4"/>
            </w:r>
          </w:p>
        </w:tc>
      </w:tr>
      <w:tr w:rsidR="00194389" w:rsidRPr="00194389" w:rsidTr="00EE5E4C">
        <w:trPr>
          <w:trHeight w:val="781"/>
        </w:trPr>
        <w:tc>
          <w:tcPr>
            <w:tcW w:w="879" w:type="dxa"/>
            <w:vMerge/>
            <w:tcBorders>
              <w:top w:val="single" w:sz="8" w:space="0" w:color="000001"/>
              <w:left w:val="single" w:sz="8" w:space="0" w:color="000001"/>
              <w:bottom w:val="single" w:sz="8" w:space="0" w:color="000001"/>
            </w:tcBorders>
            <w:shd w:val="clear" w:color="auto" w:fill="auto"/>
            <w:vAlign w:val="center"/>
          </w:tcPr>
          <w:p w:rsidR="00194389" w:rsidRPr="00194389" w:rsidRDefault="00194389" w:rsidP="00194389">
            <w:pPr>
              <w:spacing w:after="0" w:line="240" w:lineRule="auto"/>
              <w:jc w:val="center"/>
              <w:rPr>
                <w:rFonts w:ascii="StobiSerif Regular" w:eastAsia="Times New Roman" w:hAnsi="StobiSerif Regular" w:cs="Times New Roman"/>
                <w:sz w:val="16"/>
                <w:szCs w:val="16"/>
                <w:lang w:val="en-US" w:eastAsia="mk-MK"/>
              </w:rPr>
            </w:pPr>
          </w:p>
        </w:tc>
        <w:tc>
          <w:tcPr>
            <w:tcW w:w="1382" w:type="dxa"/>
            <w:vMerge/>
            <w:tcBorders>
              <w:top w:val="single" w:sz="8" w:space="0" w:color="000001"/>
              <w:left w:val="single" w:sz="8" w:space="0" w:color="000001"/>
              <w:bottom w:val="single" w:sz="8" w:space="0" w:color="000001"/>
            </w:tcBorders>
            <w:shd w:val="clear" w:color="auto" w:fill="auto"/>
            <w:vAlign w:val="center"/>
          </w:tcPr>
          <w:p w:rsidR="00194389" w:rsidRPr="00194389" w:rsidRDefault="00194389" w:rsidP="00194389">
            <w:pPr>
              <w:spacing w:after="0" w:line="240" w:lineRule="auto"/>
              <w:jc w:val="center"/>
              <w:rPr>
                <w:rFonts w:ascii="StobiSerif Regular" w:eastAsia="Times New Roman" w:hAnsi="StobiSerif Regular" w:cs="Times New Roman"/>
                <w:sz w:val="16"/>
                <w:szCs w:val="16"/>
                <w:lang w:val="en-US" w:eastAsia="mk-MK"/>
              </w:rPr>
            </w:pPr>
          </w:p>
        </w:tc>
        <w:tc>
          <w:tcPr>
            <w:tcW w:w="1678" w:type="dxa"/>
            <w:tcBorders>
              <w:top w:val="single" w:sz="8" w:space="0" w:color="000001"/>
              <w:left w:val="single" w:sz="8" w:space="0" w:color="000001"/>
              <w:bottom w:val="single" w:sz="8" w:space="0" w:color="000001"/>
            </w:tcBorders>
            <w:shd w:val="clear" w:color="auto" w:fill="BFBFBF"/>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eastAsia="mk-MK"/>
              </w:rPr>
            </w:pPr>
            <w:r w:rsidRPr="00194389">
              <w:rPr>
                <w:rFonts w:ascii="StobiSerif Regular" w:eastAsia="Times New Roman" w:hAnsi="StobiSerif Regular" w:cs="Times New Roman"/>
                <w:b/>
                <w:bCs/>
                <w:sz w:val="16"/>
                <w:szCs w:val="16"/>
                <w:lang w:eastAsia="mk-MK"/>
              </w:rPr>
              <w:t>Јавни трошоци</w:t>
            </w:r>
          </w:p>
        </w:tc>
        <w:tc>
          <w:tcPr>
            <w:tcW w:w="1675" w:type="dxa"/>
            <w:tcBorders>
              <w:top w:val="single" w:sz="8" w:space="0" w:color="000001"/>
              <w:left w:val="single" w:sz="8" w:space="0" w:color="000001"/>
              <w:bottom w:val="single" w:sz="8" w:space="0" w:color="000001"/>
            </w:tcBorders>
            <w:shd w:val="clear" w:color="auto" w:fill="BFBFBF"/>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b/>
                <w:bCs/>
                <w:sz w:val="16"/>
                <w:szCs w:val="16"/>
                <w:lang w:val="en-US" w:eastAsia="mk-MK"/>
              </w:rPr>
              <w:t>IPARD</w:t>
            </w:r>
          </w:p>
        </w:tc>
        <w:tc>
          <w:tcPr>
            <w:tcW w:w="1471" w:type="dxa"/>
            <w:tcBorders>
              <w:top w:val="single" w:sz="8" w:space="0" w:color="000001"/>
              <w:left w:val="single" w:sz="8" w:space="0" w:color="000001"/>
              <w:bottom w:val="single" w:sz="8" w:space="0" w:color="000001"/>
            </w:tcBorders>
            <w:shd w:val="clear" w:color="auto" w:fill="BFBFBF"/>
            <w:tcMar>
              <w:top w:w="0" w:type="dxa"/>
              <w:left w:w="9" w:type="dxa"/>
              <w:bottom w:w="30" w:type="dxa"/>
              <w:right w:w="30"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b/>
                <w:bCs/>
                <w:sz w:val="16"/>
                <w:szCs w:val="16"/>
                <w:lang w:eastAsia="mk-MK"/>
              </w:rPr>
              <w:t>Јавни трошоци</w:t>
            </w:r>
          </w:p>
        </w:tc>
        <w:tc>
          <w:tcPr>
            <w:tcW w:w="1189" w:type="dxa"/>
            <w:tcBorders>
              <w:top w:val="single" w:sz="8" w:space="0" w:color="000001"/>
              <w:left w:val="single" w:sz="8" w:space="0" w:color="000001"/>
              <w:bottom w:val="single" w:sz="8" w:space="0" w:color="000001"/>
            </w:tcBorders>
            <w:shd w:val="clear" w:color="auto" w:fill="BFBFBF"/>
            <w:tcMar>
              <w:top w:w="30" w:type="dxa"/>
              <w:left w:w="10" w:type="dxa"/>
              <w:bottom w:w="30" w:type="dxa"/>
              <w:right w:w="30"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b/>
                <w:bCs/>
                <w:sz w:val="16"/>
                <w:szCs w:val="16"/>
                <w:lang w:val="en-US" w:eastAsia="mk-MK"/>
              </w:rPr>
              <w:t>IPARD</w:t>
            </w:r>
          </w:p>
        </w:tc>
        <w:tc>
          <w:tcPr>
            <w:tcW w:w="1761" w:type="dxa"/>
            <w:vMerge/>
            <w:tcBorders>
              <w:top w:val="single" w:sz="8" w:space="0" w:color="000001"/>
              <w:left w:val="single" w:sz="8" w:space="0" w:color="000001"/>
              <w:bottom w:val="single" w:sz="8" w:space="0" w:color="000001"/>
              <w:right w:val="single" w:sz="8" w:space="0" w:color="000001"/>
            </w:tcBorders>
            <w:shd w:val="clear" w:color="auto" w:fill="BFBFBF"/>
            <w:tcMar>
              <w:left w:w="10" w:type="dxa"/>
            </w:tcMar>
            <w:vAlign w:val="center"/>
          </w:tcPr>
          <w:p w:rsidR="00194389" w:rsidRPr="00194389" w:rsidRDefault="00194389" w:rsidP="00194389">
            <w:pPr>
              <w:spacing w:after="0" w:line="240" w:lineRule="auto"/>
              <w:jc w:val="center"/>
              <w:rPr>
                <w:rFonts w:ascii="StobiSerif Regular" w:eastAsia="Times New Roman" w:hAnsi="StobiSerif Regular" w:cs="Times New Roman"/>
                <w:sz w:val="16"/>
                <w:szCs w:val="16"/>
                <w:lang w:val="en-US" w:eastAsia="mk-MK"/>
              </w:rPr>
            </w:pPr>
          </w:p>
        </w:tc>
      </w:tr>
      <w:tr w:rsidR="00194389" w:rsidRPr="00194389" w:rsidTr="00EE5E4C">
        <w:trPr>
          <w:trHeight w:val="517"/>
        </w:trPr>
        <w:tc>
          <w:tcPr>
            <w:tcW w:w="879"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b/>
                <w:bCs/>
                <w:sz w:val="16"/>
                <w:szCs w:val="16"/>
                <w:lang w:val="en-US" w:eastAsia="mk-MK"/>
              </w:rPr>
              <w:t>Q1 2016</w:t>
            </w:r>
          </w:p>
        </w:tc>
        <w:tc>
          <w:tcPr>
            <w:tcW w:w="1382"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15.04.2016</w:t>
            </w:r>
          </w:p>
        </w:tc>
        <w:tc>
          <w:tcPr>
            <w:tcW w:w="1678"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662.158,24</w:t>
            </w:r>
          </w:p>
        </w:tc>
        <w:tc>
          <w:tcPr>
            <w:tcW w:w="1675"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496,618.68</w:t>
            </w:r>
          </w:p>
        </w:tc>
        <w:tc>
          <w:tcPr>
            <w:tcW w:w="1471"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500,76</w:t>
            </w:r>
          </w:p>
        </w:tc>
        <w:tc>
          <w:tcPr>
            <w:tcW w:w="1189"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375.57</w:t>
            </w:r>
          </w:p>
        </w:tc>
        <w:tc>
          <w:tcPr>
            <w:tcW w:w="1761" w:type="dxa"/>
            <w:tcBorders>
              <w:top w:val="single" w:sz="8" w:space="0" w:color="000001"/>
              <w:left w:val="single" w:sz="8" w:space="0" w:color="000001"/>
              <w:bottom w:val="single" w:sz="8" w:space="0" w:color="000001"/>
              <w:right w:val="single" w:sz="8" w:space="0" w:color="000001"/>
            </w:tcBorders>
            <w:shd w:val="clear" w:color="auto" w:fill="auto"/>
            <w:tcMar>
              <w:top w:w="0" w:type="dxa"/>
              <w:left w:w="9" w:type="dxa"/>
              <w:right w:w="2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496,243.12</w:t>
            </w:r>
          </w:p>
        </w:tc>
      </w:tr>
      <w:tr w:rsidR="00194389" w:rsidRPr="00194389" w:rsidTr="00EE5E4C">
        <w:trPr>
          <w:trHeight w:val="795"/>
        </w:trPr>
        <w:tc>
          <w:tcPr>
            <w:tcW w:w="879"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b/>
                <w:bCs/>
                <w:sz w:val="16"/>
                <w:szCs w:val="16"/>
                <w:lang w:val="en-US" w:eastAsia="mk-MK"/>
              </w:rPr>
              <w:t>Q2 2016</w:t>
            </w:r>
          </w:p>
        </w:tc>
        <w:tc>
          <w:tcPr>
            <w:tcW w:w="1382"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27.07.2016</w:t>
            </w:r>
          </w:p>
        </w:tc>
        <w:tc>
          <w:tcPr>
            <w:tcW w:w="1678"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1,823,570.63</w:t>
            </w:r>
          </w:p>
        </w:tc>
        <w:tc>
          <w:tcPr>
            <w:tcW w:w="1675"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sz w:val="16"/>
                <w:szCs w:val="16"/>
                <w:lang w:val="en-US" w:eastAsia="mk-MK"/>
              </w:rPr>
              <w:t>1,368,153.81</w:t>
            </w:r>
          </w:p>
        </w:tc>
        <w:tc>
          <w:tcPr>
            <w:tcW w:w="1471"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sz w:val="16"/>
                <w:szCs w:val="16"/>
                <w:lang w:val="en-US" w:eastAsia="mk-MK"/>
              </w:rPr>
              <w:t>95,220.73</w:t>
            </w:r>
          </w:p>
        </w:tc>
        <w:tc>
          <w:tcPr>
            <w:tcW w:w="1189"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sz w:val="16"/>
                <w:szCs w:val="16"/>
                <w:lang w:val="en-US" w:eastAsia="mk-MK"/>
              </w:rPr>
              <w:t>3,915.56</w:t>
            </w:r>
          </w:p>
        </w:tc>
        <w:tc>
          <w:tcPr>
            <w:tcW w:w="1761" w:type="dxa"/>
            <w:tcBorders>
              <w:top w:val="single" w:sz="8" w:space="0" w:color="000001"/>
              <w:left w:val="single" w:sz="8" w:space="0" w:color="000001"/>
              <w:bottom w:val="single" w:sz="8" w:space="0" w:color="000001"/>
              <w:right w:val="single" w:sz="8" w:space="0" w:color="000001"/>
            </w:tcBorders>
            <w:shd w:val="clear" w:color="auto" w:fill="auto"/>
            <w:tcMar>
              <w:top w:w="0" w:type="dxa"/>
              <w:left w:w="9" w:type="dxa"/>
              <w:right w:w="2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1,364,238.25</w:t>
            </w:r>
          </w:p>
        </w:tc>
      </w:tr>
      <w:tr w:rsidR="00194389" w:rsidRPr="00194389" w:rsidTr="00EE5E4C">
        <w:trPr>
          <w:trHeight w:val="807"/>
        </w:trPr>
        <w:tc>
          <w:tcPr>
            <w:tcW w:w="879"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b/>
                <w:bCs/>
                <w:sz w:val="16"/>
                <w:szCs w:val="16"/>
                <w:lang w:val="en-US" w:eastAsia="mk-MK"/>
              </w:rPr>
              <w:t>Q3 2016</w:t>
            </w:r>
          </w:p>
        </w:tc>
        <w:tc>
          <w:tcPr>
            <w:tcW w:w="1382"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31.10.2016</w:t>
            </w:r>
          </w:p>
        </w:tc>
        <w:tc>
          <w:tcPr>
            <w:tcW w:w="1678"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144,199.06</w:t>
            </w:r>
          </w:p>
        </w:tc>
        <w:tc>
          <w:tcPr>
            <w:tcW w:w="1675"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sz w:val="16"/>
                <w:szCs w:val="16"/>
                <w:lang w:val="en-US" w:eastAsia="mk-MK"/>
              </w:rPr>
              <w:t>110,435.06</w:t>
            </w:r>
          </w:p>
        </w:tc>
        <w:tc>
          <w:tcPr>
            <w:tcW w:w="1471"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0.00</w:t>
            </w:r>
          </w:p>
        </w:tc>
        <w:tc>
          <w:tcPr>
            <w:tcW w:w="1189"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0.00</w:t>
            </w:r>
          </w:p>
        </w:tc>
        <w:tc>
          <w:tcPr>
            <w:tcW w:w="1761" w:type="dxa"/>
            <w:tcBorders>
              <w:top w:val="single" w:sz="8" w:space="0" w:color="000001"/>
              <w:left w:val="single" w:sz="8" w:space="0" w:color="000001"/>
              <w:bottom w:val="single" w:sz="8" w:space="0" w:color="000001"/>
              <w:right w:val="single" w:sz="8" w:space="0" w:color="000001"/>
            </w:tcBorders>
            <w:shd w:val="clear" w:color="auto" w:fill="auto"/>
            <w:tcMar>
              <w:top w:w="0" w:type="dxa"/>
              <w:left w:w="9" w:type="dxa"/>
              <w:right w:w="2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110,435.06</w:t>
            </w:r>
          </w:p>
        </w:tc>
      </w:tr>
      <w:tr w:rsidR="00194389" w:rsidRPr="00194389" w:rsidTr="00EE5E4C">
        <w:trPr>
          <w:trHeight w:val="649"/>
        </w:trPr>
        <w:tc>
          <w:tcPr>
            <w:tcW w:w="879"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b/>
                <w:bCs/>
                <w:sz w:val="16"/>
                <w:szCs w:val="16"/>
                <w:lang w:val="en-US" w:eastAsia="mk-MK"/>
              </w:rPr>
              <w:t>Q4 2016</w:t>
            </w:r>
          </w:p>
        </w:tc>
        <w:tc>
          <w:tcPr>
            <w:tcW w:w="1382"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31.01.2017</w:t>
            </w:r>
          </w:p>
        </w:tc>
        <w:tc>
          <w:tcPr>
            <w:tcW w:w="1678"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1,487,511.94</w:t>
            </w:r>
          </w:p>
        </w:tc>
        <w:tc>
          <w:tcPr>
            <w:tcW w:w="1675"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sz w:val="16"/>
                <w:szCs w:val="16"/>
                <w:lang w:val="en-US" w:eastAsia="mk-MK"/>
              </w:rPr>
              <w:t>1,177,772.19</w:t>
            </w:r>
          </w:p>
        </w:tc>
        <w:tc>
          <w:tcPr>
            <w:tcW w:w="1471"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43,292.07</w:t>
            </w:r>
          </w:p>
        </w:tc>
        <w:tc>
          <w:tcPr>
            <w:tcW w:w="1189" w:type="dxa"/>
            <w:tcBorders>
              <w:top w:val="single" w:sz="8" w:space="0" w:color="000001"/>
              <w:left w:val="single" w:sz="8" w:space="0" w:color="000001"/>
              <w:bottom w:val="single" w:sz="8" w:space="0" w:color="000001"/>
            </w:tcBorders>
            <w:shd w:val="clear" w:color="auto" w:fill="auto"/>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32,469.05</w:t>
            </w:r>
          </w:p>
        </w:tc>
        <w:tc>
          <w:tcPr>
            <w:tcW w:w="1761" w:type="dxa"/>
            <w:tcBorders>
              <w:top w:val="single" w:sz="8" w:space="0" w:color="000001"/>
              <w:left w:val="single" w:sz="8" w:space="0" w:color="000001"/>
              <w:bottom w:val="single" w:sz="8" w:space="0" w:color="000001"/>
              <w:right w:val="single" w:sz="8" w:space="0" w:color="000001"/>
            </w:tcBorders>
            <w:shd w:val="clear" w:color="auto" w:fill="auto"/>
            <w:tcMar>
              <w:top w:w="0" w:type="dxa"/>
              <w:left w:w="9" w:type="dxa"/>
              <w:right w:w="2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sz w:val="16"/>
                <w:szCs w:val="16"/>
                <w:lang w:val="en-US" w:eastAsia="mk-MK"/>
              </w:rPr>
              <w:t>1,145,303.14</w:t>
            </w:r>
          </w:p>
        </w:tc>
      </w:tr>
      <w:tr w:rsidR="00194389" w:rsidRPr="00194389" w:rsidTr="00EE5E4C">
        <w:trPr>
          <w:trHeight w:val="781"/>
        </w:trPr>
        <w:tc>
          <w:tcPr>
            <w:tcW w:w="879" w:type="dxa"/>
            <w:tcBorders>
              <w:top w:val="single" w:sz="8" w:space="0" w:color="000001"/>
              <w:left w:val="single" w:sz="8" w:space="0" w:color="000001"/>
              <w:bottom w:val="single" w:sz="8" w:space="0" w:color="000001"/>
            </w:tcBorders>
            <w:shd w:val="clear" w:color="auto" w:fill="BFBFBF"/>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eastAsia="mk-MK"/>
              </w:rPr>
            </w:pPr>
            <w:r w:rsidRPr="00194389">
              <w:rPr>
                <w:rFonts w:ascii="StobiSerif Regular" w:eastAsia="Times New Roman" w:hAnsi="StobiSerif Regular" w:cs="Times New Roman"/>
                <w:b/>
                <w:bCs/>
                <w:sz w:val="16"/>
                <w:szCs w:val="16"/>
                <w:lang w:eastAsia="mk-MK"/>
              </w:rPr>
              <w:t>Вкупно</w:t>
            </w:r>
          </w:p>
        </w:tc>
        <w:tc>
          <w:tcPr>
            <w:tcW w:w="1382" w:type="dxa"/>
            <w:tcBorders>
              <w:top w:val="single" w:sz="8" w:space="0" w:color="000001"/>
              <w:left w:val="single" w:sz="8" w:space="0" w:color="000001"/>
              <w:bottom w:val="single" w:sz="8" w:space="0" w:color="000001"/>
            </w:tcBorders>
            <w:shd w:val="clear" w:color="auto" w:fill="BFBFBF"/>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eastAsia="mk-MK"/>
              </w:rPr>
            </w:pPr>
          </w:p>
        </w:tc>
        <w:tc>
          <w:tcPr>
            <w:tcW w:w="1678" w:type="dxa"/>
            <w:tcBorders>
              <w:top w:val="single" w:sz="8" w:space="0" w:color="000001"/>
              <w:left w:val="single" w:sz="8" w:space="0" w:color="000001"/>
              <w:bottom w:val="single" w:sz="8" w:space="0" w:color="000001"/>
            </w:tcBorders>
            <w:shd w:val="clear" w:color="auto" w:fill="BFBFBF"/>
            <w:tcMar>
              <w:top w:w="0" w:type="dxa"/>
              <w:left w:w="9" w:type="dxa"/>
            </w:tcMar>
            <w:vAlign w:val="center"/>
          </w:tcPr>
          <w:p w:rsidR="00194389" w:rsidRPr="00194389" w:rsidRDefault="00194389" w:rsidP="00194389">
            <w:pPr>
              <w:spacing w:beforeAutospacing="1" w:after="0" w:line="240" w:lineRule="auto"/>
              <w:jc w:val="center"/>
              <w:rPr>
                <w:rFonts w:ascii="StobiSerif Regular" w:eastAsia="Times New Roman" w:hAnsi="StobiSerif Regular" w:cs="Times New Roman"/>
                <w:sz w:val="16"/>
                <w:szCs w:val="16"/>
                <w:lang w:val="en-US" w:eastAsia="mk-MK"/>
              </w:rPr>
            </w:pPr>
            <w:r w:rsidRPr="00194389">
              <w:rPr>
                <w:rFonts w:ascii="StobiSerif Regular" w:eastAsia="Times New Roman" w:hAnsi="StobiSerif Regular" w:cs="Times New Roman"/>
                <w:b/>
                <w:bCs/>
                <w:sz w:val="16"/>
                <w:szCs w:val="16"/>
                <w:lang w:val="en-US" w:eastAsia="mk-MK"/>
              </w:rPr>
              <w:t>4,117,439.87</w:t>
            </w:r>
          </w:p>
        </w:tc>
        <w:tc>
          <w:tcPr>
            <w:tcW w:w="1675" w:type="dxa"/>
            <w:tcBorders>
              <w:top w:val="single" w:sz="8" w:space="0" w:color="000001"/>
              <w:left w:val="single" w:sz="8" w:space="0" w:color="000001"/>
              <w:bottom w:val="single" w:sz="8" w:space="0" w:color="000001"/>
            </w:tcBorders>
            <w:shd w:val="clear" w:color="auto" w:fill="BFBFBF"/>
            <w:tcMar>
              <w:top w:w="0" w:type="dxa"/>
              <w:left w:w="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b/>
                <w:bCs/>
                <w:sz w:val="16"/>
                <w:szCs w:val="16"/>
                <w:lang w:val="en-US" w:eastAsia="mk-MK"/>
              </w:rPr>
              <w:t>3,152,979.74</w:t>
            </w:r>
          </w:p>
        </w:tc>
        <w:tc>
          <w:tcPr>
            <w:tcW w:w="1471" w:type="dxa"/>
            <w:tcBorders>
              <w:top w:val="single" w:sz="8" w:space="0" w:color="000001"/>
              <w:left w:val="single" w:sz="8" w:space="0" w:color="000001"/>
              <w:bottom w:val="single" w:sz="8" w:space="0" w:color="000001"/>
            </w:tcBorders>
            <w:shd w:val="clear" w:color="auto" w:fill="BFBFBF"/>
            <w:tcMar>
              <w:top w:w="0" w:type="dxa"/>
              <w:left w:w="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b/>
                <w:bCs/>
                <w:sz w:val="16"/>
                <w:szCs w:val="16"/>
                <w:lang w:val="en-US" w:eastAsia="mk-MK"/>
              </w:rPr>
              <w:t>49,013.56</w:t>
            </w:r>
          </w:p>
        </w:tc>
        <w:tc>
          <w:tcPr>
            <w:tcW w:w="1189" w:type="dxa"/>
            <w:tcBorders>
              <w:top w:val="single" w:sz="8" w:space="0" w:color="000001"/>
              <w:left w:val="single" w:sz="8" w:space="0" w:color="000001"/>
              <w:bottom w:val="single" w:sz="8" w:space="0" w:color="000001"/>
            </w:tcBorders>
            <w:shd w:val="clear" w:color="auto" w:fill="BFBFBF"/>
            <w:tcMar>
              <w:top w:w="0" w:type="dxa"/>
              <w:left w:w="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b/>
                <w:bCs/>
                <w:sz w:val="16"/>
                <w:szCs w:val="16"/>
                <w:lang w:val="en-US" w:eastAsia="mk-MK"/>
              </w:rPr>
              <w:t>36,760,18</w:t>
            </w:r>
          </w:p>
        </w:tc>
        <w:tc>
          <w:tcPr>
            <w:tcW w:w="1761" w:type="dxa"/>
            <w:tcBorders>
              <w:top w:val="single" w:sz="8" w:space="0" w:color="000001"/>
              <w:left w:val="single" w:sz="8" w:space="0" w:color="000001"/>
              <w:bottom w:val="single" w:sz="8" w:space="0" w:color="000001"/>
              <w:right w:val="single" w:sz="8" w:space="0" w:color="000001"/>
            </w:tcBorders>
            <w:shd w:val="clear" w:color="auto" w:fill="BFBFBF"/>
            <w:tcMar>
              <w:top w:w="0" w:type="dxa"/>
              <w:left w:w="9" w:type="dxa"/>
              <w:right w:w="29" w:type="dxa"/>
            </w:tcMar>
            <w:vAlign w:val="center"/>
          </w:tcPr>
          <w:p w:rsidR="00194389" w:rsidRPr="00194389" w:rsidRDefault="00194389" w:rsidP="00194389">
            <w:pPr>
              <w:spacing w:beforeAutospacing="1" w:after="0" w:line="240" w:lineRule="auto"/>
              <w:jc w:val="center"/>
              <w:rPr>
                <w:rFonts w:ascii="StobiSerif Regular" w:eastAsia="Calibri" w:hAnsi="StobiSerif Regular" w:cs="Times New Roman"/>
                <w:sz w:val="16"/>
                <w:szCs w:val="16"/>
              </w:rPr>
            </w:pPr>
            <w:r w:rsidRPr="00194389">
              <w:rPr>
                <w:rFonts w:ascii="StobiSerif Regular" w:eastAsia="Times New Roman" w:hAnsi="StobiSerif Regular" w:cs="Times New Roman"/>
                <w:b/>
                <w:bCs/>
                <w:sz w:val="16"/>
                <w:szCs w:val="16"/>
                <w:lang w:val="en-US" w:eastAsia="mk-MK"/>
              </w:rPr>
              <w:t>3,116,219.57</w:t>
            </w:r>
          </w:p>
        </w:tc>
      </w:tr>
    </w:tbl>
    <w:p w:rsidR="00194389" w:rsidRPr="00194389" w:rsidRDefault="00194389" w:rsidP="00194389">
      <w:pPr>
        <w:spacing w:after="120" w:line="240" w:lineRule="auto"/>
        <w:jc w:val="both"/>
        <w:rPr>
          <w:rFonts w:ascii="StobiSerif Regular" w:eastAsia="Times New Roman" w:hAnsi="StobiSerif Regular" w:cs="Times New Roman"/>
          <w:bCs/>
          <w:color w:val="000000"/>
          <w:sz w:val="16"/>
          <w:szCs w:val="16"/>
          <w:lang w:val="en-US" w:eastAsia="mk-MK"/>
        </w:rPr>
      </w:pPr>
      <w:r w:rsidRPr="00194389">
        <w:rPr>
          <w:rFonts w:ascii="StobiSerif Regular" w:eastAsia="Times New Roman" w:hAnsi="StobiSerif Regular" w:cs="Times New Roman"/>
          <w:bCs/>
          <w:color w:val="000000"/>
          <w:sz w:val="16"/>
          <w:szCs w:val="16"/>
          <w:lang w:val="en-US" w:eastAsia="mk-MK"/>
        </w:rPr>
        <w:t>Извор: НАО</w:t>
      </w:r>
    </w:p>
    <w:p w:rsidR="00194389" w:rsidRPr="00194389" w:rsidRDefault="00194389" w:rsidP="00194389">
      <w:pPr>
        <w:spacing w:after="0" w:line="240" w:lineRule="auto"/>
        <w:ind w:firstLine="284"/>
        <w:jc w:val="both"/>
        <w:rPr>
          <w:rFonts w:ascii="StobiSerif Regular" w:eastAsia="Times New Roman" w:hAnsi="StobiSerif Regular" w:cs="Times New Roman"/>
          <w:lang w:val="en-US" w:eastAsia="mk-MK"/>
        </w:rPr>
      </w:pPr>
      <w:r w:rsidRPr="00194389">
        <w:rPr>
          <w:rFonts w:ascii="StobiSerif Regular" w:eastAsia="Times New Roman" w:hAnsi="StobiSerif Regular" w:cs="Times New Roman"/>
          <w:lang w:val="en-US" w:eastAsia="mk-MK"/>
        </w:rPr>
        <w:t xml:space="preserve">Во текот на 2016 година, Националниот фонд </w:t>
      </w:r>
      <w:r w:rsidR="00287CC9">
        <w:rPr>
          <w:rFonts w:ascii="StobiSerif Regular" w:eastAsia="Times New Roman" w:hAnsi="StobiSerif Regular" w:cs="Times New Roman"/>
          <w:lang w:eastAsia="mk-MK"/>
        </w:rPr>
        <w:t>пресмета</w:t>
      </w:r>
      <w:r w:rsidRPr="00194389">
        <w:rPr>
          <w:rFonts w:ascii="StobiSerif Regular" w:eastAsia="Times New Roman" w:hAnsi="StobiSerif Regular" w:cs="Times New Roman"/>
          <w:lang w:val="en-US" w:eastAsia="mk-MK"/>
        </w:rPr>
        <w:t xml:space="preserve"> </w:t>
      </w:r>
      <w:r w:rsidRPr="00194389">
        <w:rPr>
          <w:rFonts w:ascii="StobiSerif Regular" w:eastAsia="Times New Roman" w:hAnsi="StobiSerif Regular"/>
          <w:lang w:val="en-US" w:eastAsia="mk-MK"/>
        </w:rPr>
        <w:t xml:space="preserve">3.116.219, 57, </w:t>
      </w:r>
      <w:r w:rsidRPr="00194389">
        <w:rPr>
          <w:rFonts w:ascii="StobiSerif Regular" w:eastAsia="Times New Roman" w:hAnsi="StobiSerif Regular" w:cs="Times New Roman"/>
          <w:lang w:val="en-US" w:eastAsia="mk-MK"/>
        </w:rPr>
        <w:t xml:space="preserve">од кои </w:t>
      </w:r>
      <w:r w:rsidRPr="00194389">
        <w:rPr>
          <w:rFonts w:ascii="StobiSerif Regular" w:eastAsia="Times New Roman" w:hAnsi="StobiSerif Regular"/>
          <w:lang w:val="en-US" w:eastAsia="mk-MK"/>
        </w:rPr>
        <w:t xml:space="preserve">2.619.976, 45 </w:t>
      </w:r>
      <w:r w:rsidR="00287CC9">
        <w:rPr>
          <w:rFonts w:ascii="StobiSerif Regular" w:eastAsia="Times New Roman" w:hAnsi="StobiSerif Regular"/>
          <w:lang w:eastAsia="mk-MK"/>
        </w:rPr>
        <w:t>се</w:t>
      </w:r>
      <w:r w:rsidR="00287CC9" w:rsidRPr="00194389">
        <w:rPr>
          <w:rFonts w:ascii="StobiSerif Regular" w:eastAsia="Times New Roman" w:hAnsi="StobiSerif Regular" w:cs="Times New Roman"/>
          <w:lang w:val="en-US" w:eastAsia="mk-MK"/>
        </w:rPr>
        <w:t xml:space="preserve">уште </w:t>
      </w:r>
      <w:r w:rsidRPr="00194389">
        <w:rPr>
          <w:rFonts w:ascii="StobiSerif Regular" w:eastAsia="Times New Roman" w:hAnsi="StobiSerif Regular" w:cs="Times New Roman"/>
          <w:lang w:val="en-US" w:eastAsia="mk-MK"/>
        </w:rPr>
        <w:t xml:space="preserve">не </w:t>
      </w:r>
      <w:r w:rsidRPr="00194389">
        <w:rPr>
          <w:rFonts w:ascii="StobiSerif Regular" w:eastAsia="Times New Roman" w:hAnsi="StobiSerif Regular" w:cs="Times New Roman"/>
          <w:lang w:eastAsia="mk-MK"/>
        </w:rPr>
        <w:t>с</w:t>
      </w:r>
      <w:r w:rsidRPr="00194389">
        <w:rPr>
          <w:rFonts w:ascii="StobiSerif Regular" w:eastAsia="Times New Roman" w:hAnsi="StobiSerif Regular" w:cs="Times New Roman"/>
          <w:lang w:val="en-US" w:eastAsia="mk-MK"/>
        </w:rPr>
        <w:t xml:space="preserve">е </w:t>
      </w:r>
      <w:r w:rsidRPr="00194389">
        <w:rPr>
          <w:rFonts w:ascii="StobiSerif Regular" w:eastAsia="Times New Roman" w:hAnsi="StobiSerif Regular" w:cs="Times New Roman"/>
          <w:lang w:eastAsia="mk-MK"/>
        </w:rPr>
        <w:t>ис</w:t>
      </w:r>
      <w:r w:rsidRPr="00194389">
        <w:rPr>
          <w:rFonts w:ascii="StobiSerif Regular" w:eastAsia="Times New Roman" w:hAnsi="StobiSerif Regular" w:cs="Times New Roman"/>
          <w:lang w:val="en-US" w:eastAsia="mk-MK"/>
        </w:rPr>
        <w:t>платен</w:t>
      </w:r>
      <w:r w:rsidRPr="00194389">
        <w:rPr>
          <w:rFonts w:ascii="StobiSerif Regular" w:eastAsia="Times New Roman" w:hAnsi="StobiSerif Regular" w:cs="Times New Roman"/>
          <w:lang w:eastAsia="mk-MK"/>
        </w:rPr>
        <w:t>и</w:t>
      </w:r>
      <w:r w:rsidRPr="00194389">
        <w:rPr>
          <w:rFonts w:ascii="StobiSerif Regular" w:eastAsia="Times New Roman" w:hAnsi="StobiSerif Regular" w:cs="Times New Roman"/>
          <w:lang w:val="en-US" w:eastAsia="mk-MK"/>
        </w:rPr>
        <w:t xml:space="preserve"> од страна на ЕК.</w:t>
      </w:r>
    </w:p>
    <w:p w:rsidR="00194389" w:rsidRDefault="00194389" w:rsidP="00194389">
      <w:pPr>
        <w:spacing w:before="100" w:beforeAutospacing="1" w:after="288" w:line="240" w:lineRule="auto"/>
        <w:jc w:val="both"/>
        <w:rPr>
          <w:rFonts w:ascii="StobiSerif Regular" w:eastAsia="Times New Roman" w:hAnsi="StobiSerif Regular" w:cs="Times New Roman"/>
          <w:lang w:eastAsia="mk-MK"/>
        </w:rPr>
      </w:pPr>
      <w:r w:rsidRPr="00194389">
        <w:rPr>
          <w:rFonts w:ascii="StobiSerif Regular" w:eastAsia="Times New Roman" w:hAnsi="StobiSerif Regular" w:cs="Times New Roman"/>
          <w:lang w:val="en-US" w:eastAsia="mk-MK"/>
        </w:rPr>
        <w:t xml:space="preserve">Во текот на 2016 година, враќање на средствата од 4 (четири) Крајни корисници е направен во износ од 22,250.05 евра (камата) и 36,760.18 евра (ополномоштувачот) и средства биле префрлени </w:t>
      </w:r>
      <w:r w:rsidRPr="00194389">
        <w:rPr>
          <w:rFonts w:ascii="StobiSerif Regular" w:eastAsia="Times New Roman" w:hAnsi="StobiSerif Regular" w:cs="Times New Roman"/>
          <w:lang w:eastAsia="mk-MK"/>
        </w:rPr>
        <w:t xml:space="preserve">на евро сметката на </w:t>
      </w:r>
      <w:r w:rsidRPr="00194389">
        <w:rPr>
          <w:rFonts w:ascii="StobiSerif Regular" w:eastAsia="Times New Roman" w:hAnsi="StobiSerif Regular" w:cs="Times New Roman"/>
          <w:lang w:val="en-US" w:eastAsia="mk-MK"/>
        </w:rPr>
        <w:t>НФ евра</w:t>
      </w:r>
    </w:p>
    <w:p w:rsidR="00194389" w:rsidRPr="00194389" w:rsidRDefault="00287CC9" w:rsidP="001359FE">
      <w:pPr>
        <w:spacing w:after="120" w:line="240" w:lineRule="auto"/>
        <w:jc w:val="both"/>
        <w:rPr>
          <w:rFonts w:ascii="StobiSerif Regular" w:eastAsia="Times New Roman" w:hAnsi="StobiSerif Regular" w:cs="Times New Roman"/>
          <w:lang w:val="en-US" w:eastAsia="mk-MK"/>
        </w:rPr>
      </w:pPr>
      <w:r w:rsidRPr="00287CC9">
        <w:rPr>
          <w:rFonts w:ascii="StobiSerif Regular" w:eastAsia="Times New Roman" w:hAnsi="StobiSerif Regular" w:cs="Times New Roman"/>
          <w:lang w:val="en-US" w:eastAsia="mk-MK"/>
        </w:rPr>
        <w:t xml:space="preserve">Имајќи ја предвид прогнозата за </w:t>
      </w:r>
      <w:r w:rsidR="00261E0C">
        <w:rPr>
          <w:rFonts w:ascii="StobiSerif Regular" w:eastAsia="Times New Roman" w:hAnsi="StobiSerif Regular" w:cs="Times New Roman"/>
          <w:lang w:eastAsia="mk-MK"/>
        </w:rPr>
        <w:t>извршување на</w:t>
      </w:r>
      <w:r w:rsidRPr="00287CC9">
        <w:rPr>
          <w:rFonts w:ascii="StobiSerif Regular" w:eastAsia="Times New Roman" w:hAnsi="StobiSerif Regular" w:cs="Times New Roman"/>
          <w:lang w:val="en-US" w:eastAsia="mk-MK"/>
        </w:rPr>
        <w:t xml:space="preserve"> плаќања за ИПАРД-проектите, </w:t>
      </w:r>
      <w:r w:rsidR="00261E0C">
        <w:rPr>
          <w:rFonts w:ascii="StobiSerif Regular" w:eastAsia="Times New Roman" w:hAnsi="StobiSerif Regular" w:cs="Times New Roman"/>
          <w:lang w:eastAsia="mk-MK"/>
        </w:rPr>
        <w:t>повраток</w:t>
      </w:r>
      <w:r w:rsidRPr="00287CC9">
        <w:rPr>
          <w:rFonts w:ascii="StobiSerif Regular" w:eastAsia="Times New Roman" w:hAnsi="StobiSerif Regular" w:cs="Times New Roman"/>
          <w:lang w:val="en-US" w:eastAsia="mk-MK"/>
        </w:rPr>
        <w:t xml:space="preserve"> на средствата</w:t>
      </w:r>
      <w:r w:rsidR="001359FE">
        <w:rPr>
          <w:rFonts w:ascii="StobiSerif Regular" w:eastAsia="Times New Roman" w:hAnsi="StobiSerif Regular" w:cs="Times New Roman"/>
          <w:lang w:val="en-US" w:eastAsia="mk-MK"/>
        </w:rPr>
        <w:t xml:space="preserve"> од буџетската алокација за 201</w:t>
      </w:r>
      <w:r w:rsidR="001359FE">
        <w:rPr>
          <w:rFonts w:ascii="StobiSerif Regular" w:eastAsia="Times New Roman" w:hAnsi="StobiSerif Regular" w:cs="Times New Roman"/>
          <w:lang w:eastAsia="mk-MK"/>
        </w:rPr>
        <w:t>7</w:t>
      </w:r>
      <w:r w:rsidRPr="00287CC9">
        <w:rPr>
          <w:rFonts w:ascii="StobiSerif Regular" w:eastAsia="Times New Roman" w:hAnsi="StobiSerif Regular" w:cs="Times New Roman"/>
          <w:lang w:val="en-US" w:eastAsia="mk-MK"/>
        </w:rPr>
        <w:t xml:space="preserve"> година од ИПАРД Програмата се проценува во износ од 1,7 милиони евра.</w:t>
      </w:r>
    </w:p>
    <w:p w:rsidR="00194389" w:rsidRPr="00194389" w:rsidRDefault="00261E0C" w:rsidP="00194389">
      <w:pPr>
        <w:spacing w:after="120" w:line="240" w:lineRule="auto"/>
        <w:ind w:firstLine="284"/>
        <w:jc w:val="both"/>
        <w:rPr>
          <w:rFonts w:ascii="StobiSerif Regular" w:eastAsia="Times New Roman" w:hAnsi="StobiSerif Regular" w:cs="Times New Roman"/>
          <w:lang w:val="en-US" w:eastAsia="mk-MK"/>
        </w:rPr>
      </w:pPr>
      <w:r w:rsidRPr="00261E0C">
        <w:rPr>
          <w:rFonts w:ascii="StobiSerif Regular" w:eastAsia="Times New Roman" w:hAnsi="StobiSerif Regular" w:cs="Times New Roman"/>
          <w:lang w:val="en-US" w:eastAsia="mk-MK"/>
        </w:rPr>
        <w:t>Од 2012 година, Република Македонија има пристап до SFC 2007 (Систем за управување со фондови во Европската заедница 2007-2013). Така, апликациите за исплата беа редовно испратени преку SFC 2007 од страна на Националниот фонд</w:t>
      </w:r>
      <w:r w:rsidR="00194389" w:rsidRPr="00194389">
        <w:rPr>
          <w:rFonts w:ascii="StobiSerif Regular" w:eastAsia="Times New Roman" w:hAnsi="StobiSerif Regular" w:cs="Times New Roman"/>
          <w:lang w:val="en-US" w:eastAsia="mk-MK"/>
        </w:rPr>
        <w:t>.</w:t>
      </w:r>
    </w:p>
    <w:p w:rsidR="00194389" w:rsidRPr="00194389" w:rsidRDefault="00D915CF" w:rsidP="001359FE">
      <w:pPr>
        <w:spacing w:after="120" w:line="240" w:lineRule="auto"/>
        <w:jc w:val="both"/>
        <w:rPr>
          <w:rFonts w:ascii="StobiSerif Regular" w:eastAsia="Times New Roman" w:hAnsi="StobiSerif Regular" w:cs="Times New Roman"/>
          <w:lang w:val="en-US" w:eastAsia="mk-MK"/>
        </w:rPr>
      </w:pPr>
      <w:r w:rsidRPr="00D915CF">
        <w:rPr>
          <w:rFonts w:ascii="StobiSerif Regular" w:eastAsia="Times New Roman" w:hAnsi="StobiSerif Regular" w:cs="Times New Roman"/>
          <w:lang w:val="en-US" w:eastAsia="mk-MK"/>
        </w:rPr>
        <w:t xml:space="preserve">Од моментот на исплата на претфинансирање од страна на ЕК на </w:t>
      </w:r>
      <w:r>
        <w:rPr>
          <w:rFonts w:ascii="StobiSerif Regular" w:eastAsia="Times New Roman" w:hAnsi="StobiSerif Regular" w:cs="Times New Roman"/>
          <w:lang w:eastAsia="mk-MK"/>
        </w:rPr>
        <w:t>евро</w:t>
      </w:r>
      <w:r w:rsidRPr="00D915CF">
        <w:rPr>
          <w:rFonts w:ascii="StobiSerif Regular" w:eastAsia="Times New Roman" w:hAnsi="StobiSerif Regular" w:cs="Times New Roman"/>
          <w:lang w:val="en-US" w:eastAsia="mk-MK"/>
        </w:rPr>
        <w:t>сметка</w:t>
      </w:r>
      <w:r>
        <w:rPr>
          <w:rFonts w:ascii="StobiSerif Regular" w:eastAsia="Times New Roman" w:hAnsi="StobiSerif Regular" w:cs="Times New Roman"/>
          <w:lang w:eastAsia="mk-MK"/>
        </w:rPr>
        <w:t>та</w:t>
      </w:r>
      <w:r>
        <w:rPr>
          <w:rFonts w:ascii="StobiSerif Regular" w:eastAsia="Times New Roman" w:hAnsi="StobiSerif Regular" w:cs="Times New Roman"/>
          <w:lang w:val="en-US" w:eastAsia="mk-MK"/>
        </w:rPr>
        <w:t xml:space="preserve"> на НФ</w:t>
      </w:r>
      <w:r>
        <w:rPr>
          <w:rFonts w:ascii="StobiSerif Regular" w:eastAsia="Times New Roman" w:hAnsi="StobiSerif Regular" w:cs="Times New Roman"/>
          <w:lang w:eastAsia="mk-MK"/>
        </w:rPr>
        <w:t xml:space="preserve">, </w:t>
      </w:r>
      <w:r w:rsidRPr="00D915CF">
        <w:rPr>
          <w:rFonts w:ascii="StobiSerif Regular" w:eastAsia="Times New Roman" w:hAnsi="StobiSerif Regular" w:cs="Times New Roman"/>
          <w:lang w:val="en-US" w:eastAsia="mk-MK"/>
        </w:rPr>
        <w:t xml:space="preserve">каматата на Заедницата беше пренесена од Народната банка на Република Македонија на сметката на НФ. Каматата на </w:t>
      </w:r>
      <w:r w:rsidR="002D30D3">
        <w:rPr>
          <w:rFonts w:ascii="StobiSerif Regular" w:eastAsia="Times New Roman" w:hAnsi="StobiSerif Regular" w:cs="Times New Roman"/>
          <w:lang w:val="en-US" w:eastAsia="mk-MK"/>
        </w:rPr>
        <w:t>евр</w:t>
      </w:r>
      <w:r w:rsidR="002D30D3">
        <w:rPr>
          <w:rFonts w:ascii="StobiSerif Regular" w:eastAsia="Times New Roman" w:hAnsi="StobiSerif Regular" w:cs="Times New Roman"/>
          <w:lang w:eastAsia="mk-MK"/>
        </w:rPr>
        <w:t>о</w:t>
      </w:r>
      <w:r w:rsidRPr="00D915CF">
        <w:rPr>
          <w:rFonts w:ascii="StobiSerif Regular" w:eastAsia="Times New Roman" w:hAnsi="StobiSerif Regular" w:cs="Times New Roman"/>
          <w:lang w:val="en-US" w:eastAsia="mk-MK"/>
        </w:rPr>
        <w:t>сметката на НФ беше правилно пресметана на месечна основа, евидентирана во сметководствениот систем на Н</w:t>
      </w:r>
      <w:r w:rsidR="002D30D3">
        <w:rPr>
          <w:rFonts w:ascii="StobiSerif Regular" w:eastAsia="Times New Roman" w:hAnsi="StobiSerif Regular" w:cs="Times New Roman"/>
          <w:lang w:eastAsia="mk-MK"/>
        </w:rPr>
        <w:t>Ф</w:t>
      </w:r>
      <w:r w:rsidRPr="00D915CF">
        <w:rPr>
          <w:rFonts w:ascii="StobiSerif Regular" w:eastAsia="Times New Roman" w:hAnsi="StobiSerif Regular" w:cs="Times New Roman"/>
          <w:lang w:val="en-US" w:eastAsia="mk-MK"/>
        </w:rPr>
        <w:t xml:space="preserve"> и пријавена на Комисијата со доставување на апликацијата за плаќање</w:t>
      </w:r>
      <w:r w:rsidR="00194389" w:rsidRPr="00194389">
        <w:rPr>
          <w:rFonts w:ascii="StobiSerif Regular" w:eastAsia="Times New Roman" w:hAnsi="StobiSerif Regular" w:cs="Times New Roman"/>
          <w:lang w:val="en-US" w:eastAsia="mk-MK"/>
        </w:rPr>
        <w:t>.</w:t>
      </w:r>
    </w:p>
    <w:p w:rsidR="00CB5D4D" w:rsidRPr="00940B03" w:rsidRDefault="00194389" w:rsidP="00BA1CE8">
      <w:pPr>
        <w:pStyle w:val="ListParagraph"/>
        <w:numPr>
          <w:ilvl w:val="0"/>
          <w:numId w:val="33"/>
        </w:numPr>
        <w:spacing w:before="100" w:beforeAutospacing="1" w:after="288" w:line="240" w:lineRule="auto"/>
        <w:jc w:val="both"/>
        <w:rPr>
          <w:rFonts w:ascii="Times New Roman" w:eastAsia="Times New Roman" w:hAnsi="Times New Roman" w:cs="Times New Roman"/>
          <w:sz w:val="24"/>
          <w:szCs w:val="24"/>
          <w:lang w:eastAsia="mk-MK"/>
        </w:rPr>
      </w:pPr>
      <w:r w:rsidRPr="00940B03">
        <w:rPr>
          <w:rFonts w:ascii="StobiSerif Regular" w:eastAsia="Times New Roman" w:hAnsi="StobiSerif Regular" w:cs="Times New Roman"/>
          <w:i/>
          <w:iCs/>
          <w:color w:val="00000A"/>
          <w:u w:val="single"/>
          <w:lang w:val="en-US" w:eastAsia="mk-MK"/>
        </w:rPr>
        <w:t xml:space="preserve"> </w:t>
      </w:r>
      <w:r w:rsidR="00B0791F">
        <w:rPr>
          <w:rFonts w:ascii="StobiSerif Regular" w:eastAsia="Times New Roman" w:hAnsi="StobiSerif Regular" w:cs="Times New Roman"/>
          <w:i/>
          <w:iCs/>
          <w:color w:val="00000A"/>
          <w:u w:val="single"/>
          <w:lang w:eastAsia="mk-MK"/>
        </w:rPr>
        <w:t>Пребивања</w:t>
      </w:r>
      <w:r w:rsidR="00CB5D4D" w:rsidRPr="00940B03">
        <w:rPr>
          <w:rFonts w:ascii="Times New Roman" w:eastAsia="Times New Roman" w:hAnsi="Times New Roman" w:cs="Times New Roman"/>
          <w:color w:val="00000A"/>
          <w:sz w:val="24"/>
          <w:szCs w:val="24"/>
          <w:u w:val="single"/>
          <w:lang w:eastAsia="mk-MK"/>
        </w:rPr>
        <w:t xml:space="preserve"> </w:t>
      </w:r>
    </w:p>
    <w:p w:rsidR="00CB5D4D" w:rsidRPr="00B0791F" w:rsidRDefault="002D30D3" w:rsidP="00890CC4">
      <w:pPr>
        <w:spacing w:after="120" w:line="240" w:lineRule="auto"/>
        <w:ind w:firstLine="284"/>
        <w:jc w:val="both"/>
        <w:rPr>
          <w:rFonts w:ascii="StobiSerif Regular" w:eastAsia="Times New Roman" w:hAnsi="StobiSerif Regular" w:cs="Times New Roman"/>
          <w:lang w:eastAsia="mk-MK"/>
        </w:rPr>
      </w:pPr>
      <w:r w:rsidRPr="002D30D3">
        <w:rPr>
          <w:rFonts w:ascii="StobiSerif Regular" w:eastAsia="Times New Roman" w:hAnsi="StobiSerif Regular" w:cs="Times New Roman"/>
          <w:lang w:val="en-GB" w:eastAsia="mk-MK"/>
        </w:rPr>
        <w:t>Поради долговите</w:t>
      </w:r>
      <w:r w:rsidR="00B0791F">
        <w:rPr>
          <w:rFonts w:ascii="StobiSerif Regular" w:eastAsia="Times New Roman" w:hAnsi="StobiSerif Regular" w:cs="Times New Roman"/>
          <w:lang w:eastAsia="mk-MK"/>
        </w:rPr>
        <w:t>,</w:t>
      </w:r>
      <w:r w:rsidRPr="002D30D3">
        <w:rPr>
          <w:rFonts w:ascii="StobiSerif Regular" w:eastAsia="Times New Roman" w:hAnsi="StobiSerif Regular" w:cs="Times New Roman"/>
          <w:lang w:val="en-GB" w:eastAsia="mk-MK"/>
        </w:rPr>
        <w:t xml:space="preserve"> наспроти тврдењата што ги има Комисијата за институциите на Република Македонија, операциите за пребивање се извршени за делот од барањата за исплата на износи испратени до ЕК. Целокупниот износ што беше </w:t>
      </w:r>
      <w:r w:rsidR="003F3A18">
        <w:rPr>
          <w:rFonts w:ascii="StobiSerif Regular" w:eastAsia="Times New Roman" w:hAnsi="StobiSerif Regular" w:cs="Times New Roman"/>
          <w:lang w:eastAsia="mk-MK"/>
        </w:rPr>
        <w:t>пребиен</w:t>
      </w:r>
      <w:r w:rsidRPr="002D30D3">
        <w:rPr>
          <w:rFonts w:ascii="StobiSerif Regular" w:eastAsia="Times New Roman" w:hAnsi="StobiSerif Regular" w:cs="Times New Roman"/>
          <w:lang w:val="en-GB" w:eastAsia="mk-MK"/>
        </w:rPr>
        <w:t xml:space="preserve"> од страна на Комисијата е вратен (главен). Така, вкупниот износ кој не е </w:t>
      </w:r>
      <w:r w:rsidR="003F3A18">
        <w:rPr>
          <w:rFonts w:ascii="StobiSerif Regular" w:eastAsia="Times New Roman" w:hAnsi="StobiSerif Regular" w:cs="Times New Roman"/>
          <w:lang w:eastAsia="mk-MK"/>
        </w:rPr>
        <w:t>пребиен</w:t>
      </w:r>
      <w:r w:rsidRPr="002D30D3">
        <w:rPr>
          <w:rFonts w:ascii="StobiSerif Regular" w:eastAsia="Times New Roman" w:hAnsi="StobiSerif Regular" w:cs="Times New Roman"/>
          <w:lang w:val="en-GB" w:eastAsia="mk-MK"/>
        </w:rPr>
        <w:t xml:space="preserve"> и треба да се поврати од националните институции на НФ Еуро-сметка е во износ од 16,</w:t>
      </w:r>
      <w:r w:rsidR="00B0791F">
        <w:rPr>
          <w:rFonts w:ascii="StobiSerif Regular" w:eastAsia="Times New Roman" w:hAnsi="StobiSerif Regular" w:cs="Times New Roman"/>
          <w:lang w:eastAsia="mk-MK"/>
        </w:rPr>
        <w:t xml:space="preserve"> </w:t>
      </w:r>
      <w:r w:rsidRPr="002D30D3">
        <w:rPr>
          <w:rFonts w:ascii="StobiSerif Regular" w:eastAsia="Times New Roman" w:hAnsi="StobiSerif Regular" w:cs="Times New Roman"/>
          <w:lang w:val="en-GB" w:eastAsia="mk-MK"/>
        </w:rPr>
        <w:t>14 изгубен</w:t>
      </w:r>
      <w:r w:rsidR="003F3A18">
        <w:rPr>
          <w:rFonts w:ascii="StobiSerif Regular" w:eastAsia="Times New Roman" w:hAnsi="StobiSerif Regular" w:cs="Times New Roman"/>
          <w:lang w:eastAsia="mk-MK"/>
        </w:rPr>
        <w:t>а</w:t>
      </w:r>
      <w:r w:rsidRPr="002D30D3">
        <w:rPr>
          <w:rFonts w:ascii="StobiSerif Regular" w:eastAsia="Times New Roman" w:hAnsi="StobiSerif Regular" w:cs="Times New Roman"/>
          <w:lang w:val="en-GB" w:eastAsia="mk-MK"/>
        </w:rPr>
        <w:t xml:space="preserve"> камат</w:t>
      </w:r>
      <w:r w:rsidR="003F3A18">
        <w:rPr>
          <w:rFonts w:ascii="StobiSerif Regular" w:eastAsia="Times New Roman" w:hAnsi="StobiSerif Regular" w:cs="Times New Roman"/>
          <w:lang w:eastAsia="mk-MK"/>
        </w:rPr>
        <w:t>а</w:t>
      </w:r>
      <w:r w:rsidRPr="002D30D3">
        <w:rPr>
          <w:rFonts w:ascii="StobiSerif Regular" w:eastAsia="Times New Roman" w:hAnsi="StobiSerif Regular" w:cs="Times New Roman"/>
          <w:lang w:val="en-GB" w:eastAsia="mk-MK"/>
        </w:rPr>
        <w:t>, кои би биле генерирани доколку средствата на ЕЗ се префрлени на НФ ИПАРД сметка во евра</w:t>
      </w:r>
      <w:r w:rsidR="00B0791F">
        <w:rPr>
          <w:rFonts w:ascii="StobiSerif Regular" w:eastAsia="Times New Roman" w:hAnsi="StobiSerif Regular" w:cs="Times New Roman"/>
          <w:lang w:eastAsia="mk-MK"/>
        </w:rPr>
        <w:t>.</w:t>
      </w:r>
    </w:p>
    <w:p w:rsidR="00B0791F" w:rsidRPr="00B0791F" w:rsidRDefault="00B0791F" w:rsidP="00B0791F">
      <w:pPr>
        <w:pStyle w:val="NoSpacing"/>
        <w:spacing w:after="120"/>
        <w:jc w:val="both"/>
        <w:rPr>
          <w:rFonts w:ascii="StobiSerif Regular" w:eastAsia="Times New Roman" w:hAnsi="StobiSerif Regular" w:cs="Times New Roman"/>
          <w:lang w:val="en-US" w:eastAsia="mk-MK"/>
        </w:rPr>
      </w:pPr>
      <w:r w:rsidRPr="00B0791F">
        <w:rPr>
          <w:rFonts w:ascii="StobiSerif Regular" w:eastAsia="Times New Roman" w:hAnsi="StobiSerif Regular" w:cs="Times New Roman"/>
          <w:lang w:val="en-US" w:eastAsia="mk-MK"/>
        </w:rPr>
        <w:t>Детали за статусот на износот на обновена камата се дадени во табелата подолу:</w:t>
      </w:r>
    </w:p>
    <w:p w:rsidR="00CB5D4D" w:rsidRPr="00B0791F" w:rsidRDefault="00B0791F" w:rsidP="00B0791F">
      <w:pPr>
        <w:pStyle w:val="NoSpacing"/>
        <w:spacing w:after="120"/>
        <w:jc w:val="both"/>
        <w:rPr>
          <w:rFonts w:ascii="StobiSerif Regular" w:hAnsi="StobiSerif Regular"/>
          <w:lang w:eastAsia="mk-MK"/>
        </w:rPr>
      </w:pPr>
      <w:r>
        <w:rPr>
          <w:rFonts w:ascii="StobiSerif Regular" w:eastAsia="Times New Roman" w:hAnsi="StobiSerif Regular" w:cs="Times New Roman"/>
          <w:lang w:val="en-US" w:eastAsia="mk-MK"/>
        </w:rPr>
        <w:t>Регист</w:t>
      </w:r>
      <w:r>
        <w:rPr>
          <w:rFonts w:ascii="StobiSerif Regular" w:eastAsia="Times New Roman" w:hAnsi="StobiSerif Regular" w:cs="Times New Roman"/>
          <w:lang w:eastAsia="mk-MK"/>
        </w:rPr>
        <w:t>ар</w:t>
      </w:r>
      <w:r>
        <w:rPr>
          <w:rFonts w:ascii="StobiSerif Regular" w:eastAsia="Times New Roman" w:hAnsi="StobiSerif Regular" w:cs="Times New Roman"/>
          <w:lang w:val="en-US" w:eastAsia="mk-MK"/>
        </w:rPr>
        <w:t xml:space="preserve"> </w:t>
      </w:r>
      <w:r w:rsidRPr="00B0791F">
        <w:rPr>
          <w:rFonts w:ascii="StobiSerif Regular" w:eastAsia="Times New Roman" w:hAnsi="StobiSerif Regular" w:cs="Times New Roman"/>
          <w:lang w:val="en-US" w:eastAsia="mk-MK"/>
        </w:rPr>
        <w:t xml:space="preserve"> за наплата на камата на основа на </w:t>
      </w:r>
      <w:r>
        <w:rPr>
          <w:rFonts w:ascii="StobiSerif Regular" w:eastAsia="Times New Roman" w:hAnsi="StobiSerif Regular" w:cs="Times New Roman"/>
          <w:lang w:eastAsia="mk-MK"/>
        </w:rPr>
        <w:t>пребивање:</w:t>
      </w:r>
    </w:p>
    <w:tbl>
      <w:tblPr>
        <w:tblW w:w="9488" w:type="dxa"/>
        <w:tblCellSpacing w:w="0" w:type="dxa"/>
        <w:tblInd w:w="5" w:type="dxa"/>
        <w:tblLayout w:type="fixed"/>
        <w:tblCellMar>
          <w:top w:w="30" w:type="dxa"/>
          <w:left w:w="30" w:type="dxa"/>
          <w:bottom w:w="30" w:type="dxa"/>
          <w:right w:w="30" w:type="dxa"/>
        </w:tblCellMar>
        <w:tblLook w:val="04A0" w:firstRow="1" w:lastRow="0" w:firstColumn="1" w:lastColumn="0" w:noHBand="0" w:noVBand="1"/>
      </w:tblPr>
      <w:tblGrid>
        <w:gridCol w:w="1591"/>
        <w:gridCol w:w="1410"/>
        <w:gridCol w:w="1531"/>
        <w:gridCol w:w="1122"/>
        <w:gridCol w:w="1182"/>
        <w:gridCol w:w="1076"/>
        <w:gridCol w:w="1576"/>
      </w:tblGrid>
      <w:tr w:rsidR="002B5D9B" w:rsidRPr="00CB5D4D" w:rsidTr="003F3A18">
        <w:trPr>
          <w:trHeight w:val="839"/>
          <w:tblCellSpacing w:w="0" w:type="dxa"/>
        </w:trPr>
        <w:tc>
          <w:tcPr>
            <w:tcW w:w="1591" w:type="dxa"/>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29" w:type="dxa"/>
              <w:right w:w="0" w:type="dxa"/>
            </w:tcMar>
            <w:vAlign w:val="bottom"/>
          </w:tcPr>
          <w:p w:rsidR="002B5D9B" w:rsidRPr="002B5D9B" w:rsidRDefault="002B5D9B" w:rsidP="00CB5D4D">
            <w:pPr>
              <w:spacing w:after="0" w:line="240" w:lineRule="auto"/>
              <w:jc w:val="center"/>
              <w:rPr>
                <w:rFonts w:ascii="Times New Roman" w:eastAsia="Times New Roman" w:hAnsi="Times New Roman" w:cs="Times New Roman"/>
                <w:sz w:val="24"/>
                <w:szCs w:val="24"/>
                <w:lang w:eastAsia="mk-MK"/>
              </w:rPr>
            </w:pPr>
            <w:r>
              <w:rPr>
                <w:rFonts w:ascii="StobiSerif Regular" w:eastAsia="Times New Roman" w:hAnsi="StobiSerif Regular" w:cs="Times New Roman"/>
                <w:b/>
                <w:bCs/>
                <w:color w:val="000000"/>
                <w:sz w:val="18"/>
                <w:szCs w:val="18"/>
                <w:lang w:eastAsia="mk-MK"/>
              </w:rPr>
              <w:t>Институција</w:t>
            </w:r>
          </w:p>
        </w:tc>
        <w:tc>
          <w:tcPr>
            <w:tcW w:w="1410" w:type="dxa"/>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29" w:type="dxa"/>
              <w:right w:w="0" w:type="dxa"/>
            </w:tcMar>
            <w:vAlign w:val="bottom"/>
          </w:tcPr>
          <w:p w:rsidR="002B5D9B" w:rsidRPr="00CB5D4D" w:rsidRDefault="002B5D9B" w:rsidP="00CB5D4D">
            <w:pPr>
              <w:spacing w:after="0" w:line="240" w:lineRule="auto"/>
              <w:jc w:val="center"/>
              <w:rPr>
                <w:rFonts w:ascii="Times New Roman" w:eastAsia="Times New Roman" w:hAnsi="Times New Roman" w:cs="Times New Roman"/>
                <w:sz w:val="24"/>
                <w:szCs w:val="24"/>
                <w:lang w:val="en-US" w:eastAsia="mk-MK"/>
              </w:rPr>
            </w:pPr>
            <w:r w:rsidRPr="002B5D9B">
              <w:rPr>
                <w:rFonts w:ascii="StobiSerif Regular" w:eastAsia="Times New Roman" w:hAnsi="StobiSerif Regular" w:cs="Times New Roman"/>
                <w:b/>
                <w:bCs/>
                <w:color w:val="000000"/>
                <w:sz w:val="18"/>
                <w:szCs w:val="18"/>
                <w:lang w:val="en-US" w:eastAsia="mk-MK"/>
              </w:rPr>
              <w:t>Реф број на Барањето за наплата</w:t>
            </w:r>
          </w:p>
        </w:tc>
        <w:tc>
          <w:tcPr>
            <w:tcW w:w="1531" w:type="dxa"/>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29" w:type="dxa"/>
              <w:right w:w="0" w:type="dxa"/>
            </w:tcMar>
          </w:tcPr>
          <w:p w:rsidR="002B5D9B" w:rsidRPr="003F3A18" w:rsidRDefault="002B5D9B" w:rsidP="003F3A18">
            <w:pPr>
              <w:spacing w:after="0" w:line="240" w:lineRule="auto"/>
              <w:jc w:val="center"/>
              <w:rPr>
                <w:rFonts w:ascii="StobiSerif Regular" w:eastAsia="Times New Roman" w:hAnsi="StobiSerif Regular" w:cs="Times New Roman"/>
                <w:b/>
                <w:bCs/>
                <w:color w:val="000000"/>
                <w:sz w:val="18"/>
                <w:szCs w:val="18"/>
                <w:lang w:eastAsia="mk-MK"/>
              </w:rPr>
            </w:pPr>
            <w:r w:rsidRPr="003F3A18">
              <w:rPr>
                <w:rFonts w:ascii="StobiSerif Regular" w:eastAsia="Times New Roman" w:hAnsi="StobiSerif Regular" w:cs="Times New Roman"/>
                <w:b/>
                <w:bCs/>
                <w:color w:val="000000"/>
                <w:sz w:val="18"/>
                <w:szCs w:val="18"/>
                <w:lang w:eastAsia="mk-MK"/>
              </w:rPr>
              <w:t xml:space="preserve">Датум на поднесување на барањето </w:t>
            </w:r>
          </w:p>
        </w:tc>
        <w:tc>
          <w:tcPr>
            <w:tcW w:w="1122" w:type="dxa"/>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29" w:type="dxa"/>
              <w:right w:w="0" w:type="dxa"/>
            </w:tcMar>
          </w:tcPr>
          <w:p w:rsidR="002B5D9B" w:rsidRPr="003F3A18" w:rsidRDefault="002B5D9B" w:rsidP="003F3A18">
            <w:pPr>
              <w:spacing w:after="0" w:line="240" w:lineRule="auto"/>
              <w:jc w:val="center"/>
              <w:rPr>
                <w:rFonts w:ascii="StobiSerif Regular" w:eastAsia="Times New Roman" w:hAnsi="StobiSerif Regular" w:cs="Times New Roman"/>
                <w:b/>
                <w:bCs/>
                <w:color w:val="000000"/>
                <w:sz w:val="18"/>
                <w:szCs w:val="18"/>
                <w:lang w:eastAsia="mk-MK"/>
              </w:rPr>
            </w:pPr>
            <w:r w:rsidRPr="003F3A18">
              <w:rPr>
                <w:rFonts w:ascii="StobiSerif Regular" w:eastAsia="Times New Roman" w:hAnsi="StobiSerif Regular" w:cs="Times New Roman"/>
                <w:b/>
                <w:bCs/>
                <w:color w:val="000000"/>
                <w:sz w:val="18"/>
                <w:szCs w:val="18"/>
                <w:lang w:eastAsia="mk-MK"/>
              </w:rPr>
              <w:t xml:space="preserve">Износ побаран во ЕУР </w:t>
            </w:r>
          </w:p>
        </w:tc>
        <w:tc>
          <w:tcPr>
            <w:tcW w:w="1182" w:type="dxa"/>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29" w:type="dxa"/>
              <w:right w:w="0" w:type="dxa"/>
            </w:tcMar>
          </w:tcPr>
          <w:p w:rsidR="002B5D9B" w:rsidRPr="003F3A18" w:rsidRDefault="002B5D9B" w:rsidP="003F3A18">
            <w:pPr>
              <w:spacing w:after="0" w:line="240" w:lineRule="auto"/>
              <w:jc w:val="center"/>
              <w:rPr>
                <w:rFonts w:ascii="StobiSerif Regular" w:eastAsia="Times New Roman" w:hAnsi="StobiSerif Regular" w:cs="Times New Roman"/>
                <w:b/>
                <w:bCs/>
                <w:color w:val="000000"/>
                <w:sz w:val="18"/>
                <w:szCs w:val="18"/>
                <w:lang w:eastAsia="mk-MK"/>
              </w:rPr>
            </w:pPr>
            <w:r w:rsidRPr="003F3A18">
              <w:rPr>
                <w:rFonts w:ascii="StobiSerif Regular" w:eastAsia="Times New Roman" w:hAnsi="StobiSerif Regular" w:cs="Times New Roman"/>
                <w:b/>
                <w:bCs/>
                <w:color w:val="000000"/>
                <w:sz w:val="18"/>
                <w:szCs w:val="18"/>
                <w:lang w:eastAsia="mk-MK"/>
              </w:rPr>
              <w:t xml:space="preserve">Обврзан износ во ЕУР </w:t>
            </w:r>
          </w:p>
        </w:tc>
        <w:tc>
          <w:tcPr>
            <w:tcW w:w="1076" w:type="dxa"/>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29" w:type="dxa"/>
              <w:right w:w="0" w:type="dxa"/>
            </w:tcMar>
          </w:tcPr>
          <w:p w:rsidR="002B5D9B" w:rsidRPr="003F3A18" w:rsidRDefault="002B5D9B" w:rsidP="003F3A18">
            <w:pPr>
              <w:spacing w:after="0" w:line="240" w:lineRule="auto"/>
              <w:jc w:val="center"/>
              <w:rPr>
                <w:rFonts w:ascii="StobiSerif Regular" w:eastAsia="Times New Roman" w:hAnsi="StobiSerif Regular" w:cs="Times New Roman"/>
                <w:b/>
                <w:bCs/>
                <w:color w:val="000000"/>
                <w:sz w:val="18"/>
                <w:szCs w:val="18"/>
                <w:lang w:eastAsia="mk-MK"/>
              </w:rPr>
            </w:pPr>
            <w:r w:rsidRPr="003F3A18">
              <w:rPr>
                <w:rFonts w:ascii="StobiSerif Regular" w:eastAsia="Times New Roman" w:hAnsi="StobiSerif Regular" w:cs="Times New Roman"/>
                <w:b/>
                <w:bCs/>
                <w:color w:val="000000"/>
                <w:sz w:val="18"/>
                <w:szCs w:val="18"/>
                <w:lang w:eastAsia="mk-MK"/>
              </w:rPr>
              <w:t xml:space="preserve">Датум на наплата </w:t>
            </w:r>
          </w:p>
        </w:tc>
        <w:tc>
          <w:tcPr>
            <w:tcW w:w="1576" w:type="dxa"/>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29" w:type="dxa"/>
              <w:right w:w="115" w:type="dxa"/>
            </w:tcMar>
          </w:tcPr>
          <w:p w:rsidR="002B5D9B" w:rsidRPr="003F3A18" w:rsidRDefault="003F3A18" w:rsidP="003F3A18">
            <w:pPr>
              <w:spacing w:after="0" w:line="240" w:lineRule="auto"/>
              <w:jc w:val="center"/>
              <w:rPr>
                <w:rFonts w:ascii="StobiSerif Regular" w:eastAsia="Times New Roman" w:hAnsi="StobiSerif Regular" w:cs="Times New Roman"/>
                <w:b/>
                <w:bCs/>
                <w:color w:val="000000"/>
                <w:sz w:val="18"/>
                <w:szCs w:val="18"/>
                <w:lang w:eastAsia="mk-MK"/>
              </w:rPr>
            </w:pPr>
            <w:r w:rsidRPr="003F3A18">
              <w:rPr>
                <w:rFonts w:ascii="StobiSerif Regular" w:eastAsia="Times New Roman" w:hAnsi="StobiSerif Regular" w:cs="Times New Roman"/>
                <w:b/>
                <w:bCs/>
                <w:color w:val="000000"/>
                <w:sz w:val="18"/>
                <w:szCs w:val="18"/>
                <w:lang w:eastAsia="mk-MK"/>
              </w:rPr>
              <w:t xml:space="preserve">Останат </w:t>
            </w:r>
            <w:r w:rsidR="002B5D9B" w:rsidRPr="003F3A18">
              <w:rPr>
                <w:rFonts w:ascii="StobiSerif Regular" w:eastAsia="Times New Roman" w:hAnsi="StobiSerif Regular" w:cs="Times New Roman"/>
                <w:b/>
                <w:bCs/>
                <w:color w:val="000000"/>
                <w:sz w:val="18"/>
                <w:szCs w:val="18"/>
                <w:lang w:eastAsia="mk-MK"/>
              </w:rPr>
              <w:t>износ во ЕУР</w:t>
            </w:r>
          </w:p>
        </w:tc>
      </w:tr>
      <w:tr w:rsidR="00CB5D4D" w:rsidRPr="00CB5D4D" w:rsidTr="00CB5D4D">
        <w:trPr>
          <w:trHeight w:val="799"/>
          <w:tblCellSpacing w:w="0" w:type="dxa"/>
        </w:trPr>
        <w:tc>
          <w:tcPr>
            <w:tcW w:w="1591"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016AEA"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016AEA">
              <w:rPr>
                <w:rFonts w:ascii="StobiSerif Regular" w:eastAsia="Times New Roman" w:hAnsi="StobiSerif Regular" w:cs="Times New Roman"/>
                <w:color w:val="000000"/>
                <w:sz w:val="18"/>
                <w:szCs w:val="18"/>
                <w:lang w:val="en-US" w:eastAsia="mk-MK"/>
              </w:rPr>
              <w:t>Секретаријат за европски прашања</w:t>
            </w:r>
          </w:p>
        </w:tc>
        <w:tc>
          <w:tcPr>
            <w:tcW w:w="1410"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09-33102/1</w:t>
            </w:r>
          </w:p>
        </w:tc>
        <w:tc>
          <w:tcPr>
            <w:tcW w:w="1531"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30.09.2014</w:t>
            </w:r>
          </w:p>
        </w:tc>
        <w:tc>
          <w:tcPr>
            <w:tcW w:w="1122"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16,14</w:t>
            </w:r>
          </w:p>
        </w:tc>
        <w:tc>
          <w:tcPr>
            <w:tcW w:w="1182"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0,00</w:t>
            </w:r>
          </w:p>
        </w:tc>
        <w:tc>
          <w:tcPr>
            <w:tcW w:w="1076"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w:t>
            </w:r>
          </w:p>
        </w:tc>
        <w:tc>
          <w:tcPr>
            <w:tcW w:w="1576" w:type="dxa"/>
            <w:tcBorders>
              <w:top w:val="single" w:sz="4" w:space="0" w:color="auto"/>
              <w:left w:val="single" w:sz="4" w:space="0" w:color="auto"/>
              <w:bottom w:val="single" w:sz="4" w:space="0" w:color="auto"/>
              <w:right w:val="single" w:sz="4" w:space="0" w:color="auto"/>
            </w:tcBorders>
            <w:tcMar>
              <w:top w:w="0" w:type="dxa"/>
              <w:left w:w="115" w:type="dxa"/>
              <w:bottom w:w="29" w:type="dxa"/>
              <w:right w:w="115"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16,14</w:t>
            </w:r>
          </w:p>
        </w:tc>
      </w:tr>
      <w:tr w:rsidR="00CB5D4D" w:rsidRPr="00CB5D4D" w:rsidTr="00CB5D4D">
        <w:trPr>
          <w:tblCellSpacing w:w="0" w:type="dxa"/>
        </w:trPr>
        <w:tc>
          <w:tcPr>
            <w:tcW w:w="1591"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016AEA"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016AEA">
              <w:rPr>
                <w:rFonts w:ascii="StobiSerif Regular" w:eastAsia="Times New Roman" w:hAnsi="StobiSerif Regular" w:cs="Times New Roman"/>
                <w:color w:val="000000"/>
                <w:sz w:val="18"/>
                <w:szCs w:val="18"/>
                <w:lang w:val="en-US" w:eastAsia="mk-MK"/>
              </w:rPr>
              <w:t>Министерство за образование и наука</w:t>
            </w:r>
          </w:p>
        </w:tc>
        <w:tc>
          <w:tcPr>
            <w:tcW w:w="1410"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09-33099/1</w:t>
            </w:r>
          </w:p>
        </w:tc>
        <w:tc>
          <w:tcPr>
            <w:tcW w:w="1531"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30.09.2014</w:t>
            </w:r>
          </w:p>
        </w:tc>
        <w:tc>
          <w:tcPr>
            <w:tcW w:w="1122"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9.140,51</w:t>
            </w:r>
          </w:p>
        </w:tc>
        <w:tc>
          <w:tcPr>
            <w:tcW w:w="1182"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9.140,51</w:t>
            </w:r>
          </w:p>
        </w:tc>
        <w:tc>
          <w:tcPr>
            <w:tcW w:w="1076"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05.12.2014</w:t>
            </w:r>
          </w:p>
        </w:tc>
        <w:tc>
          <w:tcPr>
            <w:tcW w:w="1576" w:type="dxa"/>
            <w:tcBorders>
              <w:top w:val="single" w:sz="4" w:space="0" w:color="auto"/>
              <w:left w:val="single" w:sz="4" w:space="0" w:color="auto"/>
              <w:bottom w:val="single" w:sz="4" w:space="0" w:color="auto"/>
              <w:right w:val="single" w:sz="4" w:space="0" w:color="auto"/>
            </w:tcBorders>
            <w:tcMar>
              <w:top w:w="0" w:type="dxa"/>
              <w:left w:w="115" w:type="dxa"/>
              <w:bottom w:w="29" w:type="dxa"/>
              <w:right w:w="115"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0,00</w:t>
            </w:r>
          </w:p>
        </w:tc>
      </w:tr>
      <w:tr w:rsidR="00CB5D4D" w:rsidRPr="00CB5D4D" w:rsidTr="00CB5D4D">
        <w:trPr>
          <w:tblCellSpacing w:w="0" w:type="dxa"/>
        </w:trPr>
        <w:tc>
          <w:tcPr>
            <w:tcW w:w="1591"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016AEA"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016AEA">
              <w:rPr>
                <w:rFonts w:ascii="StobiSerif Regular" w:eastAsia="Times New Roman" w:hAnsi="StobiSerif Regular" w:cs="Times New Roman"/>
                <w:color w:val="000000"/>
                <w:sz w:val="18"/>
                <w:szCs w:val="18"/>
                <w:lang w:val="en-US" w:eastAsia="mk-MK"/>
              </w:rPr>
              <w:t>Министерство за труд и социјална политика</w:t>
            </w:r>
          </w:p>
        </w:tc>
        <w:tc>
          <w:tcPr>
            <w:tcW w:w="1410"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09-33100/1</w:t>
            </w:r>
          </w:p>
        </w:tc>
        <w:tc>
          <w:tcPr>
            <w:tcW w:w="1531"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30.09.2014</w:t>
            </w:r>
          </w:p>
        </w:tc>
        <w:tc>
          <w:tcPr>
            <w:tcW w:w="1122"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921,19</w:t>
            </w:r>
          </w:p>
        </w:tc>
        <w:tc>
          <w:tcPr>
            <w:tcW w:w="1182"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921,19</w:t>
            </w:r>
          </w:p>
        </w:tc>
        <w:tc>
          <w:tcPr>
            <w:tcW w:w="1076"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10.10.2014</w:t>
            </w:r>
          </w:p>
        </w:tc>
        <w:tc>
          <w:tcPr>
            <w:tcW w:w="1576" w:type="dxa"/>
            <w:tcBorders>
              <w:top w:val="single" w:sz="4" w:space="0" w:color="auto"/>
              <w:left w:val="single" w:sz="4" w:space="0" w:color="auto"/>
              <w:bottom w:val="single" w:sz="4" w:space="0" w:color="auto"/>
              <w:right w:val="single" w:sz="4" w:space="0" w:color="auto"/>
            </w:tcBorders>
            <w:tcMar>
              <w:top w:w="0" w:type="dxa"/>
              <w:left w:w="115" w:type="dxa"/>
              <w:bottom w:w="29" w:type="dxa"/>
              <w:right w:w="115"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0,00</w:t>
            </w:r>
          </w:p>
        </w:tc>
      </w:tr>
      <w:tr w:rsidR="00CB5D4D" w:rsidRPr="00CB5D4D" w:rsidTr="00CB5D4D">
        <w:trPr>
          <w:trHeight w:val="890"/>
          <w:tblCellSpacing w:w="0" w:type="dxa"/>
        </w:trPr>
        <w:tc>
          <w:tcPr>
            <w:tcW w:w="1591"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016AEA"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016AEA">
              <w:rPr>
                <w:rFonts w:ascii="StobiSerif Regular" w:eastAsia="Times New Roman" w:hAnsi="StobiSerif Regular" w:cs="Times New Roman"/>
                <w:color w:val="000000"/>
                <w:sz w:val="18"/>
                <w:szCs w:val="18"/>
                <w:lang w:val="en-US" w:eastAsia="mk-MK"/>
              </w:rPr>
              <w:t>Министерство за локална самоуправа</w:t>
            </w:r>
          </w:p>
        </w:tc>
        <w:tc>
          <w:tcPr>
            <w:tcW w:w="1410"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09-33104/1</w:t>
            </w:r>
          </w:p>
        </w:tc>
        <w:tc>
          <w:tcPr>
            <w:tcW w:w="1531"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30.09.2014</w:t>
            </w:r>
          </w:p>
        </w:tc>
        <w:tc>
          <w:tcPr>
            <w:tcW w:w="1122"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540,59</w:t>
            </w:r>
          </w:p>
        </w:tc>
        <w:tc>
          <w:tcPr>
            <w:tcW w:w="1182"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516,75</w:t>
            </w:r>
          </w:p>
        </w:tc>
        <w:tc>
          <w:tcPr>
            <w:tcW w:w="1076" w:type="dxa"/>
            <w:tcBorders>
              <w:top w:val="single" w:sz="4" w:space="0" w:color="auto"/>
              <w:left w:val="single" w:sz="4" w:space="0" w:color="auto"/>
              <w:bottom w:val="single" w:sz="4" w:space="0" w:color="auto"/>
              <w:right w:val="single" w:sz="4" w:space="0" w:color="auto"/>
            </w:tcBorders>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27.12.2016</w:t>
            </w:r>
          </w:p>
        </w:tc>
        <w:tc>
          <w:tcPr>
            <w:tcW w:w="1576" w:type="dxa"/>
            <w:tcBorders>
              <w:top w:val="single" w:sz="4" w:space="0" w:color="auto"/>
              <w:left w:val="single" w:sz="4" w:space="0" w:color="auto"/>
              <w:bottom w:val="single" w:sz="4" w:space="0" w:color="auto"/>
              <w:right w:val="single" w:sz="4" w:space="0" w:color="auto"/>
            </w:tcBorders>
            <w:tcMar>
              <w:top w:w="0" w:type="dxa"/>
              <w:left w:w="115" w:type="dxa"/>
              <w:bottom w:w="29" w:type="dxa"/>
              <w:right w:w="115"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0,00</w:t>
            </w:r>
          </w:p>
        </w:tc>
      </w:tr>
      <w:tr w:rsidR="00CB5D4D" w:rsidRPr="00CB5D4D" w:rsidTr="00CB5D4D">
        <w:trPr>
          <w:tblCellSpacing w:w="0" w:type="dxa"/>
        </w:trPr>
        <w:tc>
          <w:tcPr>
            <w:tcW w:w="1591"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29" w:type="dxa"/>
              <w:right w:w="0" w:type="dxa"/>
            </w:tcMar>
            <w:vAlign w:val="center"/>
          </w:tcPr>
          <w:p w:rsidR="00CB5D4D" w:rsidRPr="00016AEA" w:rsidRDefault="00016AEA" w:rsidP="00CB5D4D">
            <w:pPr>
              <w:spacing w:before="100" w:beforeAutospacing="1" w:after="0" w:line="240" w:lineRule="auto"/>
              <w:jc w:val="center"/>
              <w:rPr>
                <w:rFonts w:ascii="Times New Roman" w:eastAsia="Times New Roman" w:hAnsi="Times New Roman" w:cs="Times New Roman"/>
                <w:sz w:val="24"/>
                <w:szCs w:val="24"/>
                <w:lang w:eastAsia="mk-MK"/>
              </w:rPr>
            </w:pPr>
            <w:r>
              <w:rPr>
                <w:rFonts w:ascii="StobiSerif Regular" w:eastAsia="Times New Roman" w:hAnsi="StobiSerif Regular" w:cs="Times New Roman"/>
                <w:b/>
                <w:bCs/>
                <w:color w:val="000000"/>
                <w:sz w:val="18"/>
                <w:szCs w:val="18"/>
                <w:lang w:eastAsia="mk-MK"/>
              </w:rPr>
              <w:t>Вкупно</w:t>
            </w:r>
          </w:p>
        </w:tc>
        <w:tc>
          <w:tcPr>
            <w:tcW w:w="1410"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eastAsia="mk-MK"/>
              </w:rPr>
            </w:pPr>
          </w:p>
        </w:tc>
        <w:tc>
          <w:tcPr>
            <w:tcW w:w="1531"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eastAsia="mk-MK"/>
              </w:rPr>
            </w:pPr>
          </w:p>
        </w:tc>
        <w:tc>
          <w:tcPr>
            <w:tcW w:w="1122"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10.618,43</w:t>
            </w:r>
          </w:p>
        </w:tc>
        <w:tc>
          <w:tcPr>
            <w:tcW w:w="1182"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10.578,45</w:t>
            </w:r>
          </w:p>
        </w:tc>
        <w:tc>
          <w:tcPr>
            <w:tcW w:w="1076"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29" w:type="dxa"/>
              <w:right w:w="0"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eastAsia="mk-MK"/>
              </w:rPr>
            </w:pPr>
          </w:p>
        </w:tc>
        <w:tc>
          <w:tcPr>
            <w:tcW w:w="1576"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29" w:type="dxa"/>
              <w:right w:w="115" w:type="dxa"/>
            </w:tcMar>
            <w:vAlign w:val="center"/>
          </w:tcPr>
          <w:p w:rsidR="00CB5D4D" w:rsidRPr="00CB5D4D" w:rsidRDefault="00CB5D4D" w:rsidP="00CB5D4D">
            <w:pPr>
              <w:spacing w:before="100" w:beforeAutospacing="1" w:after="0" w:line="240" w:lineRule="auto"/>
              <w:jc w:val="center"/>
              <w:rPr>
                <w:rFonts w:ascii="Times New Roman" w:eastAsia="Times New Roman" w:hAnsi="Times New Roman" w:cs="Times New Roman"/>
                <w:sz w:val="24"/>
                <w:szCs w:val="24"/>
                <w:lang w:val="en-US" w:eastAsia="mk-MK"/>
              </w:rPr>
            </w:pPr>
            <w:r w:rsidRPr="00CB5D4D">
              <w:rPr>
                <w:rFonts w:ascii="StobiSerif Regular" w:eastAsia="Times New Roman" w:hAnsi="StobiSerif Regular" w:cs="Times New Roman"/>
                <w:color w:val="000000"/>
                <w:sz w:val="18"/>
                <w:szCs w:val="18"/>
                <w:lang w:val="en-US" w:eastAsia="mk-MK"/>
              </w:rPr>
              <w:t>16,14</w:t>
            </w:r>
          </w:p>
        </w:tc>
      </w:tr>
    </w:tbl>
    <w:p w:rsidR="00CB5D4D" w:rsidRPr="00016AEA" w:rsidRDefault="00016AEA" w:rsidP="00CB5D4D">
      <w:pPr>
        <w:pStyle w:val="NoSpacing"/>
        <w:spacing w:after="120"/>
        <w:jc w:val="both"/>
        <w:rPr>
          <w:rFonts w:ascii="StobiSerif Regular" w:hAnsi="StobiSerif Regular"/>
          <w:lang w:eastAsia="mk-MK"/>
        </w:rPr>
      </w:pPr>
      <w:r>
        <w:rPr>
          <w:rFonts w:ascii="StobiSerif Regular" w:eastAsia="Times New Roman" w:hAnsi="StobiSerif Regular" w:cs="Times New Roman"/>
          <w:b/>
          <w:bCs/>
          <w:color w:val="000000"/>
          <w:sz w:val="16"/>
          <w:szCs w:val="16"/>
          <w:lang w:eastAsia="mk-MK"/>
        </w:rPr>
        <w:t>Извор: НАО</w:t>
      </w:r>
    </w:p>
    <w:p w:rsidR="00CB5D4D" w:rsidRPr="00940B03" w:rsidRDefault="00693105" w:rsidP="00693105">
      <w:pPr>
        <w:pStyle w:val="ListParagraph"/>
        <w:numPr>
          <w:ilvl w:val="0"/>
          <w:numId w:val="33"/>
        </w:numPr>
        <w:spacing w:before="100" w:beforeAutospacing="1" w:after="288" w:line="240" w:lineRule="auto"/>
        <w:jc w:val="both"/>
        <w:rPr>
          <w:rFonts w:ascii="StobiSerif Regular" w:eastAsia="Times New Roman" w:hAnsi="StobiSerif Regular" w:cs="Times New Roman"/>
          <w:i/>
          <w:iCs/>
          <w:u w:val="single"/>
          <w:lang w:val="en-US" w:eastAsia="mk-MK"/>
        </w:rPr>
      </w:pPr>
      <w:r w:rsidRPr="00693105">
        <w:rPr>
          <w:rFonts w:ascii="StobiSerif Regular" w:eastAsia="Times New Roman" w:hAnsi="StobiSerif Regular" w:cs="Times New Roman"/>
          <w:i/>
          <w:iCs/>
          <w:u w:val="single"/>
          <w:lang w:val="en-US" w:eastAsia="mk-MK"/>
        </w:rPr>
        <w:t>Сметководство</w:t>
      </w:r>
    </w:p>
    <w:p w:rsidR="00CB5D4D" w:rsidRPr="00CB5D4D" w:rsidRDefault="00693105" w:rsidP="00CB5D4D">
      <w:pPr>
        <w:spacing w:after="120" w:line="240" w:lineRule="auto"/>
        <w:ind w:firstLine="720"/>
        <w:jc w:val="both"/>
        <w:rPr>
          <w:rFonts w:ascii="StobiSerif Regular" w:eastAsia="Times New Roman" w:hAnsi="StobiSerif Regular" w:cs="Times New Roman"/>
          <w:lang w:val="en-US" w:eastAsia="mk-MK"/>
        </w:rPr>
      </w:pPr>
      <w:r w:rsidRPr="00693105">
        <w:rPr>
          <w:rFonts w:ascii="StobiSerif Regular" w:eastAsia="Calibri" w:hAnsi="StobiSerif Regular" w:cs="StobiSerif Regular"/>
          <w:lang w:val="en-US"/>
        </w:rPr>
        <w:t>Системот за сметководство на Националниот фонд и ИПАРД Агенцијата е во согласност со Меѓународниот сметководствен стандард за јавен сектор за јавниот сектор (IPSAS).</w:t>
      </w:r>
    </w:p>
    <w:p w:rsidR="00CB5D4D" w:rsidRPr="00CB5D4D" w:rsidRDefault="00693105" w:rsidP="00CB5D4D">
      <w:pPr>
        <w:spacing w:after="120" w:line="240" w:lineRule="auto"/>
        <w:ind w:firstLine="720"/>
        <w:jc w:val="both"/>
        <w:rPr>
          <w:rFonts w:ascii="StobiSerif Regular" w:eastAsia="Times New Roman" w:hAnsi="StobiSerif Regular" w:cs="Times New Roman"/>
          <w:lang w:val="en-US" w:eastAsia="mk-MK"/>
        </w:rPr>
      </w:pPr>
      <w:r w:rsidRPr="00693105">
        <w:rPr>
          <w:rFonts w:ascii="StobiSerif Regular" w:eastAsia="Times New Roman" w:hAnsi="StobiSerif Regular" w:cs="Times New Roman"/>
          <w:lang w:val="en-US" w:eastAsia="mk-MK"/>
        </w:rPr>
        <w:t>Сите трансакции направени на банкарските сметки на НФ и ИПАРД Агенцијата беа соодветно евидентирани во сметководствениот систем на НФ и ИПАРД Агенцијата</w:t>
      </w:r>
      <w:r w:rsidR="00CB5D4D" w:rsidRPr="00CB5D4D">
        <w:rPr>
          <w:rFonts w:ascii="StobiSerif Regular" w:eastAsia="Times New Roman" w:hAnsi="StobiSerif Regular" w:cs="Times New Roman"/>
          <w:lang w:val="en-US" w:eastAsia="mk-MK"/>
        </w:rPr>
        <w:t xml:space="preserve">. </w:t>
      </w:r>
    </w:p>
    <w:p w:rsidR="00CB5D4D" w:rsidRPr="00CB5D4D" w:rsidRDefault="00693105" w:rsidP="00CB5D4D">
      <w:pPr>
        <w:spacing w:after="120" w:line="240" w:lineRule="auto"/>
        <w:ind w:firstLine="720"/>
        <w:jc w:val="both"/>
        <w:rPr>
          <w:rFonts w:ascii="StobiSerif Regular" w:eastAsia="Calibri" w:hAnsi="StobiSerif Regular" w:cs="Arial"/>
          <w:color w:val="000000"/>
          <w:lang w:val="en-US" w:eastAsia="mk-MK"/>
        </w:rPr>
      </w:pPr>
      <w:r w:rsidRPr="00693105">
        <w:rPr>
          <w:rFonts w:ascii="StobiSerif Regular" w:eastAsia="Times New Roman" w:hAnsi="StobiSerif Regular" w:cs="Times New Roman"/>
          <w:lang w:val="en-US" w:eastAsia="mk-MK"/>
        </w:rPr>
        <w:t>Според IPSAS, Националниот фонд до 28 февруари секоја година ги подготв</w:t>
      </w:r>
      <w:r w:rsidR="003A01E2">
        <w:rPr>
          <w:rFonts w:ascii="StobiSerif Regular" w:eastAsia="Times New Roman" w:hAnsi="StobiSerif Regular" w:cs="Times New Roman"/>
          <w:lang w:eastAsia="mk-MK"/>
        </w:rPr>
        <w:t>ува</w:t>
      </w:r>
      <w:r w:rsidRPr="00693105">
        <w:rPr>
          <w:rFonts w:ascii="StobiSerif Regular" w:eastAsia="Times New Roman" w:hAnsi="StobiSerif Regular" w:cs="Times New Roman"/>
          <w:lang w:val="en-US" w:eastAsia="mk-MK"/>
        </w:rPr>
        <w:t xml:space="preserve"> следните финансиски извештаи</w:t>
      </w:r>
      <w:r w:rsidR="00CB5D4D" w:rsidRPr="00CB5D4D">
        <w:rPr>
          <w:rFonts w:ascii="StobiSerif Regular" w:eastAsia="Calibri" w:hAnsi="StobiSerif Regular" w:cs="Arial"/>
          <w:color w:val="000000"/>
          <w:lang w:val="en-US" w:eastAsia="mk-MK"/>
        </w:rPr>
        <w:t>:</w:t>
      </w:r>
    </w:p>
    <w:p w:rsidR="003A01E2" w:rsidRPr="003A01E2" w:rsidRDefault="003A01E2" w:rsidP="003A01E2">
      <w:pPr>
        <w:numPr>
          <w:ilvl w:val="0"/>
          <w:numId w:val="9"/>
        </w:numPr>
        <w:spacing w:after="120" w:line="240" w:lineRule="auto"/>
        <w:jc w:val="both"/>
        <w:rPr>
          <w:rFonts w:ascii="StobiSerif Regular" w:eastAsia="Times New Roman" w:hAnsi="StobiSerif Regular" w:cs="Times New Roman"/>
          <w:color w:val="000000"/>
          <w:lang w:val="en-US" w:eastAsia="mk-MK"/>
        </w:rPr>
      </w:pPr>
      <w:r w:rsidRPr="003A01E2">
        <w:rPr>
          <w:rFonts w:ascii="StobiSerif Regular" w:eastAsia="Times New Roman" w:hAnsi="StobiSerif Regular" w:cs="Times New Roman"/>
          <w:color w:val="000000"/>
          <w:lang w:val="en-US" w:eastAsia="mk-MK"/>
        </w:rPr>
        <w:t>Извештај за финансиска состојба;</w:t>
      </w:r>
    </w:p>
    <w:p w:rsidR="003A01E2" w:rsidRPr="003A01E2" w:rsidRDefault="003A01E2" w:rsidP="003A01E2">
      <w:pPr>
        <w:numPr>
          <w:ilvl w:val="0"/>
          <w:numId w:val="9"/>
        </w:numPr>
        <w:spacing w:after="120" w:line="240" w:lineRule="auto"/>
        <w:jc w:val="both"/>
        <w:rPr>
          <w:rFonts w:ascii="StobiSerif Regular" w:eastAsia="Times New Roman" w:hAnsi="StobiSerif Regular" w:cs="Times New Roman"/>
          <w:color w:val="000000"/>
          <w:lang w:val="en-US" w:eastAsia="mk-MK"/>
        </w:rPr>
      </w:pPr>
      <w:r w:rsidRPr="003A01E2">
        <w:rPr>
          <w:rFonts w:ascii="StobiSerif Regular" w:eastAsia="Times New Roman" w:hAnsi="StobiSerif Regular" w:cs="Times New Roman"/>
          <w:color w:val="000000"/>
          <w:lang w:val="en-US" w:eastAsia="mk-MK"/>
        </w:rPr>
        <w:t>Извештај за финансиско работење;</w:t>
      </w:r>
    </w:p>
    <w:p w:rsidR="003A01E2" w:rsidRPr="003A01E2" w:rsidRDefault="003A01E2" w:rsidP="003A01E2">
      <w:pPr>
        <w:numPr>
          <w:ilvl w:val="0"/>
          <w:numId w:val="9"/>
        </w:numPr>
        <w:spacing w:after="120" w:line="240" w:lineRule="auto"/>
        <w:jc w:val="both"/>
        <w:rPr>
          <w:rFonts w:ascii="StobiSerif Regular" w:eastAsia="Times New Roman" w:hAnsi="StobiSerif Regular" w:cs="Times New Roman"/>
          <w:color w:val="000000"/>
          <w:lang w:val="en-US" w:eastAsia="mk-MK"/>
        </w:rPr>
      </w:pPr>
      <w:r w:rsidRPr="003A01E2">
        <w:rPr>
          <w:rFonts w:ascii="StobiSerif Regular" w:eastAsia="Times New Roman" w:hAnsi="StobiSerif Regular" w:cs="Times New Roman"/>
          <w:color w:val="000000"/>
          <w:lang w:val="en-US" w:eastAsia="mk-MK"/>
        </w:rPr>
        <w:t>Извештај за паричните текови;</w:t>
      </w:r>
    </w:p>
    <w:p w:rsidR="003A01E2" w:rsidRPr="003A01E2" w:rsidRDefault="003A01E2" w:rsidP="003A01E2">
      <w:pPr>
        <w:numPr>
          <w:ilvl w:val="0"/>
          <w:numId w:val="9"/>
        </w:numPr>
        <w:spacing w:after="120" w:line="240" w:lineRule="auto"/>
        <w:jc w:val="both"/>
        <w:rPr>
          <w:rFonts w:ascii="StobiSerif Regular" w:eastAsia="Times New Roman" w:hAnsi="StobiSerif Regular" w:cs="Times New Roman"/>
          <w:color w:val="000000"/>
          <w:lang w:val="en-US" w:eastAsia="mk-MK"/>
        </w:rPr>
      </w:pPr>
      <w:r w:rsidRPr="003A01E2">
        <w:rPr>
          <w:rFonts w:ascii="StobiSerif Regular" w:eastAsia="Times New Roman" w:hAnsi="StobiSerif Regular" w:cs="Times New Roman"/>
          <w:color w:val="000000"/>
          <w:lang w:val="en-US" w:eastAsia="mk-MK"/>
        </w:rPr>
        <w:t>Извештај за промените на нето средства / капитал и</w:t>
      </w:r>
    </w:p>
    <w:p w:rsidR="00CB5D4D" w:rsidRPr="00CB5D4D" w:rsidRDefault="003A01E2" w:rsidP="003A01E2">
      <w:pPr>
        <w:numPr>
          <w:ilvl w:val="0"/>
          <w:numId w:val="9"/>
        </w:numPr>
        <w:spacing w:after="120" w:line="240" w:lineRule="auto"/>
        <w:jc w:val="both"/>
        <w:rPr>
          <w:rFonts w:ascii="StobiSerif Regular" w:eastAsia="Times New Roman" w:hAnsi="StobiSerif Regular" w:cs="Times New Roman"/>
          <w:color w:val="000000"/>
          <w:lang w:val="en-US" w:eastAsia="mk-MK"/>
        </w:rPr>
      </w:pPr>
      <w:r w:rsidRPr="003A01E2">
        <w:rPr>
          <w:rFonts w:ascii="StobiSerif Regular" w:eastAsia="Times New Roman" w:hAnsi="StobiSerif Regular" w:cs="Times New Roman"/>
          <w:color w:val="000000"/>
          <w:lang w:val="en-US" w:eastAsia="mk-MK"/>
        </w:rPr>
        <w:t>Забелешки за годишните сметки</w:t>
      </w:r>
      <w:r w:rsidR="00CB5D4D" w:rsidRPr="00CB5D4D">
        <w:rPr>
          <w:rFonts w:ascii="StobiSerif Regular" w:eastAsia="Times New Roman" w:hAnsi="StobiSerif Regular" w:cs="Times New Roman"/>
          <w:color w:val="000000"/>
          <w:lang w:val="en-US" w:eastAsia="mk-MK"/>
        </w:rPr>
        <w:t>.</w:t>
      </w:r>
    </w:p>
    <w:p w:rsidR="00CB5D4D" w:rsidRPr="00CB5D4D" w:rsidRDefault="003A01E2" w:rsidP="00CB5D4D">
      <w:pPr>
        <w:spacing w:after="240" w:line="240" w:lineRule="auto"/>
        <w:ind w:firstLine="709"/>
        <w:jc w:val="both"/>
        <w:rPr>
          <w:rFonts w:ascii="StobiSerif Regular" w:eastAsia="Calibri" w:hAnsi="StobiSerif Regular" w:cs="Arial"/>
          <w:color w:val="000000"/>
          <w:lang w:val="en-US" w:eastAsia="mk-MK"/>
        </w:rPr>
      </w:pPr>
      <w:r w:rsidRPr="003A01E2">
        <w:rPr>
          <w:rFonts w:ascii="StobiSerif Regular" w:eastAsia="Calibri" w:hAnsi="StobiSerif Regular" w:cs="Arial"/>
          <w:color w:val="000000"/>
          <w:lang w:val="en-US" w:eastAsia="mk-MK"/>
        </w:rPr>
        <w:t>Во процесот на подготовка на годишната сметка на Националниот фонд беа земени предвид забелешките и препораките дадени од страна на Ревизорското тело и ГД АГРИ во нивните писма за одобрување на сметки</w:t>
      </w:r>
      <w:r w:rsidR="00CB5D4D" w:rsidRPr="00CB5D4D">
        <w:rPr>
          <w:rFonts w:ascii="StobiSerif Regular" w:eastAsia="Calibri" w:hAnsi="StobiSerif Regular" w:cs="Arial"/>
          <w:color w:val="000000"/>
          <w:lang w:val="en-US" w:eastAsia="mk-MK"/>
        </w:rPr>
        <w:t>.</w:t>
      </w:r>
    </w:p>
    <w:p w:rsidR="00DC639E" w:rsidRDefault="00DC639E" w:rsidP="00DC639E">
      <w:pPr>
        <w:pStyle w:val="ListParagraph"/>
        <w:numPr>
          <w:ilvl w:val="0"/>
          <w:numId w:val="58"/>
        </w:numPr>
        <w:spacing w:before="100" w:beforeAutospacing="1" w:after="288" w:line="240" w:lineRule="auto"/>
        <w:jc w:val="both"/>
        <w:rPr>
          <w:rFonts w:ascii="Times New Roman" w:eastAsia="Times New Roman" w:hAnsi="Times New Roman" w:cs="Times New Roman"/>
          <w:sz w:val="24"/>
          <w:szCs w:val="24"/>
          <w:lang w:val="en-US" w:eastAsia="mk-MK"/>
        </w:rPr>
      </w:pPr>
      <w:r>
        <w:rPr>
          <w:rFonts w:ascii="StobiSerif Regular" w:eastAsia="Times New Roman" w:hAnsi="StobiSerif Regular" w:cs="Times New Roman"/>
          <w:i/>
          <w:iCs/>
          <w:color w:val="00000A"/>
          <w:u w:val="single"/>
          <w:lang w:val="en-US" w:eastAsia="mk-MK"/>
        </w:rPr>
        <w:t>Систем за сметководство и финансиски менаџмент (SAP)</w:t>
      </w:r>
    </w:p>
    <w:p w:rsidR="00B07A8D" w:rsidRPr="00B07A8D" w:rsidRDefault="00B07A8D" w:rsidP="00B07A8D">
      <w:pPr>
        <w:spacing w:after="120" w:line="240" w:lineRule="auto"/>
        <w:ind w:firstLine="720"/>
        <w:jc w:val="both"/>
        <w:rPr>
          <w:rFonts w:ascii="StobiSerif Regular" w:eastAsia="Calibri" w:hAnsi="StobiSerif Regular" w:cs="Arial"/>
          <w:color w:val="000000"/>
          <w:lang w:val="en-US" w:eastAsia="mk-MK"/>
        </w:rPr>
      </w:pPr>
      <w:r w:rsidRPr="00B07A8D">
        <w:rPr>
          <w:rFonts w:ascii="StobiSerif Regular" w:eastAsia="Calibri" w:hAnsi="StobiSerif Regular" w:cs="Arial"/>
          <w:color w:val="000000"/>
          <w:lang w:val="en-US" w:eastAsia="mk-MK"/>
        </w:rPr>
        <w:t xml:space="preserve">Прегледот на функционалноста на </w:t>
      </w:r>
      <w:r w:rsidR="00DC639E">
        <w:rPr>
          <w:rFonts w:ascii="StobiSerif Regular" w:eastAsia="Calibri" w:hAnsi="StobiSerif Regular" w:cs="Arial"/>
          <w:color w:val="000000"/>
          <w:lang w:val="en-US" w:eastAsia="mk-MK"/>
        </w:rPr>
        <w:t>SAP</w:t>
      </w:r>
      <w:r w:rsidR="00DC639E" w:rsidRPr="00B07A8D">
        <w:rPr>
          <w:rFonts w:ascii="StobiSerif Regular" w:eastAsia="Calibri" w:hAnsi="StobiSerif Regular" w:cs="Arial"/>
          <w:color w:val="000000"/>
          <w:lang w:val="en-US" w:eastAsia="mk-MK"/>
        </w:rPr>
        <w:t xml:space="preserve"> </w:t>
      </w:r>
      <w:r w:rsidRPr="00B07A8D">
        <w:rPr>
          <w:rFonts w:ascii="StobiSerif Regular" w:eastAsia="Calibri" w:hAnsi="StobiSerif Regular" w:cs="Arial"/>
          <w:color w:val="000000"/>
          <w:lang w:val="en-US" w:eastAsia="mk-MK"/>
        </w:rPr>
        <w:t xml:space="preserve">системот го изврши интернационалната трета деловна ревизорска куќа DeLoitte. Врз основа на конечниот ревизорски извештај издаден во април 2016 година, целокупната оценка е дека </w:t>
      </w:r>
      <w:r w:rsidR="00DC639E">
        <w:rPr>
          <w:rFonts w:ascii="StobiSerif Regular" w:eastAsia="Calibri" w:hAnsi="StobiSerif Regular" w:cs="Arial"/>
          <w:color w:val="000000"/>
          <w:lang w:val="en-US" w:eastAsia="mk-MK"/>
        </w:rPr>
        <w:t>SAP системот</w:t>
      </w:r>
      <w:r w:rsidRPr="00B07A8D">
        <w:rPr>
          <w:rFonts w:ascii="StobiSerif Regular" w:eastAsia="Calibri" w:hAnsi="StobiSerif Regular" w:cs="Arial"/>
          <w:color w:val="000000"/>
          <w:lang w:val="en-US" w:eastAsia="mk-MK"/>
        </w:rPr>
        <w:t xml:space="preserve"> ги поддржува процесите во Агенцијата и Националниот фонд во согласност со целите и </w:t>
      </w:r>
      <w:r w:rsidR="00F24BBC">
        <w:rPr>
          <w:rFonts w:ascii="StobiSerif Regular" w:eastAsia="Calibri" w:hAnsi="StobiSerif Regular" w:cs="Arial"/>
          <w:color w:val="000000"/>
          <w:lang w:eastAsia="mk-MK"/>
        </w:rPr>
        <w:t xml:space="preserve">дека </w:t>
      </w:r>
      <w:r w:rsidR="00F24BBC">
        <w:rPr>
          <w:rFonts w:ascii="StobiSerif Regular" w:eastAsia="Calibri" w:hAnsi="StobiSerif Regular" w:cs="Arial"/>
          <w:color w:val="000000"/>
          <w:lang w:val="en-US" w:eastAsia="mk-MK"/>
        </w:rPr>
        <w:t xml:space="preserve">SAP системот </w:t>
      </w:r>
      <w:r w:rsidRPr="00B07A8D">
        <w:rPr>
          <w:rFonts w:ascii="StobiSerif Regular" w:eastAsia="Calibri" w:hAnsi="StobiSerif Regular" w:cs="Arial"/>
          <w:color w:val="000000"/>
          <w:lang w:val="en-US" w:eastAsia="mk-MK"/>
        </w:rPr>
        <w:t xml:space="preserve">може да се користи како алатка за спроведување на сметководствениот систем на Националниот фонд И ИПАРД Агенцијата. Сите потребни извештаи во согласност со акредитираните формулари автоматски се генерираат од системот. Во однос на тестирање на комплетноста и точноста на податоците, од ревизијата не се идентификувани отстапувања во содржината на избраните примероци. Агенцијата ИПАРД и НФ работат интензивно за што побрзо да ги имплементираат сите препораки од конечниот извештај </w:t>
      </w:r>
      <w:r w:rsidR="00F24BBC">
        <w:rPr>
          <w:rFonts w:ascii="StobiSerif Regular" w:eastAsia="Calibri" w:hAnsi="StobiSerif Regular" w:cs="Arial"/>
          <w:color w:val="000000"/>
          <w:lang w:eastAsia="mk-MK"/>
        </w:rPr>
        <w:t>на</w:t>
      </w:r>
      <w:r w:rsidRPr="00B07A8D">
        <w:rPr>
          <w:rFonts w:ascii="StobiSerif Regular" w:eastAsia="Calibri" w:hAnsi="StobiSerif Regular" w:cs="Arial"/>
          <w:color w:val="000000"/>
          <w:lang w:val="en-US" w:eastAsia="mk-MK"/>
        </w:rPr>
        <w:t xml:space="preserve"> ревизија</w:t>
      </w:r>
      <w:r w:rsidR="00F24BBC">
        <w:rPr>
          <w:rFonts w:ascii="StobiSerif Regular" w:eastAsia="Calibri" w:hAnsi="StobiSerif Regular" w:cs="Arial"/>
          <w:color w:val="000000"/>
          <w:lang w:eastAsia="mk-MK"/>
        </w:rPr>
        <w:t>та</w:t>
      </w:r>
      <w:r w:rsidRPr="00B07A8D">
        <w:rPr>
          <w:rFonts w:ascii="StobiSerif Regular" w:eastAsia="Calibri" w:hAnsi="StobiSerif Regular" w:cs="Arial"/>
          <w:color w:val="000000"/>
          <w:lang w:val="en-US" w:eastAsia="mk-MK"/>
        </w:rPr>
        <w:t xml:space="preserve">. Во однос на </w:t>
      </w:r>
      <w:r w:rsidR="00F24BBC" w:rsidRPr="00B07A8D">
        <w:rPr>
          <w:rFonts w:ascii="StobiSerif Regular" w:eastAsia="Calibri" w:hAnsi="StobiSerif Regular" w:cs="Arial"/>
          <w:color w:val="000000"/>
          <w:lang w:val="en-US" w:eastAsia="mk-MK"/>
        </w:rPr>
        <w:t xml:space="preserve">DMS </w:t>
      </w:r>
      <w:r w:rsidRPr="00B07A8D">
        <w:rPr>
          <w:rFonts w:ascii="StobiSerif Regular" w:eastAsia="Calibri" w:hAnsi="StobiSerif Regular" w:cs="Arial"/>
          <w:color w:val="000000"/>
          <w:lang w:val="en-US" w:eastAsia="mk-MK"/>
        </w:rPr>
        <w:t xml:space="preserve">системот, сите договорени процеси се креирани и тестирани од страна на релевантните </w:t>
      </w:r>
      <w:r w:rsidR="00F24BBC" w:rsidRPr="00B07A8D">
        <w:rPr>
          <w:rFonts w:ascii="StobiSerif Regular" w:eastAsia="Calibri" w:hAnsi="StobiSerif Regular" w:cs="Arial"/>
          <w:color w:val="000000"/>
          <w:lang w:val="en-US" w:eastAsia="mk-MK"/>
        </w:rPr>
        <w:t xml:space="preserve">вработените во </w:t>
      </w:r>
      <w:r w:rsidRPr="00B07A8D">
        <w:rPr>
          <w:rFonts w:ascii="StobiSerif Regular" w:eastAsia="Calibri" w:hAnsi="StobiSerif Regular" w:cs="Arial"/>
          <w:color w:val="000000"/>
          <w:lang w:val="en-US" w:eastAsia="mk-MK"/>
        </w:rPr>
        <w:t>ИПАРД Агенци</w:t>
      </w:r>
      <w:r w:rsidR="00F24BBC">
        <w:rPr>
          <w:rFonts w:ascii="StobiSerif Regular" w:eastAsia="Calibri" w:hAnsi="StobiSerif Regular" w:cs="Arial"/>
          <w:color w:val="000000"/>
          <w:lang w:eastAsia="mk-MK"/>
        </w:rPr>
        <w:t>јата</w:t>
      </w:r>
      <w:r w:rsidRPr="00B07A8D">
        <w:rPr>
          <w:rFonts w:ascii="StobiSerif Regular" w:eastAsia="Calibri" w:hAnsi="StobiSerif Regular" w:cs="Arial"/>
          <w:color w:val="000000"/>
          <w:lang w:val="en-US" w:eastAsia="mk-MK"/>
        </w:rPr>
        <w:t xml:space="preserve"> и МЗ</w:t>
      </w:r>
      <w:r w:rsidR="00F24BBC">
        <w:rPr>
          <w:rFonts w:ascii="StobiSerif Regular" w:eastAsia="Calibri" w:hAnsi="StobiSerif Regular" w:cs="Arial"/>
          <w:color w:val="000000"/>
          <w:lang w:eastAsia="mk-MK"/>
        </w:rPr>
        <w:t>ШВ</w:t>
      </w:r>
      <w:r w:rsidRPr="00B07A8D">
        <w:rPr>
          <w:rFonts w:ascii="StobiSerif Regular" w:eastAsia="Calibri" w:hAnsi="StobiSerif Regular" w:cs="Arial"/>
          <w:color w:val="000000"/>
          <w:lang w:val="en-US" w:eastAsia="mk-MK"/>
        </w:rPr>
        <w:t>.</w:t>
      </w:r>
    </w:p>
    <w:p w:rsidR="00CB5D4D" w:rsidRPr="00CB5D4D" w:rsidRDefault="00B07A8D" w:rsidP="00B07A8D">
      <w:pPr>
        <w:spacing w:after="120" w:line="240" w:lineRule="auto"/>
        <w:ind w:firstLine="720"/>
        <w:jc w:val="both"/>
        <w:rPr>
          <w:rFonts w:ascii="StobiSerif Regular" w:eastAsia="Calibri" w:hAnsi="StobiSerif Regular" w:cs="Arial"/>
          <w:color w:val="000000"/>
          <w:lang w:val="en-US" w:eastAsia="mk-MK"/>
        </w:rPr>
      </w:pPr>
      <w:r w:rsidRPr="00B07A8D">
        <w:rPr>
          <w:rFonts w:ascii="StobiSerif Regular" w:eastAsia="Calibri" w:hAnsi="StobiSerif Regular" w:cs="Arial"/>
          <w:color w:val="000000"/>
          <w:lang w:val="en-US" w:eastAsia="mk-MK"/>
        </w:rPr>
        <w:t>На 16.12.2016 година беше потпишан нов договор за превентивно и адаптивно одржување на софтверот под кој е планирано, сите пречки и недостатоци забележани во претходниот период да се надминат и сите потребни дополнителни извештаи да се развијат во претстојните месеци</w:t>
      </w:r>
      <w:r w:rsidR="00CB5D4D" w:rsidRPr="00CB5D4D">
        <w:rPr>
          <w:rFonts w:ascii="StobiSerif Regular" w:eastAsia="Calibri" w:hAnsi="StobiSerif Regular" w:cs="Arial"/>
          <w:color w:val="000000"/>
          <w:lang w:val="en-US" w:eastAsia="mk-MK"/>
        </w:rPr>
        <w:t>.</w:t>
      </w:r>
    </w:p>
    <w:p w:rsidR="00CB5D4D" w:rsidRPr="00CB5D4D" w:rsidRDefault="00F24BBC" w:rsidP="00CB5D4D">
      <w:pPr>
        <w:spacing w:before="100" w:beforeAutospacing="1" w:after="120" w:line="240" w:lineRule="auto"/>
        <w:ind w:firstLine="720"/>
        <w:jc w:val="both"/>
        <w:rPr>
          <w:rFonts w:ascii="Times New Roman" w:eastAsia="Times New Roman" w:hAnsi="Times New Roman" w:cs="Times New Roman"/>
          <w:sz w:val="24"/>
          <w:szCs w:val="24"/>
          <w:lang w:val="en-US" w:eastAsia="mk-MK"/>
        </w:rPr>
      </w:pPr>
      <w:r>
        <w:rPr>
          <w:rFonts w:ascii="StobiSerif Regular" w:eastAsia="Times New Roman" w:hAnsi="StobiSerif Regular" w:cs="Times New Roman"/>
          <w:b/>
          <w:bCs/>
          <w:u w:val="single"/>
          <w:lang w:eastAsia="mk-MK"/>
        </w:rPr>
        <w:t>Заклучоци</w:t>
      </w:r>
      <w:r w:rsidR="00CB5D4D" w:rsidRPr="00CB5D4D">
        <w:rPr>
          <w:rFonts w:ascii="StobiSerif Regular" w:eastAsia="Times New Roman" w:hAnsi="StobiSerif Regular" w:cs="Times New Roman"/>
          <w:b/>
          <w:bCs/>
          <w:u w:val="single"/>
          <w:lang w:val="en-US" w:eastAsia="mk-MK"/>
        </w:rPr>
        <w:t>:</w:t>
      </w:r>
    </w:p>
    <w:p w:rsidR="00CB5D4D" w:rsidRPr="00CB5D4D" w:rsidRDefault="00F24BBC" w:rsidP="00CB5D4D">
      <w:pPr>
        <w:spacing w:after="120" w:line="240" w:lineRule="auto"/>
        <w:ind w:firstLine="720"/>
        <w:jc w:val="both"/>
        <w:rPr>
          <w:rFonts w:ascii="StobiSerif Regular" w:eastAsia="Times New Roman" w:hAnsi="StobiSerif Regular" w:cs="Times New Roman"/>
          <w:lang w:val="en-US" w:eastAsia="mk-MK"/>
        </w:rPr>
      </w:pPr>
      <w:r>
        <w:rPr>
          <w:rFonts w:ascii="StobiSerif Regular" w:eastAsia="Times New Roman" w:hAnsi="StobiSerif Regular" w:cs="Times New Roman"/>
          <w:color w:val="000000"/>
          <w:lang w:eastAsia="mk-MK"/>
        </w:rPr>
        <w:t>Изјавата за гаранција,</w:t>
      </w:r>
      <w:r w:rsidRPr="00F24BBC">
        <w:rPr>
          <w:rFonts w:ascii="StobiSerif Regular" w:eastAsia="Times New Roman" w:hAnsi="StobiSerif Regular" w:cs="Times New Roman"/>
          <w:color w:val="000000"/>
          <w:lang w:val="en-US" w:eastAsia="mk-MK"/>
        </w:rPr>
        <w:t xml:space="preserve"> подготвен</w:t>
      </w:r>
      <w:r>
        <w:rPr>
          <w:rFonts w:ascii="StobiSerif Regular" w:eastAsia="Times New Roman" w:hAnsi="StobiSerif Regular" w:cs="Times New Roman"/>
          <w:color w:val="000000"/>
          <w:lang w:eastAsia="mk-MK"/>
        </w:rPr>
        <w:t>а</w:t>
      </w:r>
      <w:r w:rsidRPr="00F24BBC">
        <w:rPr>
          <w:rFonts w:ascii="StobiSerif Regular" w:eastAsia="Times New Roman" w:hAnsi="StobiSerif Regular" w:cs="Times New Roman"/>
          <w:color w:val="000000"/>
          <w:lang w:val="en-US" w:eastAsia="mk-MK"/>
        </w:rPr>
        <w:t xml:space="preserve"> за 2016 година</w:t>
      </w:r>
      <w:r>
        <w:rPr>
          <w:rFonts w:ascii="StobiSerif Regular" w:eastAsia="Times New Roman" w:hAnsi="StobiSerif Regular" w:cs="Times New Roman"/>
          <w:color w:val="000000"/>
          <w:lang w:eastAsia="mk-MK"/>
        </w:rPr>
        <w:t>,</w:t>
      </w:r>
      <w:r w:rsidRPr="00F24BBC">
        <w:rPr>
          <w:rFonts w:ascii="StobiSerif Regular" w:eastAsia="Times New Roman" w:hAnsi="StobiSerif Regular" w:cs="Times New Roman"/>
          <w:color w:val="000000"/>
          <w:lang w:val="en-US" w:eastAsia="mk-MK"/>
        </w:rPr>
        <w:t xml:space="preserve"> е резултат на континуирани активности кои се преземени во текот на целата година од страна на персоналот на НАО и Стручн</w:t>
      </w:r>
      <w:r w:rsidR="004F25BD">
        <w:rPr>
          <w:rFonts w:ascii="StobiSerif Regular" w:eastAsia="Times New Roman" w:hAnsi="StobiSerif Regular" w:cs="Times New Roman"/>
          <w:color w:val="000000"/>
          <w:lang w:eastAsia="mk-MK"/>
        </w:rPr>
        <w:t>ите</w:t>
      </w:r>
      <w:r w:rsidRPr="00F24BBC">
        <w:rPr>
          <w:rFonts w:ascii="StobiSerif Regular" w:eastAsia="Times New Roman" w:hAnsi="StobiSerif Regular" w:cs="Times New Roman"/>
          <w:color w:val="000000"/>
          <w:lang w:val="en-US" w:eastAsia="mk-MK"/>
        </w:rPr>
        <w:t xml:space="preserve"> служб</w:t>
      </w:r>
      <w:r w:rsidR="004F25BD">
        <w:rPr>
          <w:rFonts w:ascii="StobiSerif Regular" w:eastAsia="Times New Roman" w:hAnsi="StobiSerif Regular" w:cs="Times New Roman"/>
          <w:color w:val="000000"/>
          <w:lang w:eastAsia="mk-MK"/>
        </w:rPr>
        <w:t>и</w:t>
      </w:r>
      <w:r w:rsidRPr="00F24BBC">
        <w:rPr>
          <w:rFonts w:ascii="StobiSerif Regular" w:eastAsia="Times New Roman" w:hAnsi="StobiSerif Regular" w:cs="Times New Roman"/>
          <w:color w:val="000000"/>
          <w:lang w:val="en-US" w:eastAsia="mk-MK"/>
        </w:rPr>
        <w:t>, почитувајќи ги воспоставените пишани процедури и активности за снимање во соодветните работни документи - регистри (ризици, неправилности , Наоди и препораки од ревизијата, слабости на внатрешна контрола, посети за проверка / на самото место) и проверка на листи</w:t>
      </w:r>
      <w:r w:rsidR="00CB5D4D" w:rsidRPr="00CB5D4D">
        <w:rPr>
          <w:rFonts w:ascii="StobiSerif Regular" w:eastAsia="Times New Roman" w:hAnsi="StobiSerif Regular" w:cs="Times New Roman"/>
          <w:lang w:val="en-US" w:eastAsia="mk-MK"/>
        </w:rPr>
        <w:t>.</w:t>
      </w:r>
    </w:p>
    <w:p w:rsidR="00CB5D4D" w:rsidRPr="004F25BD" w:rsidRDefault="004F25BD" w:rsidP="00CB5D4D">
      <w:pPr>
        <w:spacing w:after="120" w:line="240" w:lineRule="auto"/>
        <w:ind w:firstLine="720"/>
        <w:jc w:val="both"/>
        <w:rPr>
          <w:rFonts w:ascii="Times New Roman" w:eastAsia="Times New Roman" w:hAnsi="Times New Roman" w:cs="Times New Roman"/>
          <w:sz w:val="24"/>
          <w:szCs w:val="24"/>
          <w:lang w:eastAsia="mk-MK"/>
        </w:rPr>
      </w:pPr>
      <w:r w:rsidRPr="004F25BD">
        <w:rPr>
          <w:rFonts w:ascii="StobiSerif Regular" w:eastAsia="Times New Roman" w:hAnsi="StobiSerif Regular" w:cs="Times New Roman"/>
          <w:lang w:val="en-US" w:eastAsia="mk-MK"/>
        </w:rPr>
        <w:t xml:space="preserve">Според Внатрешниот Прирачник за процедури на НАО, НАО ќе </w:t>
      </w:r>
      <w:r w:rsidR="00281775">
        <w:rPr>
          <w:rFonts w:ascii="StobiSerif Regular" w:eastAsia="Times New Roman" w:hAnsi="StobiSerif Regular" w:cs="Times New Roman"/>
          <w:lang w:eastAsia="mk-MK"/>
        </w:rPr>
        <w:t xml:space="preserve">се насочи онаму </w:t>
      </w:r>
      <w:r w:rsidRPr="004F25BD">
        <w:rPr>
          <w:rFonts w:ascii="StobiSerif Regular" w:eastAsia="Times New Roman" w:hAnsi="StobiSerif Regular" w:cs="Times New Roman"/>
          <w:lang w:val="en-US" w:eastAsia="mk-MK"/>
        </w:rPr>
        <w:t xml:space="preserve">каде што има значителни недостатоци во националниот систем за контрола и </w:t>
      </w:r>
      <w:r w:rsidR="00281775">
        <w:rPr>
          <w:rFonts w:ascii="StobiSerif Regular" w:eastAsia="Times New Roman" w:hAnsi="StobiSerif Regular" w:cs="Times New Roman"/>
          <w:lang w:eastAsia="mk-MK"/>
        </w:rPr>
        <w:t xml:space="preserve">каде </w:t>
      </w:r>
      <w:r w:rsidRPr="004F25BD">
        <w:rPr>
          <w:rFonts w:ascii="StobiSerif Regular" w:eastAsia="Times New Roman" w:hAnsi="StobiSerif Regular" w:cs="Times New Roman"/>
          <w:lang w:val="en-US" w:eastAsia="mk-MK"/>
        </w:rPr>
        <w:t>резултирачкиот ризик е материјален. Следствено, следните фактори треба да бидат кумулативно исполнети</w:t>
      </w:r>
      <w:r w:rsidR="00CB5D4D" w:rsidRPr="00CB5D4D">
        <w:rPr>
          <w:rFonts w:ascii="StobiSerif Regular" w:eastAsia="Times New Roman" w:hAnsi="StobiSerif Regular" w:cs="Times New Roman"/>
          <w:color w:val="000000"/>
          <w:lang w:val="en-US" w:eastAsia="mk-MK"/>
        </w:rPr>
        <w:t>:</w:t>
      </w:r>
      <w:r>
        <w:rPr>
          <w:rFonts w:ascii="StobiSerif Regular" w:eastAsia="Times New Roman" w:hAnsi="StobiSerif Regular" w:cs="Times New Roman"/>
          <w:color w:val="000000"/>
          <w:lang w:eastAsia="mk-MK"/>
        </w:rPr>
        <w:t xml:space="preserve"> </w:t>
      </w:r>
    </w:p>
    <w:p w:rsidR="00790382" w:rsidRPr="00790382" w:rsidRDefault="00790382" w:rsidP="00790382">
      <w:pPr>
        <w:numPr>
          <w:ilvl w:val="0"/>
          <w:numId w:val="9"/>
        </w:numPr>
        <w:spacing w:after="120" w:line="240" w:lineRule="auto"/>
        <w:jc w:val="both"/>
        <w:rPr>
          <w:rFonts w:ascii="StobiSerif Regular" w:eastAsia="Times New Roman" w:hAnsi="StobiSerif Regular" w:cs="Times New Roman"/>
          <w:color w:val="000000"/>
          <w:lang w:val="en-US" w:eastAsia="mk-MK"/>
        </w:rPr>
      </w:pPr>
      <w:r w:rsidRPr="00790382">
        <w:rPr>
          <w:rFonts w:ascii="StobiSerif Regular" w:eastAsia="Times New Roman" w:hAnsi="StobiSerif Regular" w:cs="Times New Roman"/>
          <w:color w:val="000000"/>
          <w:lang w:val="en-US" w:eastAsia="mk-MK"/>
        </w:rPr>
        <w:t>испитувањето на квалитативните аспекти води до наод на значителни недостатоци во националниот систем за контрола, како што е дефинирано во точка квалитативни услови;</w:t>
      </w:r>
    </w:p>
    <w:p w:rsidR="00790382" w:rsidRPr="00790382" w:rsidRDefault="00790382" w:rsidP="00790382">
      <w:pPr>
        <w:numPr>
          <w:ilvl w:val="0"/>
          <w:numId w:val="9"/>
        </w:numPr>
        <w:spacing w:after="120" w:line="240" w:lineRule="auto"/>
        <w:jc w:val="both"/>
        <w:rPr>
          <w:rFonts w:ascii="StobiSerif Regular" w:eastAsia="Times New Roman" w:hAnsi="StobiSerif Regular" w:cs="Times New Roman"/>
          <w:color w:val="000000"/>
          <w:lang w:val="en-US" w:eastAsia="mk-MK"/>
        </w:rPr>
      </w:pPr>
      <w:r w:rsidRPr="00790382">
        <w:rPr>
          <w:rFonts w:ascii="StobiSerif Regular" w:eastAsia="Times New Roman" w:hAnsi="StobiSerif Regular" w:cs="Times New Roman"/>
          <w:color w:val="000000"/>
          <w:lang w:val="en-US" w:eastAsia="mk-MK"/>
        </w:rPr>
        <w:t>се проценува дека износот на непотребни плаќања надминува 2% од вкупните плаќања извршени во финансиската година за која станува збор;</w:t>
      </w:r>
    </w:p>
    <w:p w:rsidR="00CB5D4D" w:rsidRPr="00CB5D4D" w:rsidRDefault="00790382" w:rsidP="00790382">
      <w:pPr>
        <w:numPr>
          <w:ilvl w:val="0"/>
          <w:numId w:val="9"/>
        </w:numPr>
        <w:spacing w:after="120" w:line="240" w:lineRule="auto"/>
        <w:jc w:val="both"/>
        <w:rPr>
          <w:rFonts w:ascii="StobiSerif Regular" w:eastAsia="Times New Roman" w:hAnsi="StobiSerif Regular" w:cs="Times New Roman"/>
          <w:color w:val="000000"/>
          <w:lang w:val="en-US" w:eastAsia="mk-MK"/>
        </w:rPr>
      </w:pPr>
      <w:r w:rsidRPr="00790382">
        <w:rPr>
          <w:rFonts w:ascii="StobiSerif Regular" w:eastAsia="Times New Roman" w:hAnsi="StobiSerif Regular" w:cs="Times New Roman"/>
          <w:color w:val="000000"/>
          <w:lang w:val="en-US" w:eastAsia="mk-MK"/>
        </w:rPr>
        <w:t>Не е можно да се спротивстави на влијанието на недостатоците со корективни мерки</w:t>
      </w:r>
      <w:r w:rsidR="00CB5D4D" w:rsidRPr="00CB5D4D">
        <w:rPr>
          <w:rFonts w:ascii="StobiSerif Regular" w:eastAsia="Times New Roman" w:hAnsi="StobiSerif Regular" w:cs="Times New Roman"/>
          <w:color w:val="000000"/>
          <w:lang w:val="en-US" w:eastAsia="mk-MK"/>
        </w:rPr>
        <w:t xml:space="preserve">. </w:t>
      </w:r>
    </w:p>
    <w:p w:rsidR="00CB5D4D" w:rsidRPr="00CB5D4D" w:rsidRDefault="00790382" w:rsidP="00CB5D4D">
      <w:pPr>
        <w:spacing w:after="120" w:line="240" w:lineRule="auto"/>
        <w:ind w:firstLine="720"/>
        <w:jc w:val="both"/>
        <w:rPr>
          <w:rFonts w:ascii="StobiSerif Regular" w:eastAsia="Times New Roman" w:hAnsi="StobiSerif Regular" w:cs="Times New Roman"/>
          <w:lang w:val="en-US" w:eastAsia="mk-MK"/>
        </w:rPr>
      </w:pPr>
      <w:r w:rsidRPr="00790382">
        <w:rPr>
          <w:rFonts w:ascii="StobiSerif Regular" w:eastAsia="Times New Roman" w:hAnsi="StobiSerif Regular" w:cs="Times New Roman"/>
          <w:color w:val="000000"/>
          <w:lang w:val="en-US" w:eastAsia="mk-MK"/>
        </w:rPr>
        <w:t xml:space="preserve">Имајќи ја предвид претходно направената оценка како што е наведено погоре и критериумите за изразување на </w:t>
      </w:r>
      <w:r w:rsidR="007C094F">
        <w:rPr>
          <w:rFonts w:ascii="StobiSerif Regular" w:eastAsia="Times New Roman" w:hAnsi="StobiSerif Regular" w:cs="Times New Roman"/>
          <w:color w:val="000000"/>
          <w:lang w:eastAsia="mk-MK"/>
        </w:rPr>
        <w:t>насоки</w:t>
      </w:r>
      <w:r w:rsidRPr="00790382">
        <w:rPr>
          <w:rFonts w:ascii="StobiSerif Regular" w:eastAsia="Times New Roman" w:hAnsi="StobiSerif Regular" w:cs="Times New Roman"/>
          <w:color w:val="000000"/>
          <w:lang w:val="en-US" w:eastAsia="mk-MK"/>
        </w:rPr>
        <w:t xml:space="preserve"> како што е наведено во Прирачникот за постапки на НАО, може да се заклучи дека не постои основа за квалификација на слабостите на системот за управување и контрола како </w:t>
      </w:r>
      <w:r w:rsidR="007C094F">
        <w:rPr>
          <w:rFonts w:ascii="StobiSerif Regular" w:eastAsia="Times New Roman" w:hAnsi="StobiSerif Regular" w:cs="Times New Roman"/>
          <w:color w:val="000000"/>
          <w:lang w:eastAsia="mk-MK"/>
        </w:rPr>
        <w:t>насока</w:t>
      </w:r>
      <w:r w:rsidRPr="00790382">
        <w:rPr>
          <w:rFonts w:ascii="StobiSerif Regular" w:eastAsia="Times New Roman" w:hAnsi="StobiSerif Regular" w:cs="Times New Roman"/>
          <w:color w:val="000000"/>
          <w:lang w:val="en-US" w:eastAsia="mk-MK"/>
        </w:rPr>
        <w:t xml:space="preserve"> во Изјавата </w:t>
      </w:r>
      <w:r w:rsidR="007C094F">
        <w:rPr>
          <w:rFonts w:ascii="StobiSerif Regular" w:eastAsia="Times New Roman" w:hAnsi="StobiSerif Regular" w:cs="Times New Roman"/>
          <w:color w:val="000000"/>
          <w:lang w:eastAsia="mk-MK"/>
        </w:rPr>
        <w:t>за гаранција</w:t>
      </w:r>
      <w:r w:rsidR="00CB5D4D" w:rsidRPr="00CB5D4D">
        <w:rPr>
          <w:rFonts w:ascii="StobiSerif Regular" w:eastAsia="Times New Roman" w:hAnsi="StobiSerif Regular" w:cs="Times New Roman"/>
          <w:lang w:val="en-US" w:eastAsia="mk-MK"/>
        </w:rPr>
        <w:t xml:space="preserve">. </w:t>
      </w:r>
    </w:p>
    <w:p w:rsidR="00CB5D4D" w:rsidRPr="00CB5D4D" w:rsidRDefault="007C094F" w:rsidP="00CB5D4D">
      <w:pPr>
        <w:spacing w:after="120" w:line="240" w:lineRule="auto"/>
        <w:jc w:val="both"/>
        <w:rPr>
          <w:rFonts w:ascii="StobiSerif Regular" w:eastAsia="Times New Roman" w:hAnsi="StobiSerif Regular" w:cs="Times New Roman"/>
          <w:lang w:val="en-US" w:eastAsia="mk-MK"/>
        </w:rPr>
      </w:pPr>
      <w:r w:rsidRPr="007C094F">
        <w:rPr>
          <w:rFonts w:ascii="StobiSerif Regular" w:eastAsia="Times New Roman" w:hAnsi="StobiSerif Regular" w:cs="Times New Roman"/>
          <w:lang w:val="en-US" w:eastAsia="mk-MK"/>
        </w:rPr>
        <w:t>И покрај некои проблеми со кои се соочуваат во текот на годината, поради изградбата на контролите и проактивните мерки преземени од страна на НАО и ОС, под внимателно следење и надзор на НАО, треба да се потврди дека системот за управување и контрола в</w:t>
      </w:r>
      <w:r>
        <w:rPr>
          <w:rFonts w:ascii="StobiSerif Regular" w:eastAsia="Times New Roman" w:hAnsi="StobiSerif Regular" w:cs="Times New Roman"/>
          <w:lang w:val="en-US" w:eastAsia="mk-MK"/>
        </w:rPr>
        <w:t>оспоставен за ИПА Компонента V</w:t>
      </w:r>
      <w:r w:rsidR="00D84E6E">
        <w:rPr>
          <w:rFonts w:ascii="StobiSerif Regular" w:eastAsia="Times New Roman" w:hAnsi="StobiSerif Regular" w:cs="Times New Roman"/>
          <w:lang w:eastAsia="mk-MK"/>
        </w:rPr>
        <w:t>,</w:t>
      </w:r>
      <w:r>
        <w:rPr>
          <w:rFonts w:ascii="StobiSerif Regular" w:eastAsia="Times New Roman" w:hAnsi="StobiSerif Regular" w:cs="Times New Roman"/>
          <w:lang w:val="en-US" w:eastAsia="mk-MK"/>
        </w:rPr>
        <w:t xml:space="preserve"> </w:t>
      </w:r>
      <w:r>
        <w:rPr>
          <w:rFonts w:ascii="StobiSerif Regular" w:eastAsia="Times New Roman" w:hAnsi="StobiSerif Regular" w:cs="Times New Roman"/>
          <w:lang w:eastAsia="mk-MK"/>
        </w:rPr>
        <w:t>ф</w:t>
      </w:r>
      <w:r w:rsidRPr="007C094F">
        <w:rPr>
          <w:rFonts w:ascii="StobiSerif Regular" w:eastAsia="Times New Roman" w:hAnsi="StobiSerif Regular" w:cs="Times New Roman"/>
          <w:lang w:val="en-US" w:eastAsia="mk-MK"/>
        </w:rPr>
        <w:t>ункционираше ефикасно за да обезбеди разумно уверување за законитоста и регуларноста на трансакциите кои</w:t>
      </w:r>
      <w:r>
        <w:rPr>
          <w:rFonts w:ascii="StobiSerif Regular" w:eastAsia="Times New Roman" w:hAnsi="StobiSerif Regular" w:cs="Times New Roman"/>
          <w:lang w:eastAsia="mk-MK"/>
        </w:rPr>
        <w:t xml:space="preserve"> </w:t>
      </w:r>
      <w:r w:rsidRPr="007C094F">
        <w:rPr>
          <w:rFonts w:ascii="StobiSerif Regular" w:eastAsia="Times New Roman" w:hAnsi="StobiSerif Regular" w:cs="Times New Roman"/>
          <w:lang w:val="en-US" w:eastAsia="mk-MK"/>
        </w:rPr>
        <w:t>што се поврзани, меѓу другото, вклучувајќи и придржување кон принципите на здраво финансиско управување.</w:t>
      </w:r>
    </w:p>
    <w:p w:rsidR="00CB5D4D" w:rsidRDefault="00D84E6E" w:rsidP="00CB5D4D">
      <w:pPr>
        <w:pStyle w:val="NoSpacing"/>
        <w:spacing w:after="120"/>
        <w:jc w:val="both"/>
        <w:rPr>
          <w:rFonts w:ascii="StobiSerif Regular" w:hAnsi="StobiSerif Regular"/>
          <w:lang w:val="en-US" w:eastAsia="mk-MK"/>
        </w:rPr>
      </w:pPr>
      <w:r w:rsidRPr="00D84E6E">
        <w:rPr>
          <w:rFonts w:ascii="StobiSerif Regular" w:eastAsia="Times New Roman" w:hAnsi="StobiSerif Regular" w:cs="Times New Roman"/>
          <w:lang w:val="en-US" w:eastAsia="mk-MK"/>
        </w:rPr>
        <w:t>И NAO / MS и оперативната структура, продолжија да работат за надминување на идентификуваните</w:t>
      </w:r>
      <w:r>
        <w:rPr>
          <w:rFonts w:ascii="StobiSerif Regular" w:eastAsia="Times New Roman" w:hAnsi="StobiSerif Regular" w:cs="Times New Roman"/>
          <w:lang w:val="en-US" w:eastAsia="mk-MK"/>
        </w:rPr>
        <w:t xml:space="preserve"> недостатоци за да се овозможи </w:t>
      </w:r>
      <w:r>
        <w:rPr>
          <w:rFonts w:ascii="StobiSerif Regular" w:eastAsia="Times New Roman" w:hAnsi="StobiSerif Regular" w:cs="Times New Roman"/>
          <w:lang w:eastAsia="mk-MK"/>
        </w:rPr>
        <w:t>И</w:t>
      </w:r>
      <w:r w:rsidRPr="00D84E6E">
        <w:rPr>
          <w:rFonts w:ascii="StobiSerif Regular" w:eastAsia="Times New Roman" w:hAnsi="StobiSerif Regular" w:cs="Times New Roman"/>
          <w:lang w:val="en-US" w:eastAsia="mk-MK"/>
        </w:rPr>
        <w:t xml:space="preserve">зјавата за </w:t>
      </w:r>
      <w:r>
        <w:rPr>
          <w:rFonts w:ascii="StobiSerif Regular" w:eastAsia="Times New Roman" w:hAnsi="StobiSerif Regular" w:cs="Times New Roman"/>
          <w:lang w:eastAsia="mk-MK"/>
        </w:rPr>
        <w:t>гаранција</w:t>
      </w:r>
      <w:r w:rsidRPr="00D84E6E">
        <w:rPr>
          <w:rFonts w:ascii="StobiSerif Regular" w:eastAsia="Times New Roman" w:hAnsi="StobiSerif Regular" w:cs="Times New Roman"/>
          <w:lang w:val="en-US" w:eastAsia="mk-MK"/>
        </w:rPr>
        <w:t xml:space="preserve"> да биде без </w:t>
      </w:r>
      <w:r>
        <w:rPr>
          <w:rFonts w:ascii="StobiSerif Regular" w:eastAsia="Times New Roman" w:hAnsi="StobiSerif Regular" w:cs="Times New Roman"/>
          <w:lang w:eastAsia="mk-MK"/>
        </w:rPr>
        <w:t>насоки</w:t>
      </w:r>
      <w:r w:rsidR="00B31054">
        <w:rPr>
          <w:rFonts w:ascii="StobiSerif Regular" w:eastAsia="Times New Roman" w:hAnsi="StobiSerif Regular" w:cs="Times New Roman"/>
          <w:color w:val="000000"/>
          <w:lang w:val="en-US" w:eastAsia="mk-MK"/>
        </w:rPr>
        <w:t>.</w:t>
      </w:r>
    </w:p>
    <w:p w:rsidR="006446AB" w:rsidRPr="007B230F" w:rsidRDefault="0024434D" w:rsidP="006446AB">
      <w:pPr>
        <w:spacing w:before="120" w:after="160" w:line="259" w:lineRule="auto"/>
        <w:jc w:val="both"/>
        <w:outlineLvl w:val="1"/>
        <w:rPr>
          <w:rFonts w:ascii="StobiSerif Regular" w:eastAsia="Calibri" w:hAnsi="StobiSerif Regular" w:cs="Arial"/>
          <w:b/>
          <w:bCs/>
          <w:i/>
          <w:u w:val="single"/>
          <w:lang w:val="en-GB"/>
        </w:rPr>
      </w:pPr>
      <w:bookmarkStart w:id="93" w:name="_Toc485394826"/>
      <w:r>
        <w:rPr>
          <w:rFonts w:ascii="StobiSerif Regular" w:eastAsia="Calibri" w:hAnsi="StobiSerif Regular" w:cs="Arial"/>
          <w:b/>
          <w:bCs/>
          <w:i/>
          <w:u w:val="single"/>
          <w:lang w:val="en-GB"/>
        </w:rPr>
        <w:t xml:space="preserve">3.3. </w:t>
      </w:r>
      <w:r w:rsidR="00D84E6E" w:rsidRPr="00D84E6E">
        <w:rPr>
          <w:rFonts w:ascii="StobiSerif Regular" w:eastAsia="Calibri" w:hAnsi="StobiSerif Regular" w:cs="Arial"/>
          <w:b/>
          <w:bCs/>
          <w:i/>
          <w:u w:val="single"/>
          <w:lang w:val="en-GB"/>
        </w:rPr>
        <w:t>Резултати од извршените контроли на самото место и идентификувани неправилности</w:t>
      </w:r>
      <w:bookmarkEnd w:id="93"/>
    </w:p>
    <w:p w:rsidR="006446AB" w:rsidRPr="006446AB" w:rsidRDefault="001057BC" w:rsidP="001057BC">
      <w:pPr>
        <w:numPr>
          <w:ilvl w:val="0"/>
          <w:numId w:val="27"/>
        </w:numPr>
        <w:tabs>
          <w:tab w:val="left" w:pos="284"/>
        </w:tabs>
        <w:autoSpaceDE w:val="0"/>
        <w:autoSpaceDN w:val="0"/>
        <w:adjustRightInd w:val="0"/>
        <w:spacing w:before="120" w:after="120" w:line="259" w:lineRule="auto"/>
        <w:jc w:val="both"/>
        <w:rPr>
          <w:rFonts w:ascii="StobiSerif Regular" w:eastAsia="Calibri" w:hAnsi="StobiSerif Regular" w:cs="Arial"/>
          <w:lang w:val="en-US"/>
        </w:rPr>
      </w:pPr>
      <w:r w:rsidRPr="001057BC">
        <w:rPr>
          <w:rFonts w:ascii="StobiSerif Regular" w:eastAsia="Calibri" w:hAnsi="StobiSerif Regular" w:cs="Arial"/>
          <w:lang w:val="en-US"/>
        </w:rPr>
        <w:t>Во текот на 2016 година, ИПАРД Агенцијата изврши административни контроли за сите поднесени апликации. Дополнително причините за одбивање на апликацијата пред да се обезбедат договорите за потпишување</w:t>
      </w:r>
      <w:r w:rsidR="006446AB" w:rsidRPr="006446AB">
        <w:rPr>
          <w:rFonts w:ascii="StobiSerif Regular" w:eastAsia="Calibri" w:hAnsi="StobiSerif Regular" w:cs="Arial"/>
          <w:lang w:val="en-US"/>
        </w:rPr>
        <w:t>:</w:t>
      </w:r>
    </w:p>
    <w:p w:rsidR="006446AB" w:rsidRPr="006446AB" w:rsidRDefault="001057BC" w:rsidP="006446AB">
      <w:pPr>
        <w:autoSpaceDE w:val="0"/>
        <w:autoSpaceDN w:val="0"/>
        <w:adjustRightInd w:val="0"/>
        <w:spacing w:after="0"/>
        <w:jc w:val="both"/>
        <w:rPr>
          <w:rFonts w:ascii="StobiSerif Regular" w:eastAsia="Calibri" w:hAnsi="StobiSerif Regular" w:cs="Arial"/>
          <w:lang w:val="en-US"/>
        </w:rPr>
      </w:pPr>
      <w:r>
        <w:rPr>
          <w:rFonts w:ascii="StobiSerif Regular" w:eastAsia="Calibri" w:hAnsi="StobiSerif Regular" w:cs="Arial"/>
        </w:rPr>
        <w:t>Комплетност</w:t>
      </w:r>
      <w:r w:rsidR="006446AB" w:rsidRPr="006446AB">
        <w:rPr>
          <w:rFonts w:ascii="StobiSerif Regular" w:eastAsia="Calibri" w:hAnsi="StobiSerif Regular" w:cs="Arial"/>
          <w:lang w:val="en-US"/>
        </w:rPr>
        <w:t>:</w:t>
      </w:r>
    </w:p>
    <w:p w:rsidR="001057BC" w:rsidRPr="001057BC" w:rsidRDefault="001057BC" w:rsidP="001057BC">
      <w:pPr>
        <w:numPr>
          <w:ilvl w:val="0"/>
          <w:numId w:val="26"/>
        </w:numPr>
        <w:autoSpaceDE w:val="0"/>
        <w:autoSpaceDN w:val="0"/>
        <w:adjustRightInd w:val="0"/>
        <w:spacing w:after="180" w:line="259" w:lineRule="auto"/>
        <w:jc w:val="both"/>
        <w:rPr>
          <w:rFonts w:ascii="StobiSerif Regular" w:eastAsia="Times New Roman" w:hAnsi="StobiSerif Regular" w:cs="Arial"/>
          <w:lang w:val="en-US"/>
        </w:rPr>
      </w:pPr>
      <w:r w:rsidRPr="001057BC">
        <w:rPr>
          <w:rFonts w:ascii="StobiSerif Regular" w:eastAsia="Times New Roman" w:hAnsi="StobiSerif Regular" w:cs="Arial"/>
          <w:lang w:val="en-US"/>
        </w:rPr>
        <w:t>Барателот не поднесе одговор во рок од 15 де</w:t>
      </w:r>
      <w:r>
        <w:rPr>
          <w:rFonts w:ascii="StobiSerif Regular" w:eastAsia="Times New Roman" w:hAnsi="StobiSerif Regular" w:cs="Arial"/>
          <w:lang w:val="en-US"/>
        </w:rPr>
        <w:t xml:space="preserve">на по примената Известување за </w:t>
      </w:r>
      <w:r>
        <w:rPr>
          <w:rFonts w:ascii="StobiSerif Regular" w:eastAsia="Times New Roman" w:hAnsi="StobiSerif Regular" w:cs="Arial"/>
        </w:rPr>
        <w:t>д</w:t>
      </w:r>
      <w:r w:rsidRPr="001057BC">
        <w:rPr>
          <w:rFonts w:ascii="StobiSerif Regular" w:eastAsia="Times New Roman" w:hAnsi="StobiSerif Regular" w:cs="Arial"/>
          <w:lang w:val="en-US"/>
        </w:rPr>
        <w:t>ополнување на пријавата;</w:t>
      </w:r>
    </w:p>
    <w:p w:rsidR="006446AB" w:rsidRPr="006446AB" w:rsidRDefault="001057BC" w:rsidP="001057BC">
      <w:pPr>
        <w:numPr>
          <w:ilvl w:val="0"/>
          <w:numId w:val="26"/>
        </w:numPr>
        <w:autoSpaceDE w:val="0"/>
        <w:autoSpaceDN w:val="0"/>
        <w:adjustRightInd w:val="0"/>
        <w:spacing w:after="180" w:line="259" w:lineRule="auto"/>
        <w:jc w:val="both"/>
        <w:rPr>
          <w:rFonts w:ascii="StobiSerif Regular" w:eastAsia="Times New Roman" w:hAnsi="StobiSerif Regular" w:cs="Arial"/>
          <w:lang w:val="en-US"/>
        </w:rPr>
      </w:pPr>
      <w:r>
        <w:rPr>
          <w:rFonts w:ascii="StobiSerif Regular" w:eastAsia="Times New Roman" w:hAnsi="StobiSerif Regular" w:cs="Arial"/>
        </w:rPr>
        <w:t>Барателот</w:t>
      </w:r>
      <w:r w:rsidRPr="001057BC">
        <w:rPr>
          <w:rFonts w:ascii="StobiSerif Regular" w:eastAsia="Times New Roman" w:hAnsi="StobiSerif Regular" w:cs="Arial"/>
          <w:lang w:val="en-US"/>
        </w:rPr>
        <w:t xml:space="preserve"> поднел одговор во рок од 15 дена по примената Известување за </w:t>
      </w:r>
      <w:r>
        <w:rPr>
          <w:rFonts w:ascii="StobiSerif Regular" w:eastAsia="Times New Roman" w:hAnsi="StobiSerif Regular" w:cs="Arial"/>
        </w:rPr>
        <w:t>д</w:t>
      </w:r>
      <w:r w:rsidRPr="001057BC">
        <w:rPr>
          <w:rFonts w:ascii="StobiSerif Regular" w:eastAsia="Times New Roman" w:hAnsi="StobiSerif Regular" w:cs="Arial"/>
          <w:lang w:val="en-US"/>
        </w:rPr>
        <w:t>ополнување на пријавата, но имало недостаток на документи или поднесените документи не биле валидни</w:t>
      </w:r>
      <w:r w:rsidR="006446AB" w:rsidRPr="006446AB">
        <w:rPr>
          <w:rFonts w:ascii="StobiSerif Regular" w:eastAsia="Times New Roman" w:hAnsi="StobiSerif Regular" w:cs="Arial"/>
          <w:lang w:val="en-US"/>
        </w:rPr>
        <w:t>.</w:t>
      </w:r>
    </w:p>
    <w:p w:rsidR="006446AB" w:rsidRPr="006446AB" w:rsidRDefault="001057BC" w:rsidP="006446AB">
      <w:pPr>
        <w:autoSpaceDE w:val="0"/>
        <w:autoSpaceDN w:val="0"/>
        <w:adjustRightInd w:val="0"/>
        <w:spacing w:before="120" w:after="0"/>
        <w:jc w:val="both"/>
        <w:rPr>
          <w:rFonts w:ascii="StobiSerif Regular" w:eastAsia="Calibri" w:hAnsi="StobiSerif Regular" w:cs="Arial"/>
          <w:lang w:val="en-US"/>
        </w:rPr>
      </w:pPr>
      <w:r>
        <w:rPr>
          <w:rFonts w:ascii="StobiSerif Regular" w:eastAsia="Calibri" w:hAnsi="StobiSerif Regular" w:cs="Arial"/>
        </w:rPr>
        <w:t>Соодветност</w:t>
      </w:r>
      <w:r w:rsidR="006446AB" w:rsidRPr="006446AB">
        <w:rPr>
          <w:rFonts w:ascii="StobiSerif Regular" w:eastAsia="Calibri" w:hAnsi="StobiSerif Regular" w:cs="Arial"/>
          <w:lang w:val="en-US"/>
        </w:rPr>
        <w:t xml:space="preserve">: </w:t>
      </w:r>
    </w:p>
    <w:p w:rsidR="006446AB" w:rsidRPr="006446AB" w:rsidRDefault="00D46A39" w:rsidP="00BA1CE8">
      <w:pPr>
        <w:numPr>
          <w:ilvl w:val="0"/>
          <w:numId w:val="26"/>
        </w:numPr>
        <w:autoSpaceDE w:val="0"/>
        <w:autoSpaceDN w:val="0"/>
        <w:adjustRightInd w:val="0"/>
        <w:spacing w:after="180" w:line="259" w:lineRule="auto"/>
        <w:jc w:val="both"/>
        <w:rPr>
          <w:rFonts w:ascii="StobiSerif Regular" w:eastAsia="Times New Roman" w:hAnsi="StobiSerif Regular" w:cs="Arial"/>
          <w:lang w:val="en-US"/>
        </w:rPr>
      </w:pPr>
      <w:r>
        <w:rPr>
          <w:rFonts w:ascii="StobiSerif Regular" w:eastAsia="Times New Roman" w:hAnsi="StobiSerif Regular" w:cs="Arial"/>
          <w:lang w:val="en-US"/>
        </w:rPr>
        <w:t>капитална</w:t>
      </w:r>
      <w:r w:rsidR="006446AB" w:rsidRPr="006446AB">
        <w:rPr>
          <w:rFonts w:ascii="StobiSerif Regular" w:eastAsia="Times New Roman" w:hAnsi="StobiSerif Regular" w:cs="Arial"/>
          <w:lang w:val="en-US"/>
        </w:rPr>
        <w:t>/</w:t>
      </w:r>
      <w:r>
        <w:rPr>
          <w:rFonts w:ascii="StobiSerif Regular" w:eastAsia="Times New Roman" w:hAnsi="StobiSerif Regular" w:cs="Arial"/>
        </w:rPr>
        <w:t>семејна поврзаност помеѓу добавувачите или добавувачот и барателот</w:t>
      </w:r>
      <w:r w:rsidR="006446AB" w:rsidRPr="006446AB">
        <w:rPr>
          <w:rFonts w:ascii="StobiSerif Regular" w:eastAsia="Times New Roman" w:hAnsi="StobiSerif Regular" w:cs="Arial"/>
          <w:lang w:val="en-US"/>
        </w:rPr>
        <w:t xml:space="preserve">; </w:t>
      </w:r>
    </w:p>
    <w:p w:rsidR="006446AB" w:rsidRPr="006446AB" w:rsidRDefault="008603FA" w:rsidP="008603FA">
      <w:pPr>
        <w:numPr>
          <w:ilvl w:val="0"/>
          <w:numId w:val="26"/>
        </w:numPr>
        <w:autoSpaceDE w:val="0"/>
        <w:autoSpaceDN w:val="0"/>
        <w:adjustRightInd w:val="0"/>
        <w:spacing w:after="180" w:line="259" w:lineRule="auto"/>
        <w:jc w:val="both"/>
        <w:rPr>
          <w:rFonts w:ascii="StobiSerif Regular" w:eastAsia="Times New Roman" w:hAnsi="StobiSerif Regular" w:cs="Arial"/>
          <w:lang w:val="en-US"/>
        </w:rPr>
      </w:pPr>
      <w:r w:rsidRPr="008603FA">
        <w:rPr>
          <w:rFonts w:ascii="StobiSerif Regular" w:eastAsia="Times New Roman" w:hAnsi="StobiSerif Regular" w:cs="Arial"/>
          <w:lang w:val="en-US"/>
        </w:rPr>
        <w:t>пропорционално зголемување на цените на поднесените понуди (надуени цени во понудите), што укажува дека понудите не се издаваат од независни добавувачи</w:t>
      </w:r>
      <w:r w:rsidR="006446AB" w:rsidRPr="006446AB">
        <w:rPr>
          <w:rFonts w:ascii="StobiSerif Regular" w:eastAsia="Times New Roman" w:hAnsi="StobiSerif Regular" w:cs="Arial"/>
          <w:lang w:val="en-US"/>
        </w:rPr>
        <w:t>;</w:t>
      </w:r>
    </w:p>
    <w:p w:rsidR="006446AB" w:rsidRPr="006446AB" w:rsidRDefault="00E21B5D" w:rsidP="00E21B5D">
      <w:pPr>
        <w:numPr>
          <w:ilvl w:val="0"/>
          <w:numId w:val="26"/>
        </w:numPr>
        <w:autoSpaceDE w:val="0"/>
        <w:autoSpaceDN w:val="0"/>
        <w:adjustRightInd w:val="0"/>
        <w:spacing w:after="180" w:line="259" w:lineRule="auto"/>
        <w:jc w:val="both"/>
        <w:rPr>
          <w:rFonts w:ascii="StobiSerif Regular" w:eastAsia="Times New Roman" w:hAnsi="StobiSerif Regular" w:cs="Arial"/>
          <w:lang w:val="en-US"/>
        </w:rPr>
      </w:pPr>
      <w:r w:rsidRPr="00E21B5D">
        <w:rPr>
          <w:rFonts w:ascii="StobiSerif Regular" w:eastAsia="Times New Roman" w:hAnsi="StobiSerif Regular" w:cs="Arial"/>
          <w:lang w:val="en-US"/>
        </w:rPr>
        <w:t xml:space="preserve">Предложените инвестиции не се </w:t>
      </w:r>
      <w:r>
        <w:rPr>
          <w:rFonts w:ascii="StobiSerif Regular" w:eastAsia="Times New Roman" w:hAnsi="StobiSerif Regular" w:cs="Arial"/>
        </w:rPr>
        <w:t>соодветни</w:t>
      </w:r>
      <w:r w:rsidRPr="00E21B5D">
        <w:rPr>
          <w:rFonts w:ascii="StobiSerif Regular" w:eastAsia="Times New Roman" w:hAnsi="StobiSerif Regular" w:cs="Arial"/>
          <w:lang w:val="en-US"/>
        </w:rPr>
        <w:t xml:space="preserve"> според ИПАРД Програмата</w:t>
      </w:r>
      <w:r w:rsidR="006446AB" w:rsidRPr="006446AB">
        <w:rPr>
          <w:rFonts w:ascii="StobiSerif Regular" w:eastAsia="Times New Roman" w:hAnsi="StobiSerif Regular" w:cs="Arial"/>
          <w:lang w:val="en-US"/>
        </w:rPr>
        <w:t>;</w:t>
      </w:r>
    </w:p>
    <w:p w:rsidR="006446AB" w:rsidRPr="006446AB" w:rsidRDefault="00E21B5D" w:rsidP="00E21B5D">
      <w:pPr>
        <w:numPr>
          <w:ilvl w:val="0"/>
          <w:numId w:val="26"/>
        </w:numPr>
        <w:autoSpaceDE w:val="0"/>
        <w:autoSpaceDN w:val="0"/>
        <w:adjustRightInd w:val="0"/>
        <w:spacing w:after="180" w:line="259" w:lineRule="auto"/>
        <w:jc w:val="both"/>
        <w:rPr>
          <w:rFonts w:ascii="StobiSerif Regular" w:eastAsia="Times New Roman" w:hAnsi="StobiSerif Regular" w:cs="Arial"/>
          <w:lang w:val="en-US"/>
        </w:rPr>
      </w:pPr>
      <w:r w:rsidRPr="00E21B5D">
        <w:rPr>
          <w:rFonts w:ascii="StobiSerif Regular" w:eastAsia="Times New Roman" w:hAnsi="StobiSerif Regular" w:cs="Arial"/>
          <w:lang w:val="en-US"/>
        </w:rPr>
        <w:t xml:space="preserve">Во административната обработка на апликациите е утврдено дека изборот за најдобра понуда е направен пред да се обезбедат понудите, што укажува на тоа дека барателот не ја почитувал постапката за избор на најсоодветен снабдувач и тој прво го избрал добавувачот, а потоа </w:t>
      </w:r>
      <w:r>
        <w:rPr>
          <w:rFonts w:ascii="StobiSerif Regular" w:eastAsia="Times New Roman" w:hAnsi="StobiSerif Regular" w:cs="Arial"/>
        </w:rPr>
        <w:t>д</w:t>
      </w:r>
      <w:r w:rsidRPr="00E21B5D">
        <w:rPr>
          <w:rFonts w:ascii="StobiSerif Regular" w:eastAsia="Times New Roman" w:hAnsi="StobiSerif Regular" w:cs="Arial"/>
          <w:lang w:val="en-US"/>
        </w:rPr>
        <w:t>обиени</w:t>
      </w:r>
      <w:r>
        <w:rPr>
          <w:rFonts w:ascii="StobiSerif Regular" w:eastAsia="Times New Roman" w:hAnsi="StobiSerif Regular" w:cs="Arial"/>
        </w:rPr>
        <w:t>те</w:t>
      </w:r>
      <w:r w:rsidRPr="00E21B5D">
        <w:rPr>
          <w:rFonts w:ascii="StobiSerif Regular" w:eastAsia="Times New Roman" w:hAnsi="StobiSerif Regular" w:cs="Arial"/>
          <w:lang w:val="en-US"/>
        </w:rPr>
        <w:t xml:space="preserve"> понуди</w:t>
      </w:r>
      <w:r w:rsidR="006446AB" w:rsidRPr="006446AB">
        <w:rPr>
          <w:rFonts w:ascii="StobiSerif Regular" w:eastAsia="Times New Roman" w:hAnsi="StobiSerif Regular" w:cs="Arial"/>
          <w:lang w:val="en-US"/>
        </w:rPr>
        <w:t xml:space="preserve">. </w:t>
      </w:r>
    </w:p>
    <w:p w:rsidR="006446AB" w:rsidRPr="006446AB" w:rsidRDefault="00E21B5D" w:rsidP="006446AB">
      <w:pPr>
        <w:autoSpaceDE w:val="0"/>
        <w:autoSpaceDN w:val="0"/>
        <w:adjustRightInd w:val="0"/>
        <w:spacing w:before="120" w:after="0"/>
        <w:jc w:val="both"/>
        <w:rPr>
          <w:rFonts w:ascii="StobiSerif Regular" w:eastAsia="Times New Roman" w:hAnsi="StobiSerif Regular" w:cs="Arial"/>
          <w:lang w:val="en-US"/>
        </w:rPr>
      </w:pPr>
      <w:r w:rsidRPr="00E21B5D">
        <w:rPr>
          <w:rFonts w:ascii="StobiSerif Regular" w:eastAsia="Times New Roman" w:hAnsi="StobiSerif Regular" w:cs="Arial"/>
          <w:lang w:val="en-US"/>
        </w:rPr>
        <w:t xml:space="preserve">Во текот на 2016 година, Секторот за одобрување на проекти </w:t>
      </w:r>
      <w:r>
        <w:rPr>
          <w:rFonts w:ascii="StobiSerif Regular" w:eastAsia="Times New Roman" w:hAnsi="StobiSerif Regular" w:cs="Arial"/>
        </w:rPr>
        <w:t>раскина</w:t>
      </w:r>
      <w:r w:rsidRPr="00E21B5D">
        <w:rPr>
          <w:rFonts w:ascii="StobiSerif Regular" w:eastAsia="Times New Roman" w:hAnsi="StobiSerif Regular" w:cs="Arial"/>
          <w:lang w:val="en-US"/>
        </w:rPr>
        <w:t xml:space="preserve"> пет (5) договори од мерка 101 во вкупн</w:t>
      </w:r>
      <w:r>
        <w:rPr>
          <w:rFonts w:ascii="StobiSerif Regular" w:eastAsia="Times New Roman" w:hAnsi="StobiSerif Regular" w:cs="Arial"/>
        </w:rPr>
        <w:t>о</w:t>
      </w:r>
      <w:r w:rsidRPr="00E21B5D">
        <w:rPr>
          <w:rFonts w:ascii="StobiSerif Regular" w:eastAsia="Times New Roman" w:hAnsi="StobiSerif Regular" w:cs="Arial"/>
          <w:lang w:val="en-US"/>
        </w:rPr>
        <w:t xml:space="preserve"> јавни расходи од 24.567 €</w:t>
      </w:r>
      <w:r w:rsidR="006446AB" w:rsidRPr="006446AB">
        <w:rPr>
          <w:rFonts w:ascii="StobiSerif Regular" w:eastAsia="Times New Roman" w:hAnsi="StobiSerif Regular" w:cs="Arial"/>
          <w:lang w:val="en-US"/>
        </w:rPr>
        <w:t>.</w:t>
      </w:r>
    </w:p>
    <w:p w:rsidR="006446AB" w:rsidRPr="006446AB" w:rsidRDefault="00E21B5D" w:rsidP="009A11D8">
      <w:pPr>
        <w:autoSpaceDE w:val="0"/>
        <w:autoSpaceDN w:val="0"/>
        <w:adjustRightInd w:val="0"/>
        <w:spacing w:before="120" w:after="120"/>
        <w:jc w:val="both"/>
        <w:rPr>
          <w:rFonts w:ascii="StobiSerif Regular" w:eastAsia="Times New Roman" w:hAnsi="StobiSerif Regular" w:cs="Arial"/>
          <w:lang w:val="en-US"/>
        </w:rPr>
      </w:pPr>
      <w:r w:rsidRPr="00E21B5D">
        <w:rPr>
          <w:rFonts w:ascii="StobiSerif Regular" w:eastAsia="Times New Roman" w:hAnsi="StobiSerif Regular" w:cs="Arial"/>
          <w:lang w:val="en-US"/>
        </w:rPr>
        <w:t>Причини за раскинување на договорот</w:t>
      </w:r>
      <w:r w:rsidR="006446AB" w:rsidRPr="006446AB">
        <w:rPr>
          <w:rFonts w:ascii="StobiSerif Regular" w:eastAsia="Times New Roman" w:hAnsi="StobiSerif Regular" w:cs="Arial"/>
          <w:lang w:val="en-US"/>
        </w:rPr>
        <w:t xml:space="preserve">: </w:t>
      </w:r>
    </w:p>
    <w:p w:rsidR="006446AB" w:rsidRPr="006446AB" w:rsidRDefault="00E21B5D" w:rsidP="00E21B5D">
      <w:pPr>
        <w:numPr>
          <w:ilvl w:val="0"/>
          <w:numId w:val="26"/>
        </w:numPr>
        <w:autoSpaceDE w:val="0"/>
        <w:autoSpaceDN w:val="0"/>
        <w:adjustRightInd w:val="0"/>
        <w:spacing w:after="180" w:line="259" w:lineRule="auto"/>
        <w:jc w:val="both"/>
        <w:rPr>
          <w:rFonts w:ascii="StobiSerif Regular" w:eastAsia="Times New Roman" w:hAnsi="StobiSerif Regular" w:cs="Arial"/>
          <w:lang w:val="en-US"/>
        </w:rPr>
      </w:pPr>
      <w:r w:rsidRPr="00E21B5D">
        <w:rPr>
          <w:rFonts w:ascii="StobiSerif Regular" w:eastAsia="Times New Roman" w:hAnsi="StobiSerif Regular" w:cs="Arial"/>
          <w:lang w:val="en-US"/>
        </w:rPr>
        <w:t xml:space="preserve">пет (5) договори од мерка 101 се </w:t>
      </w:r>
      <w:r>
        <w:rPr>
          <w:rFonts w:ascii="StobiSerif Regular" w:eastAsia="Times New Roman" w:hAnsi="StobiSerif Regular" w:cs="Arial"/>
        </w:rPr>
        <w:t>раскинати</w:t>
      </w:r>
      <w:r w:rsidRPr="00E21B5D">
        <w:rPr>
          <w:rFonts w:ascii="StobiSerif Regular" w:eastAsia="Times New Roman" w:hAnsi="StobiSerif Regular" w:cs="Arial"/>
          <w:lang w:val="en-US"/>
        </w:rPr>
        <w:t xml:space="preserve"> поради финансиска неможност за реализација на инвестицијата</w:t>
      </w:r>
      <w:r w:rsidR="006446AB" w:rsidRPr="006446AB">
        <w:rPr>
          <w:rFonts w:ascii="StobiSerif Regular" w:eastAsia="Times New Roman" w:hAnsi="StobiSerif Regular" w:cs="Arial"/>
          <w:lang w:val="en-US"/>
        </w:rPr>
        <w:t>.</w:t>
      </w:r>
    </w:p>
    <w:p w:rsidR="00E21B5D" w:rsidRPr="00E21B5D" w:rsidRDefault="00E21B5D" w:rsidP="00E21B5D">
      <w:pPr>
        <w:autoSpaceDE w:val="0"/>
        <w:autoSpaceDN w:val="0"/>
        <w:adjustRightInd w:val="0"/>
        <w:spacing w:before="120" w:after="0"/>
        <w:jc w:val="both"/>
        <w:rPr>
          <w:rFonts w:ascii="StobiSerif Regular" w:eastAsia="Times New Roman" w:hAnsi="StobiSerif Regular" w:cs="Arial"/>
          <w:lang w:val="en-US"/>
        </w:rPr>
      </w:pPr>
      <w:r w:rsidRPr="00E21B5D">
        <w:rPr>
          <w:rFonts w:ascii="StobiSerif Regular" w:eastAsia="Times New Roman" w:hAnsi="StobiSerif Regular" w:cs="Arial"/>
          <w:lang w:val="en-US"/>
        </w:rPr>
        <w:t xml:space="preserve">Секторот за одобрување на плаќања во процесот на одобрување на барања за наплата отфрли 12 барања и </w:t>
      </w:r>
      <w:r w:rsidR="00F1380C">
        <w:rPr>
          <w:rFonts w:ascii="StobiSerif Regular" w:eastAsia="Times New Roman" w:hAnsi="StobiSerif Regular" w:cs="Arial"/>
        </w:rPr>
        <w:t>раскина</w:t>
      </w:r>
      <w:r w:rsidRPr="00E21B5D">
        <w:rPr>
          <w:rFonts w:ascii="StobiSerif Regular" w:eastAsia="Times New Roman" w:hAnsi="StobiSerif Regular" w:cs="Arial"/>
          <w:lang w:val="en-US"/>
        </w:rPr>
        <w:t xml:space="preserve"> 66 договори.</w:t>
      </w:r>
    </w:p>
    <w:p w:rsidR="006446AB" w:rsidRPr="006446AB" w:rsidRDefault="00E21B5D" w:rsidP="00E21B5D">
      <w:pPr>
        <w:autoSpaceDE w:val="0"/>
        <w:autoSpaceDN w:val="0"/>
        <w:adjustRightInd w:val="0"/>
        <w:spacing w:before="120" w:after="0"/>
        <w:jc w:val="both"/>
        <w:rPr>
          <w:rFonts w:ascii="StobiSerif Regular" w:eastAsia="Times New Roman" w:hAnsi="StobiSerif Regular" w:cs="Arial"/>
          <w:lang w:val="en-US"/>
        </w:rPr>
      </w:pPr>
      <w:r w:rsidRPr="00E21B5D">
        <w:rPr>
          <w:rFonts w:ascii="StobiSerif Regular" w:eastAsia="Times New Roman" w:hAnsi="StobiSerif Regular" w:cs="Arial"/>
          <w:lang w:val="en-US"/>
        </w:rPr>
        <w:t>Причин</w:t>
      </w:r>
      <w:r w:rsidR="00F1380C">
        <w:rPr>
          <w:rFonts w:ascii="StobiSerif Regular" w:eastAsia="Times New Roman" w:hAnsi="StobiSerif Regular" w:cs="Arial"/>
          <w:lang w:val="en-US"/>
        </w:rPr>
        <w:t>ите за отфрлање на побарувањата/</w:t>
      </w:r>
      <w:r w:rsidRPr="00E21B5D">
        <w:rPr>
          <w:rFonts w:ascii="StobiSerif Regular" w:eastAsia="Times New Roman" w:hAnsi="StobiSerif Regular" w:cs="Arial"/>
          <w:lang w:val="en-US"/>
        </w:rPr>
        <w:t>откажување на договорите се прекршување на договорот, не</w:t>
      </w:r>
      <w:r w:rsidR="00F1380C">
        <w:rPr>
          <w:rFonts w:ascii="StobiSerif Regular" w:eastAsia="Times New Roman" w:hAnsi="StobiSerif Regular" w:cs="Arial"/>
        </w:rPr>
        <w:t>доставени</w:t>
      </w:r>
      <w:r w:rsidRPr="00E21B5D">
        <w:rPr>
          <w:rFonts w:ascii="StobiSerif Regular" w:eastAsia="Times New Roman" w:hAnsi="StobiSerif Regular" w:cs="Arial"/>
          <w:lang w:val="en-US"/>
        </w:rPr>
        <w:t xml:space="preserve"> побарувања за плаќање</w:t>
      </w:r>
      <w:r w:rsidR="006446AB" w:rsidRPr="006446AB">
        <w:rPr>
          <w:rFonts w:ascii="StobiSerif Regular" w:eastAsia="Times New Roman" w:hAnsi="StobiSerif Regular" w:cs="Arial"/>
          <w:lang w:val="en-US"/>
        </w:rPr>
        <w:t>.</w:t>
      </w:r>
    </w:p>
    <w:p w:rsidR="006446AB" w:rsidRPr="006446AB" w:rsidRDefault="00F1380C" w:rsidP="006446AB">
      <w:pPr>
        <w:spacing w:before="120" w:after="160" w:line="259" w:lineRule="auto"/>
        <w:jc w:val="both"/>
        <w:rPr>
          <w:rFonts w:ascii="StobiSerif Regular" w:eastAsia="Calibri" w:hAnsi="StobiSerif Regular" w:cs="Arial"/>
          <w:lang w:val="en-US"/>
        </w:rPr>
      </w:pPr>
      <w:r w:rsidRPr="00F1380C">
        <w:rPr>
          <w:rFonts w:ascii="StobiSerif Regular" w:eastAsia="Calibri" w:hAnsi="StobiSerif Regular" w:cs="Arial"/>
          <w:lang w:val="en-US"/>
        </w:rPr>
        <w:t xml:space="preserve">Причини за издавање решенија за наплата на </w:t>
      </w:r>
      <w:r>
        <w:rPr>
          <w:rFonts w:ascii="StobiSerif Regular" w:eastAsia="Calibri" w:hAnsi="StobiSerif Regular" w:cs="Arial"/>
        </w:rPr>
        <w:t>средства</w:t>
      </w:r>
      <w:r w:rsidRPr="00F1380C">
        <w:rPr>
          <w:rFonts w:ascii="StobiSerif Regular" w:eastAsia="Calibri" w:hAnsi="StobiSerif Regular" w:cs="Arial"/>
          <w:lang w:val="en-US"/>
        </w:rPr>
        <w:t>: прекршување на договорот, преплатување, административна грешка</w:t>
      </w:r>
      <w:r w:rsidR="006446AB" w:rsidRPr="006446AB">
        <w:rPr>
          <w:rFonts w:ascii="StobiSerif Regular" w:eastAsia="Times New Roman" w:hAnsi="StobiSerif Regular" w:cs="Arial"/>
          <w:lang w:val="en-US"/>
        </w:rPr>
        <w:t xml:space="preserve">. </w:t>
      </w:r>
    </w:p>
    <w:p w:rsidR="006446AB" w:rsidRPr="006446AB" w:rsidRDefault="00F1380C" w:rsidP="006446AB">
      <w:pPr>
        <w:spacing w:before="120" w:after="160" w:line="259" w:lineRule="auto"/>
        <w:jc w:val="both"/>
        <w:rPr>
          <w:rFonts w:ascii="StobiSerif Regular" w:eastAsia="Calibri" w:hAnsi="StobiSerif Regular" w:cs="Arial"/>
          <w:lang w:val="en-US"/>
        </w:rPr>
      </w:pPr>
      <w:r w:rsidRPr="00F1380C">
        <w:rPr>
          <w:rFonts w:ascii="StobiSerif Regular" w:eastAsia="Calibri" w:hAnsi="StobiSerif Regular" w:cs="Arial"/>
          <w:lang w:val="en-US"/>
        </w:rPr>
        <w:t>Во врска со наплата на долговите во 2016 година, целосното враќање на долгот е регистрирано за четири (4) должници</w:t>
      </w:r>
      <w:r w:rsidR="006446AB" w:rsidRPr="006446AB">
        <w:rPr>
          <w:rFonts w:ascii="StobiSerif Regular" w:eastAsia="Calibri" w:hAnsi="StobiSerif Regular" w:cs="Arial"/>
          <w:lang w:val="en-US"/>
        </w:rPr>
        <w:t>.</w:t>
      </w:r>
    </w:p>
    <w:p w:rsidR="006446AB" w:rsidRPr="006446AB" w:rsidRDefault="00F1380C" w:rsidP="00F1380C">
      <w:pPr>
        <w:numPr>
          <w:ilvl w:val="0"/>
          <w:numId w:val="27"/>
        </w:numPr>
        <w:tabs>
          <w:tab w:val="left" w:pos="284"/>
        </w:tabs>
        <w:autoSpaceDE w:val="0"/>
        <w:autoSpaceDN w:val="0"/>
        <w:adjustRightInd w:val="0"/>
        <w:spacing w:before="120" w:after="0" w:line="259" w:lineRule="auto"/>
        <w:jc w:val="both"/>
        <w:rPr>
          <w:rFonts w:ascii="StobiSerif Regular" w:eastAsia="Calibri" w:hAnsi="StobiSerif Regular" w:cs="Arial"/>
          <w:lang w:val="en-US"/>
        </w:rPr>
      </w:pPr>
      <w:r w:rsidRPr="00F1380C">
        <w:rPr>
          <w:rFonts w:ascii="StobiSerif Regular" w:eastAsia="Calibri" w:hAnsi="StobiSerif Regular" w:cs="Arial"/>
          <w:lang w:val="en-US"/>
        </w:rPr>
        <w:t>Што се однесува до контролите на самото место, Сектор за контрола на лице место се изврши вкупно</w:t>
      </w:r>
      <w:r w:rsidR="006446AB" w:rsidRPr="006446AB">
        <w:rPr>
          <w:rFonts w:ascii="StobiSerif Regular" w:eastAsia="Calibri" w:hAnsi="StobiSerif Regular" w:cs="Arial"/>
          <w:lang w:val="en-US"/>
        </w:rPr>
        <w:t xml:space="preserve">: </w:t>
      </w:r>
    </w:p>
    <w:p w:rsidR="006446AB" w:rsidRPr="006446AB" w:rsidRDefault="00706384" w:rsidP="00F1380C">
      <w:pPr>
        <w:numPr>
          <w:ilvl w:val="0"/>
          <w:numId w:val="28"/>
        </w:numPr>
        <w:tabs>
          <w:tab w:val="left" w:pos="284"/>
        </w:tabs>
        <w:autoSpaceDE w:val="0"/>
        <w:autoSpaceDN w:val="0"/>
        <w:adjustRightInd w:val="0"/>
        <w:spacing w:before="120" w:after="0" w:line="259" w:lineRule="auto"/>
        <w:jc w:val="both"/>
        <w:rPr>
          <w:rFonts w:ascii="StobiSerif Regular" w:eastAsia="Calibri" w:hAnsi="StobiSerif Regular" w:cs="Arial"/>
          <w:lang w:val="en-US"/>
        </w:rPr>
      </w:pPr>
      <w:r>
        <w:rPr>
          <w:rFonts w:ascii="StobiSerif Regular" w:eastAsia="Times New Roman" w:hAnsi="StobiSerif Regular" w:cs="Arial"/>
          <w:bCs/>
          <w:color w:val="000000"/>
          <w:lang w:val="en-US" w:eastAsia="mk-MK"/>
        </w:rPr>
        <w:t>535 на самото место контрол</w:t>
      </w:r>
      <w:r w:rsidR="00F1380C" w:rsidRPr="00F1380C">
        <w:rPr>
          <w:rFonts w:ascii="StobiSerif Regular" w:eastAsia="Times New Roman" w:hAnsi="StobiSerif Regular" w:cs="Arial"/>
          <w:bCs/>
          <w:color w:val="000000"/>
          <w:lang w:val="en-US" w:eastAsia="mk-MK"/>
        </w:rPr>
        <w:t xml:space="preserve">а </w:t>
      </w:r>
      <w:r>
        <w:rPr>
          <w:rFonts w:ascii="StobiSerif Regular" w:eastAsia="Times New Roman" w:hAnsi="StobiSerif Regular" w:cs="Arial"/>
          <w:bCs/>
          <w:color w:val="000000"/>
          <w:lang w:eastAsia="mk-MK"/>
        </w:rPr>
        <w:t>пред</w:t>
      </w:r>
      <w:r w:rsidR="00F1380C" w:rsidRPr="00F1380C">
        <w:rPr>
          <w:rFonts w:ascii="StobiSerif Regular" w:eastAsia="Times New Roman" w:hAnsi="StobiSerif Regular" w:cs="Arial"/>
          <w:bCs/>
          <w:color w:val="000000"/>
          <w:lang w:val="en-US" w:eastAsia="mk-MK"/>
        </w:rPr>
        <w:t xml:space="preserve"> одобрување од кои</w:t>
      </w:r>
      <w:r w:rsidR="006446AB" w:rsidRPr="006446AB">
        <w:rPr>
          <w:rFonts w:ascii="StobiSerif Regular" w:eastAsia="Calibri" w:hAnsi="StobiSerif Regular" w:cs="Arial"/>
          <w:lang w:val="en-US"/>
        </w:rPr>
        <w:t xml:space="preserve">: </w:t>
      </w:r>
    </w:p>
    <w:p w:rsidR="00706384" w:rsidRPr="00706384" w:rsidRDefault="00706384" w:rsidP="00706384">
      <w:pPr>
        <w:tabs>
          <w:tab w:val="left" w:pos="709"/>
        </w:tabs>
        <w:autoSpaceDE w:val="0"/>
        <w:autoSpaceDN w:val="0"/>
        <w:adjustRightInd w:val="0"/>
        <w:spacing w:after="0"/>
        <w:ind w:left="709"/>
        <w:jc w:val="both"/>
        <w:rPr>
          <w:rFonts w:ascii="StobiSerif Regular" w:eastAsia="Times New Roman" w:hAnsi="StobiSerif Regular" w:cs="Arial"/>
          <w:color w:val="000000"/>
          <w:lang w:val="en-US" w:eastAsia="mk-MK"/>
        </w:rPr>
      </w:pPr>
      <w:r>
        <w:rPr>
          <w:rFonts w:ascii="StobiSerif Regular" w:eastAsia="Calibri" w:hAnsi="StobiSerif Regular" w:cs="Arial"/>
          <w:lang w:val="en-US"/>
        </w:rPr>
        <w:t xml:space="preserve">             -   </w:t>
      </w:r>
      <w:r w:rsidRPr="00706384">
        <w:rPr>
          <w:rFonts w:ascii="StobiSerif Regular" w:eastAsia="Times New Roman" w:hAnsi="StobiSerif Regular" w:cs="Arial"/>
          <w:color w:val="000000"/>
          <w:lang w:val="en-US" w:eastAsia="mk-MK"/>
        </w:rPr>
        <w:t xml:space="preserve">521 контроли на самото место </w:t>
      </w:r>
      <w:r>
        <w:rPr>
          <w:rFonts w:ascii="StobiSerif Regular" w:eastAsia="Times New Roman" w:hAnsi="StobiSerif Regular" w:cs="Arial"/>
          <w:color w:val="000000"/>
          <w:lang w:eastAsia="mk-MK"/>
        </w:rPr>
        <w:t>на</w:t>
      </w:r>
      <w:r w:rsidRPr="00706384">
        <w:rPr>
          <w:rFonts w:ascii="StobiSerif Regular" w:eastAsia="Times New Roman" w:hAnsi="StobiSerif Regular" w:cs="Arial"/>
          <w:color w:val="000000"/>
          <w:lang w:val="en-US" w:eastAsia="mk-MK"/>
        </w:rPr>
        <w:t xml:space="preserve"> инвести</w:t>
      </w:r>
      <w:r>
        <w:rPr>
          <w:rFonts w:ascii="StobiSerif Regular" w:eastAsia="Times New Roman" w:hAnsi="StobiSerif Regular" w:cs="Arial"/>
          <w:color w:val="000000"/>
          <w:lang w:eastAsia="mk-MK"/>
        </w:rPr>
        <w:t>ции</w:t>
      </w:r>
      <w:r w:rsidRPr="00706384">
        <w:rPr>
          <w:rFonts w:ascii="StobiSerif Regular" w:eastAsia="Times New Roman" w:hAnsi="StobiSerif Regular" w:cs="Arial"/>
          <w:color w:val="000000"/>
          <w:lang w:val="en-US" w:eastAsia="mk-MK"/>
        </w:rPr>
        <w:t xml:space="preserve"> во Мерка 101</w:t>
      </w:r>
    </w:p>
    <w:p w:rsidR="00706384" w:rsidRPr="00706384" w:rsidRDefault="00706384" w:rsidP="00706384">
      <w:pPr>
        <w:tabs>
          <w:tab w:val="left" w:pos="709"/>
        </w:tabs>
        <w:autoSpaceDE w:val="0"/>
        <w:autoSpaceDN w:val="0"/>
        <w:adjustRightInd w:val="0"/>
        <w:spacing w:after="0"/>
        <w:ind w:left="709"/>
        <w:jc w:val="both"/>
        <w:rPr>
          <w:rFonts w:ascii="StobiSerif Regular" w:eastAsia="Times New Roman" w:hAnsi="StobiSerif Regular" w:cs="Arial"/>
          <w:color w:val="000000"/>
          <w:lang w:val="en-US" w:eastAsia="mk-MK"/>
        </w:rPr>
      </w:pPr>
      <w:r w:rsidRPr="00706384">
        <w:rPr>
          <w:rFonts w:ascii="StobiSerif Regular" w:eastAsia="Times New Roman" w:hAnsi="StobiSerif Regular" w:cs="Arial"/>
          <w:color w:val="000000"/>
          <w:lang w:val="en-US" w:eastAsia="mk-MK"/>
        </w:rPr>
        <w:t xml:space="preserve">              - 6 контроли на самото место на инвестиции во Мерка 103</w:t>
      </w:r>
    </w:p>
    <w:p w:rsidR="006446AB" w:rsidRPr="006446AB" w:rsidRDefault="00706384" w:rsidP="00706384">
      <w:pPr>
        <w:tabs>
          <w:tab w:val="left" w:pos="709"/>
        </w:tabs>
        <w:autoSpaceDE w:val="0"/>
        <w:autoSpaceDN w:val="0"/>
        <w:adjustRightInd w:val="0"/>
        <w:spacing w:after="0"/>
        <w:ind w:left="709"/>
        <w:jc w:val="both"/>
        <w:rPr>
          <w:rFonts w:ascii="StobiSerif Regular" w:eastAsia="Calibri" w:hAnsi="StobiSerif Regular" w:cs="Arial"/>
          <w:lang w:val="en-US"/>
        </w:rPr>
      </w:pPr>
      <w:r w:rsidRPr="00706384">
        <w:rPr>
          <w:rFonts w:ascii="StobiSerif Regular" w:eastAsia="Times New Roman" w:hAnsi="StobiSerif Regular" w:cs="Arial"/>
          <w:color w:val="000000"/>
          <w:lang w:val="en-US" w:eastAsia="mk-MK"/>
        </w:rPr>
        <w:t xml:space="preserve">              - 8 контроли на самото место на инвестиции во Мерка 302</w:t>
      </w:r>
    </w:p>
    <w:p w:rsidR="006446AB" w:rsidRPr="006446AB" w:rsidRDefault="006446AB" w:rsidP="006446AB">
      <w:pPr>
        <w:spacing w:after="0"/>
        <w:ind w:left="90"/>
        <w:contextualSpacing/>
        <w:jc w:val="both"/>
        <w:rPr>
          <w:rFonts w:ascii="StobiSerif Regular" w:eastAsia="Calibri" w:hAnsi="StobiSerif Regular" w:cs="Arial"/>
          <w:lang w:val="en-US"/>
        </w:rPr>
      </w:pPr>
    </w:p>
    <w:p w:rsidR="006446AB" w:rsidRPr="006446AB" w:rsidRDefault="00706384" w:rsidP="00706384">
      <w:pPr>
        <w:numPr>
          <w:ilvl w:val="0"/>
          <w:numId w:val="28"/>
        </w:numPr>
        <w:spacing w:after="0" w:line="259" w:lineRule="auto"/>
        <w:contextualSpacing/>
        <w:jc w:val="both"/>
        <w:rPr>
          <w:rFonts w:ascii="StobiSerif Regular" w:eastAsia="Calibri" w:hAnsi="StobiSerif Regular" w:cs="Arial"/>
          <w:lang w:val="en-US"/>
        </w:rPr>
      </w:pPr>
      <w:r w:rsidRPr="00706384">
        <w:rPr>
          <w:rFonts w:ascii="StobiSerif Regular" w:eastAsia="Times New Roman" w:hAnsi="StobiSerif Regular" w:cs="Arial"/>
          <w:bCs/>
          <w:lang w:val="en-US"/>
        </w:rPr>
        <w:t xml:space="preserve">316 </w:t>
      </w:r>
      <w:r>
        <w:rPr>
          <w:rFonts w:ascii="StobiSerif Regular" w:eastAsia="Times New Roman" w:hAnsi="StobiSerif Regular" w:cs="Arial"/>
          <w:bCs/>
          <w:lang w:val="en-US"/>
        </w:rPr>
        <w:t>контрол</w:t>
      </w:r>
      <w:r w:rsidRPr="00706384">
        <w:rPr>
          <w:rFonts w:ascii="StobiSerif Regular" w:eastAsia="Times New Roman" w:hAnsi="StobiSerif Regular" w:cs="Arial"/>
          <w:bCs/>
          <w:lang w:val="en-US"/>
        </w:rPr>
        <w:t xml:space="preserve">а на лице место </w:t>
      </w:r>
      <w:r>
        <w:rPr>
          <w:rFonts w:ascii="StobiSerif Regular" w:eastAsia="Times New Roman" w:hAnsi="StobiSerif Regular" w:cs="Arial"/>
          <w:bCs/>
        </w:rPr>
        <w:t xml:space="preserve">пред </w:t>
      </w:r>
      <w:r w:rsidRPr="00706384">
        <w:rPr>
          <w:rFonts w:ascii="StobiSerif Regular" w:eastAsia="Times New Roman" w:hAnsi="StobiSerif Regular" w:cs="Arial"/>
          <w:bCs/>
          <w:lang w:val="en-US"/>
        </w:rPr>
        <w:t>исплата, од кои</w:t>
      </w:r>
      <w:r w:rsidR="006446AB" w:rsidRPr="006446AB">
        <w:rPr>
          <w:rFonts w:ascii="StobiSerif Regular" w:eastAsia="Calibri" w:hAnsi="StobiSerif Regular" w:cs="Arial"/>
          <w:lang w:val="en-US"/>
        </w:rPr>
        <w:t>:</w:t>
      </w:r>
    </w:p>
    <w:p w:rsidR="00706384" w:rsidRPr="00706384" w:rsidRDefault="00706384" w:rsidP="00706384">
      <w:pPr>
        <w:tabs>
          <w:tab w:val="left" w:pos="709"/>
        </w:tabs>
        <w:autoSpaceDE w:val="0"/>
        <w:autoSpaceDN w:val="0"/>
        <w:adjustRightInd w:val="0"/>
        <w:spacing w:after="0"/>
        <w:ind w:left="709"/>
        <w:jc w:val="both"/>
        <w:rPr>
          <w:rFonts w:ascii="StobiSerif Regular" w:eastAsia="Times New Roman" w:hAnsi="StobiSerif Regular" w:cs="Arial"/>
          <w:color w:val="000000"/>
          <w:lang w:val="en-US" w:eastAsia="mk-MK"/>
        </w:rPr>
      </w:pPr>
      <w:r>
        <w:rPr>
          <w:rFonts w:ascii="StobiSerif Regular" w:eastAsia="Calibri" w:hAnsi="StobiSerif Regular" w:cs="Arial"/>
          <w:lang w:val="en-US"/>
        </w:rPr>
        <w:t xml:space="preserve">             -  </w:t>
      </w:r>
      <w:r w:rsidRPr="00706384">
        <w:rPr>
          <w:rFonts w:ascii="StobiSerif Regular" w:eastAsia="Times New Roman" w:hAnsi="StobiSerif Regular" w:cs="Arial"/>
          <w:color w:val="000000"/>
          <w:lang w:val="en-US" w:eastAsia="mk-MK"/>
        </w:rPr>
        <w:t xml:space="preserve">298 контроли на самото место </w:t>
      </w:r>
      <w:r>
        <w:rPr>
          <w:rFonts w:ascii="StobiSerif Regular" w:eastAsia="Times New Roman" w:hAnsi="StobiSerif Regular" w:cs="Arial"/>
          <w:color w:val="000000"/>
          <w:lang w:eastAsia="mk-MK"/>
        </w:rPr>
        <w:t>на</w:t>
      </w:r>
      <w:r>
        <w:rPr>
          <w:rFonts w:ascii="StobiSerif Regular" w:eastAsia="Times New Roman" w:hAnsi="StobiSerif Regular" w:cs="Arial"/>
          <w:color w:val="000000"/>
          <w:lang w:val="en-US" w:eastAsia="mk-MK"/>
        </w:rPr>
        <w:t xml:space="preserve"> инвести</w:t>
      </w:r>
      <w:r>
        <w:rPr>
          <w:rFonts w:ascii="StobiSerif Regular" w:eastAsia="Times New Roman" w:hAnsi="StobiSerif Regular" w:cs="Arial"/>
          <w:color w:val="000000"/>
          <w:lang w:eastAsia="mk-MK"/>
        </w:rPr>
        <w:t>ции</w:t>
      </w:r>
      <w:r>
        <w:rPr>
          <w:rFonts w:ascii="StobiSerif Regular" w:eastAsia="Times New Roman" w:hAnsi="StobiSerif Regular" w:cs="Arial"/>
          <w:color w:val="000000"/>
          <w:lang w:val="en-US" w:eastAsia="mk-MK"/>
        </w:rPr>
        <w:t xml:space="preserve"> </w:t>
      </w:r>
      <w:r w:rsidRPr="00706384">
        <w:rPr>
          <w:rFonts w:ascii="StobiSerif Regular" w:eastAsia="Times New Roman" w:hAnsi="StobiSerif Regular" w:cs="Arial"/>
          <w:color w:val="000000"/>
          <w:lang w:val="en-US" w:eastAsia="mk-MK"/>
        </w:rPr>
        <w:t>во Мерка 101</w:t>
      </w:r>
    </w:p>
    <w:p w:rsidR="00706384" w:rsidRPr="00706384" w:rsidRDefault="00706384" w:rsidP="00706384">
      <w:pPr>
        <w:tabs>
          <w:tab w:val="left" w:pos="709"/>
        </w:tabs>
        <w:autoSpaceDE w:val="0"/>
        <w:autoSpaceDN w:val="0"/>
        <w:adjustRightInd w:val="0"/>
        <w:spacing w:after="0"/>
        <w:ind w:left="709"/>
        <w:jc w:val="both"/>
        <w:rPr>
          <w:rFonts w:ascii="StobiSerif Regular" w:eastAsia="Times New Roman" w:hAnsi="StobiSerif Regular" w:cs="Arial"/>
          <w:color w:val="000000"/>
          <w:lang w:val="en-US" w:eastAsia="mk-MK"/>
        </w:rPr>
      </w:pPr>
      <w:r w:rsidRPr="00706384">
        <w:rPr>
          <w:rFonts w:ascii="StobiSerif Regular" w:eastAsia="Times New Roman" w:hAnsi="StobiSerif Regular" w:cs="Arial"/>
          <w:color w:val="000000"/>
          <w:lang w:val="en-US" w:eastAsia="mk-MK"/>
        </w:rPr>
        <w:t xml:space="preserve">              - 12 контроли на самото место </w:t>
      </w:r>
      <w:r>
        <w:rPr>
          <w:rFonts w:ascii="StobiSerif Regular" w:eastAsia="Times New Roman" w:hAnsi="StobiSerif Regular" w:cs="Arial"/>
          <w:color w:val="000000"/>
          <w:lang w:eastAsia="mk-MK"/>
        </w:rPr>
        <w:t>на</w:t>
      </w:r>
      <w:r>
        <w:rPr>
          <w:rFonts w:ascii="StobiSerif Regular" w:eastAsia="Times New Roman" w:hAnsi="StobiSerif Regular" w:cs="Arial"/>
          <w:color w:val="000000"/>
          <w:lang w:val="en-US" w:eastAsia="mk-MK"/>
        </w:rPr>
        <w:t xml:space="preserve"> инвести</w:t>
      </w:r>
      <w:r>
        <w:rPr>
          <w:rFonts w:ascii="StobiSerif Regular" w:eastAsia="Times New Roman" w:hAnsi="StobiSerif Regular" w:cs="Arial"/>
          <w:color w:val="000000"/>
          <w:lang w:eastAsia="mk-MK"/>
        </w:rPr>
        <w:t>ции</w:t>
      </w:r>
      <w:r>
        <w:rPr>
          <w:rFonts w:ascii="StobiSerif Regular" w:eastAsia="Times New Roman" w:hAnsi="StobiSerif Regular" w:cs="Arial"/>
          <w:color w:val="000000"/>
          <w:lang w:val="en-US" w:eastAsia="mk-MK"/>
        </w:rPr>
        <w:t xml:space="preserve"> </w:t>
      </w:r>
      <w:r w:rsidRPr="00706384">
        <w:rPr>
          <w:rFonts w:ascii="StobiSerif Regular" w:eastAsia="Times New Roman" w:hAnsi="StobiSerif Regular" w:cs="Arial"/>
          <w:color w:val="000000"/>
          <w:lang w:val="en-US" w:eastAsia="mk-MK"/>
        </w:rPr>
        <w:t>во Мерка 103</w:t>
      </w:r>
    </w:p>
    <w:p w:rsidR="006446AB" w:rsidRPr="006446AB" w:rsidRDefault="00706384" w:rsidP="00706384">
      <w:pPr>
        <w:tabs>
          <w:tab w:val="left" w:pos="709"/>
        </w:tabs>
        <w:autoSpaceDE w:val="0"/>
        <w:autoSpaceDN w:val="0"/>
        <w:adjustRightInd w:val="0"/>
        <w:spacing w:after="0"/>
        <w:ind w:left="709"/>
        <w:jc w:val="both"/>
        <w:rPr>
          <w:rFonts w:ascii="StobiSerif Regular" w:eastAsia="Calibri" w:hAnsi="StobiSerif Regular" w:cs="Arial"/>
          <w:lang w:val="en-US"/>
        </w:rPr>
      </w:pPr>
      <w:r w:rsidRPr="00706384">
        <w:rPr>
          <w:rFonts w:ascii="StobiSerif Regular" w:eastAsia="Times New Roman" w:hAnsi="StobiSerif Regular" w:cs="Arial"/>
          <w:color w:val="000000"/>
          <w:lang w:val="en-US" w:eastAsia="mk-MK"/>
        </w:rPr>
        <w:t xml:space="preserve">              - 6 контроли на самото место </w:t>
      </w:r>
      <w:r>
        <w:rPr>
          <w:rFonts w:ascii="StobiSerif Regular" w:eastAsia="Times New Roman" w:hAnsi="StobiSerif Regular" w:cs="Arial"/>
          <w:color w:val="000000"/>
          <w:lang w:eastAsia="mk-MK"/>
        </w:rPr>
        <w:t>на</w:t>
      </w:r>
      <w:r>
        <w:rPr>
          <w:rFonts w:ascii="StobiSerif Regular" w:eastAsia="Times New Roman" w:hAnsi="StobiSerif Regular" w:cs="Arial"/>
          <w:color w:val="000000"/>
          <w:lang w:val="en-US" w:eastAsia="mk-MK"/>
        </w:rPr>
        <w:t xml:space="preserve"> инвести</w:t>
      </w:r>
      <w:r>
        <w:rPr>
          <w:rFonts w:ascii="StobiSerif Regular" w:eastAsia="Times New Roman" w:hAnsi="StobiSerif Regular" w:cs="Arial"/>
          <w:color w:val="000000"/>
          <w:lang w:eastAsia="mk-MK"/>
        </w:rPr>
        <w:t>ции</w:t>
      </w:r>
      <w:r>
        <w:rPr>
          <w:rFonts w:ascii="StobiSerif Regular" w:eastAsia="Times New Roman" w:hAnsi="StobiSerif Regular" w:cs="Arial"/>
          <w:color w:val="000000"/>
          <w:lang w:val="en-US" w:eastAsia="mk-MK"/>
        </w:rPr>
        <w:t xml:space="preserve"> </w:t>
      </w:r>
      <w:r w:rsidRPr="00706384">
        <w:rPr>
          <w:rFonts w:ascii="StobiSerif Regular" w:eastAsia="Times New Roman" w:hAnsi="StobiSerif Regular" w:cs="Arial"/>
          <w:color w:val="000000"/>
          <w:lang w:val="en-US" w:eastAsia="mk-MK"/>
        </w:rPr>
        <w:t>во Мерка 302</w:t>
      </w:r>
    </w:p>
    <w:p w:rsidR="006446AB" w:rsidRPr="006446AB" w:rsidRDefault="006446AB" w:rsidP="006446AB">
      <w:pPr>
        <w:tabs>
          <w:tab w:val="left" w:pos="709"/>
        </w:tabs>
        <w:autoSpaceDE w:val="0"/>
        <w:autoSpaceDN w:val="0"/>
        <w:adjustRightInd w:val="0"/>
        <w:spacing w:after="0"/>
        <w:ind w:left="709"/>
        <w:jc w:val="both"/>
        <w:rPr>
          <w:rFonts w:ascii="StobiSerif Regular" w:eastAsia="Calibri" w:hAnsi="StobiSerif Regular" w:cs="Arial"/>
          <w:lang w:val="en-US"/>
        </w:rPr>
      </w:pPr>
    </w:p>
    <w:p w:rsidR="006446AB" w:rsidRPr="006446AB" w:rsidRDefault="00706384" w:rsidP="00706384">
      <w:pPr>
        <w:numPr>
          <w:ilvl w:val="0"/>
          <w:numId w:val="28"/>
        </w:numPr>
        <w:spacing w:before="120" w:after="0" w:line="259" w:lineRule="auto"/>
        <w:jc w:val="both"/>
        <w:rPr>
          <w:rFonts w:ascii="StobiSerif Regular" w:eastAsia="Calibri" w:hAnsi="StobiSerif Regular" w:cs="Arial"/>
          <w:lang w:val="en-US"/>
        </w:rPr>
      </w:pPr>
      <w:r w:rsidRPr="00706384">
        <w:rPr>
          <w:rFonts w:ascii="StobiSerif Regular" w:eastAsia="Times New Roman" w:hAnsi="StobiSerif Regular" w:cs="Arial"/>
          <w:bCs/>
        </w:rPr>
        <w:t>145 ex-post контроли на самото место, од кои</w:t>
      </w:r>
      <w:r w:rsidR="006446AB" w:rsidRPr="006446AB">
        <w:rPr>
          <w:rFonts w:ascii="StobiSerif Regular" w:eastAsia="Calibri" w:hAnsi="StobiSerif Regular" w:cs="Arial"/>
          <w:lang w:val="en-US"/>
        </w:rPr>
        <w:t>:</w:t>
      </w:r>
    </w:p>
    <w:p w:rsidR="00E02888" w:rsidRPr="00E02888" w:rsidRDefault="006446AB" w:rsidP="00E02888">
      <w:pPr>
        <w:tabs>
          <w:tab w:val="left" w:pos="709"/>
        </w:tabs>
        <w:autoSpaceDE w:val="0"/>
        <w:autoSpaceDN w:val="0"/>
        <w:adjustRightInd w:val="0"/>
        <w:spacing w:before="120" w:after="0"/>
        <w:jc w:val="both"/>
        <w:rPr>
          <w:rFonts w:ascii="StobiSerif Regular" w:eastAsia="Times New Roman" w:hAnsi="StobiSerif Regular" w:cs="Arial"/>
          <w:bCs/>
          <w:color w:val="000000"/>
          <w:lang w:eastAsia="mk-MK"/>
        </w:rPr>
      </w:pPr>
      <w:r w:rsidRPr="006446AB">
        <w:rPr>
          <w:rFonts w:ascii="StobiSerif Regular" w:eastAsia="Calibri" w:hAnsi="StobiSerif Regular" w:cs="Arial"/>
          <w:lang w:val="en-US"/>
        </w:rPr>
        <w:t xml:space="preserve">             </w:t>
      </w:r>
      <w:r w:rsidR="00E02888">
        <w:rPr>
          <w:rFonts w:ascii="StobiSerif Regular" w:eastAsia="Calibri" w:hAnsi="StobiSerif Regular" w:cs="Arial"/>
          <w:lang w:val="en-US"/>
        </w:rPr>
        <w:t xml:space="preserve">-  </w:t>
      </w:r>
      <w:r w:rsidR="00E02888" w:rsidRPr="00E02888">
        <w:rPr>
          <w:rFonts w:ascii="StobiSerif Regular" w:eastAsia="Times New Roman" w:hAnsi="StobiSerif Regular" w:cs="Arial"/>
          <w:bCs/>
          <w:color w:val="000000"/>
          <w:lang w:eastAsia="mk-MK"/>
        </w:rPr>
        <w:t xml:space="preserve">137 контроли на лице место </w:t>
      </w:r>
      <w:r w:rsidR="00E02888">
        <w:rPr>
          <w:rFonts w:ascii="StobiSerif Regular" w:eastAsia="Times New Roman" w:hAnsi="StobiSerif Regular" w:cs="Arial"/>
          <w:color w:val="000000"/>
          <w:lang w:eastAsia="mk-MK"/>
        </w:rPr>
        <w:t>на</w:t>
      </w:r>
      <w:r w:rsidR="00E02888">
        <w:rPr>
          <w:rFonts w:ascii="StobiSerif Regular" w:eastAsia="Times New Roman" w:hAnsi="StobiSerif Regular" w:cs="Arial"/>
          <w:color w:val="000000"/>
          <w:lang w:val="en-US" w:eastAsia="mk-MK"/>
        </w:rPr>
        <w:t xml:space="preserve"> инвести</w:t>
      </w:r>
      <w:r w:rsidR="00E02888">
        <w:rPr>
          <w:rFonts w:ascii="StobiSerif Regular" w:eastAsia="Times New Roman" w:hAnsi="StobiSerif Regular" w:cs="Arial"/>
          <w:color w:val="000000"/>
          <w:lang w:eastAsia="mk-MK"/>
        </w:rPr>
        <w:t>ции</w:t>
      </w:r>
      <w:r w:rsidR="00E02888">
        <w:rPr>
          <w:rFonts w:ascii="StobiSerif Regular" w:eastAsia="Times New Roman" w:hAnsi="StobiSerif Regular" w:cs="Arial"/>
          <w:color w:val="000000"/>
          <w:lang w:val="en-US" w:eastAsia="mk-MK"/>
        </w:rPr>
        <w:t xml:space="preserve"> </w:t>
      </w:r>
      <w:r w:rsidR="00E02888" w:rsidRPr="00E02888">
        <w:rPr>
          <w:rFonts w:ascii="StobiSerif Regular" w:eastAsia="Times New Roman" w:hAnsi="StobiSerif Regular" w:cs="Arial"/>
          <w:bCs/>
          <w:color w:val="000000"/>
          <w:lang w:eastAsia="mk-MK"/>
        </w:rPr>
        <w:t xml:space="preserve"> во Мерка 101</w:t>
      </w:r>
    </w:p>
    <w:p w:rsidR="00E02888" w:rsidRPr="00E02888" w:rsidRDefault="00E02888" w:rsidP="00E02888">
      <w:pPr>
        <w:tabs>
          <w:tab w:val="left" w:pos="709"/>
        </w:tabs>
        <w:autoSpaceDE w:val="0"/>
        <w:autoSpaceDN w:val="0"/>
        <w:adjustRightInd w:val="0"/>
        <w:spacing w:before="120" w:after="0"/>
        <w:jc w:val="both"/>
        <w:rPr>
          <w:rFonts w:ascii="StobiSerif Regular" w:eastAsia="Times New Roman" w:hAnsi="StobiSerif Regular" w:cs="Arial"/>
          <w:bCs/>
          <w:color w:val="000000"/>
          <w:lang w:eastAsia="mk-MK"/>
        </w:rPr>
      </w:pPr>
      <w:r w:rsidRPr="00E02888">
        <w:rPr>
          <w:rFonts w:ascii="StobiSerif Regular" w:eastAsia="Times New Roman" w:hAnsi="StobiSerif Regular" w:cs="Arial"/>
          <w:bCs/>
          <w:color w:val="000000"/>
          <w:lang w:eastAsia="mk-MK"/>
        </w:rPr>
        <w:t xml:space="preserve">              - 6 контроли на самото место </w:t>
      </w:r>
      <w:r>
        <w:rPr>
          <w:rFonts w:ascii="StobiSerif Regular" w:eastAsia="Times New Roman" w:hAnsi="StobiSerif Regular" w:cs="Arial"/>
          <w:color w:val="000000"/>
          <w:lang w:eastAsia="mk-MK"/>
        </w:rPr>
        <w:t>на</w:t>
      </w:r>
      <w:r>
        <w:rPr>
          <w:rFonts w:ascii="StobiSerif Regular" w:eastAsia="Times New Roman" w:hAnsi="StobiSerif Regular" w:cs="Arial"/>
          <w:color w:val="000000"/>
          <w:lang w:val="en-US" w:eastAsia="mk-MK"/>
        </w:rPr>
        <w:t xml:space="preserve"> инвести</w:t>
      </w:r>
      <w:r>
        <w:rPr>
          <w:rFonts w:ascii="StobiSerif Regular" w:eastAsia="Times New Roman" w:hAnsi="StobiSerif Regular" w:cs="Arial"/>
          <w:color w:val="000000"/>
          <w:lang w:eastAsia="mk-MK"/>
        </w:rPr>
        <w:t>ции</w:t>
      </w:r>
      <w:r>
        <w:rPr>
          <w:rFonts w:ascii="StobiSerif Regular" w:eastAsia="Times New Roman" w:hAnsi="StobiSerif Regular" w:cs="Arial"/>
          <w:color w:val="000000"/>
          <w:lang w:val="en-US" w:eastAsia="mk-MK"/>
        </w:rPr>
        <w:t xml:space="preserve"> </w:t>
      </w:r>
      <w:r w:rsidRPr="00E02888">
        <w:rPr>
          <w:rFonts w:ascii="StobiSerif Regular" w:eastAsia="Times New Roman" w:hAnsi="StobiSerif Regular" w:cs="Arial"/>
          <w:bCs/>
          <w:color w:val="000000"/>
          <w:lang w:eastAsia="mk-MK"/>
        </w:rPr>
        <w:t>во Мерка 103</w:t>
      </w:r>
    </w:p>
    <w:p w:rsidR="006446AB" w:rsidRPr="006446AB" w:rsidRDefault="00E02888" w:rsidP="00E02888">
      <w:pPr>
        <w:tabs>
          <w:tab w:val="left" w:pos="709"/>
        </w:tabs>
        <w:autoSpaceDE w:val="0"/>
        <w:autoSpaceDN w:val="0"/>
        <w:adjustRightInd w:val="0"/>
        <w:spacing w:before="120" w:after="0"/>
        <w:jc w:val="both"/>
        <w:rPr>
          <w:rFonts w:ascii="StobiSerif Regular" w:eastAsia="Calibri" w:hAnsi="StobiSerif Regular" w:cs="Arial"/>
          <w:lang w:val="en-US"/>
        </w:rPr>
      </w:pPr>
      <w:r w:rsidRPr="00E02888">
        <w:rPr>
          <w:rFonts w:ascii="StobiSerif Regular" w:eastAsia="Times New Roman" w:hAnsi="StobiSerif Regular" w:cs="Arial"/>
          <w:bCs/>
          <w:color w:val="000000"/>
          <w:lang w:eastAsia="mk-MK"/>
        </w:rPr>
        <w:t xml:space="preserve">             - 2 контроли на самото место </w:t>
      </w:r>
      <w:r>
        <w:rPr>
          <w:rFonts w:ascii="StobiSerif Regular" w:eastAsia="Times New Roman" w:hAnsi="StobiSerif Regular" w:cs="Arial"/>
          <w:color w:val="000000"/>
          <w:lang w:eastAsia="mk-MK"/>
        </w:rPr>
        <w:t>на</w:t>
      </w:r>
      <w:r>
        <w:rPr>
          <w:rFonts w:ascii="StobiSerif Regular" w:eastAsia="Times New Roman" w:hAnsi="StobiSerif Regular" w:cs="Arial"/>
          <w:color w:val="000000"/>
          <w:lang w:val="en-US" w:eastAsia="mk-MK"/>
        </w:rPr>
        <w:t xml:space="preserve"> инвести</w:t>
      </w:r>
      <w:r>
        <w:rPr>
          <w:rFonts w:ascii="StobiSerif Regular" w:eastAsia="Times New Roman" w:hAnsi="StobiSerif Regular" w:cs="Arial"/>
          <w:color w:val="000000"/>
          <w:lang w:eastAsia="mk-MK"/>
        </w:rPr>
        <w:t>ции</w:t>
      </w:r>
      <w:r>
        <w:rPr>
          <w:rFonts w:ascii="StobiSerif Regular" w:eastAsia="Times New Roman" w:hAnsi="StobiSerif Regular" w:cs="Arial"/>
          <w:color w:val="000000"/>
          <w:lang w:val="en-US" w:eastAsia="mk-MK"/>
        </w:rPr>
        <w:t xml:space="preserve"> </w:t>
      </w:r>
      <w:r w:rsidRPr="00E02888">
        <w:rPr>
          <w:rFonts w:ascii="StobiSerif Regular" w:eastAsia="Times New Roman" w:hAnsi="StobiSerif Regular" w:cs="Arial"/>
          <w:bCs/>
          <w:color w:val="000000"/>
          <w:lang w:eastAsia="mk-MK"/>
        </w:rPr>
        <w:t>во Мерка 302</w:t>
      </w:r>
    </w:p>
    <w:p w:rsidR="00E02888" w:rsidRPr="00E02888" w:rsidRDefault="00E02888" w:rsidP="00E02888">
      <w:pPr>
        <w:autoSpaceDE w:val="0"/>
        <w:autoSpaceDN w:val="0"/>
        <w:adjustRightInd w:val="0"/>
        <w:spacing w:after="0"/>
        <w:jc w:val="both"/>
        <w:rPr>
          <w:rFonts w:ascii="StobiSerif Regular" w:eastAsia="Calibri" w:hAnsi="StobiSerif Regular" w:cs="Arial"/>
          <w:lang w:val="en-US"/>
        </w:rPr>
      </w:pPr>
      <w:r w:rsidRPr="00E02888">
        <w:rPr>
          <w:rFonts w:ascii="StobiSerif Regular" w:eastAsia="Calibri" w:hAnsi="StobiSerif Regular" w:cs="Arial"/>
          <w:lang w:val="en-US"/>
        </w:rPr>
        <w:t>Секторот за контрола на лице место изврши 16 контроли на самото место за утврдување скриени работи при реализација на инвестицијата.</w:t>
      </w:r>
    </w:p>
    <w:p w:rsidR="006446AB" w:rsidRPr="006446AB" w:rsidRDefault="00E02888" w:rsidP="00E02888">
      <w:pPr>
        <w:autoSpaceDE w:val="0"/>
        <w:autoSpaceDN w:val="0"/>
        <w:adjustRightInd w:val="0"/>
        <w:spacing w:after="0"/>
        <w:jc w:val="both"/>
        <w:rPr>
          <w:rFonts w:ascii="StobiSerif Regular" w:eastAsia="Times New Roman" w:hAnsi="StobiSerif Regular" w:cs="Arial"/>
          <w:lang w:val="en-US"/>
        </w:rPr>
      </w:pPr>
      <w:r w:rsidRPr="00E02888">
        <w:rPr>
          <w:rFonts w:ascii="StobiSerif Regular" w:eastAsia="Calibri" w:hAnsi="StobiSerif Regular" w:cs="Arial"/>
          <w:lang w:val="en-US"/>
        </w:rPr>
        <w:t xml:space="preserve">За време на контролите на самото место пред исплата на 11 корисници беа откриени стари - употребувани трактори. Сите трактори се од ист производител истиот модел и се купени од истите добавувачи. Изготвени се извештаи за нерегуларности и се доставуваат до службеникот за нерегуларности во ИПАРД </w:t>
      </w:r>
      <w:r>
        <w:rPr>
          <w:rFonts w:ascii="StobiSerif Regular" w:eastAsia="Calibri" w:hAnsi="StobiSerif Regular" w:cs="Arial"/>
        </w:rPr>
        <w:t>Агенцијата</w:t>
      </w:r>
      <w:r w:rsidRPr="00E02888">
        <w:rPr>
          <w:rFonts w:ascii="StobiSerif Regular" w:eastAsia="Calibri" w:hAnsi="StobiSerif Regular" w:cs="Arial"/>
          <w:lang w:val="en-US"/>
        </w:rPr>
        <w:t>. Во тек е истрага од страна на надлежните државни органи</w:t>
      </w:r>
      <w:r w:rsidR="006446AB" w:rsidRPr="006446AB">
        <w:rPr>
          <w:rFonts w:ascii="StobiSerif Regular" w:eastAsia="Calibri" w:hAnsi="StobiSerif Regular" w:cs="Arial"/>
          <w:lang w:val="en-US"/>
        </w:rPr>
        <w:t>.</w:t>
      </w:r>
    </w:p>
    <w:p w:rsidR="006446AB" w:rsidRPr="00E02888" w:rsidRDefault="00E02888" w:rsidP="00663982">
      <w:pPr>
        <w:spacing w:after="0" w:line="240" w:lineRule="auto"/>
        <w:jc w:val="both"/>
        <w:rPr>
          <w:rFonts w:ascii="StobiSerif Regular" w:eastAsia="Calibri" w:hAnsi="StobiSerif Regular" w:cs="Arial"/>
        </w:rPr>
      </w:pPr>
      <w:r w:rsidRPr="00E02888">
        <w:rPr>
          <w:rFonts w:ascii="StobiSerif Regular" w:eastAsia="Calibri" w:hAnsi="StobiSerif Regular" w:cs="Arial"/>
          <w:lang w:val="en-US"/>
        </w:rPr>
        <w:t>Една контрола на лице место во текот на настаните (по потпишувањето на договорот, но пред да се испрати барање за плаќање) според Мерката 501 е извршена во 2016 година</w:t>
      </w:r>
      <w:r>
        <w:rPr>
          <w:rFonts w:ascii="StobiSerif Regular" w:eastAsia="Calibri" w:hAnsi="StobiSerif Regular" w:cs="Arial"/>
        </w:rPr>
        <w:t>.</w:t>
      </w:r>
    </w:p>
    <w:p w:rsidR="00E02888" w:rsidRPr="00E02888" w:rsidRDefault="00E02888" w:rsidP="001261BD">
      <w:pPr>
        <w:pStyle w:val="NoSpacing"/>
        <w:spacing w:after="120"/>
        <w:ind w:firstLine="284"/>
        <w:jc w:val="both"/>
        <w:outlineLvl w:val="1"/>
        <w:rPr>
          <w:rFonts w:ascii="StobiSerif Regular" w:eastAsia="Times New Roman" w:hAnsi="StobiSerif Regular" w:cs="Times New Roman"/>
          <w:b/>
          <w:bCs/>
          <w:lang w:eastAsia="mk-MK"/>
        </w:rPr>
      </w:pPr>
      <w:bookmarkStart w:id="94" w:name="_Toc485394827"/>
      <w:r w:rsidRPr="00E02888">
        <w:rPr>
          <w:rFonts w:ascii="StobiSerif Regular" w:eastAsia="Times New Roman" w:hAnsi="StobiSerif Regular" w:cs="Times New Roman"/>
          <w:b/>
          <w:bCs/>
          <w:lang w:eastAsia="mk-MK"/>
        </w:rPr>
        <w:t>3.4 Работа на Мониторинг Комитетот за ИПАРД</w:t>
      </w:r>
      <w:bookmarkEnd w:id="94"/>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Осумнаесетиот Мониторин Комитет за ИПАРД 2007-2013 беше одржан на 07 декември 2016.</w:t>
      </w:r>
    </w:p>
    <w:p w:rsidR="00E02888" w:rsidRPr="001261BD" w:rsidRDefault="001359FE" w:rsidP="001359FE">
      <w:pPr>
        <w:pStyle w:val="NoSpacing"/>
        <w:spacing w:after="120"/>
        <w:jc w:val="both"/>
        <w:rPr>
          <w:rFonts w:ascii="StobiSerif Regular" w:eastAsia="Times New Roman" w:hAnsi="StobiSerif Regular" w:cs="Times New Roman"/>
          <w:bCs/>
          <w:lang w:eastAsia="mk-MK"/>
        </w:rPr>
      </w:pPr>
      <w:r>
        <w:rPr>
          <w:rFonts w:ascii="StobiSerif Regular" w:eastAsia="Times New Roman" w:hAnsi="StobiSerif Regular" w:cs="Times New Roman"/>
          <w:bCs/>
          <w:lang w:eastAsia="mk-MK"/>
        </w:rPr>
        <w:t>Членовите</w:t>
      </w:r>
      <w:r w:rsidR="00E02888" w:rsidRPr="001261BD">
        <w:rPr>
          <w:rFonts w:ascii="StobiSerif Regular" w:eastAsia="Times New Roman" w:hAnsi="StobiSerif Regular" w:cs="Times New Roman"/>
          <w:bCs/>
          <w:lang w:eastAsia="mk-MK"/>
        </w:rPr>
        <w:t xml:space="preserve"> на Мониторин Комитетот  за ИПАРД беа информирани, меѓу другото, за процесот на </w:t>
      </w:r>
      <w:r>
        <w:rPr>
          <w:rFonts w:ascii="StobiSerif Regular" w:eastAsia="Times New Roman" w:hAnsi="StobiSerif Regular" w:cs="Times New Roman"/>
          <w:bCs/>
          <w:lang w:eastAsia="mk-MK"/>
        </w:rPr>
        <w:t>спроведување на</w:t>
      </w:r>
      <w:r w:rsidR="00E02888" w:rsidRPr="001261BD">
        <w:rPr>
          <w:rFonts w:ascii="StobiSerif Regular" w:eastAsia="Times New Roman" w:hAnsi="StobiSerif Regular" w:cs="Times New Roman"/>
          <w:bCs/>
          <w:lang w:eastAsia="mk-MK"/>
        </w:rPr>
        <w:t xml:space="preserve"> одлуките/заклучоците од седумнаесетиот Мониторинг комитет за ИПАРД, во врска со Мониторинг Комитетот за ИПА; ситуацијата на ИПАРД проектот; Во врска со осмата модификација на ипард 2007-2013 Програмата; за имплементација и прогресот  на Мерката техничка помош 501;Прогресот на активностите на ex-post евалуацијата на ИПАРД 2007-2013, за активностите преземени за подобрување на искористување на ИПАРД фондовите гарантниот фонд и субвенционирање не каматната стапка.</w:t>
      </w:r>
    </w:p>
    <w:p w:rsidR="00E02888" w:rsidRPr="001261BD" w:rsidRDefault="00E02888" w:rsidP="009F2C3A">
      <w:pPr>
        <w:pStyle w:val="NoSpacing"/>
        <w:spacing w:after="120"/>
        <w:jc w:val="both"/>
        <w:outlineLvl w:val="1"/>
        <w:rPr>
          <w:rFonts w:ascii="StobiSerif Regular" w:eastAsia="Times New Roman" w:hAnsi="StobiSerif Regular" w:cs="Times New Roman"/>
          <w:bCs/>
          <w:lang w:eastAsia="mk-MK"/>
        </w:rPr>
      </w:pPr>
      <w:bookmarkStart w:id="95" w:name="_Toc485394828"/>
      <w:r w:rsidRPr="001261BD">
        <w:rPr>
          <w:rFonts w:ascii="StobiSerif Regular" w:eastAsia="Times New Roman" w:hAnsi="StobiSerif Regular" w:cs="Times New Roman"/>
          <w:bCs/>
          <w:lang w:eastAsia="mk-MK"/>
        </w:rPr>
        <w:t>3</w:t>
      </w:r>
      <w:r w:rsidRPr="009F2C3A">
        <w:rPr>
          <w:rFonts w:ascii="StobiSerif Regular" w:eastAsia="Times New Roman" w:hAnsi="StobiSerif Regular" w:cs="Times New Roman"/>
          <w:b/>
          <w:bCs/>
          <w:lang w:eastAsia="mk-MK"/>
        </w:rPr>
        <w:t>.5 Активности за публицитет и информирање</w:t>
      </w:r>
      <w:bookmarkEnd w:id="95"/>
    </w:p>
    <w:p w:rsidR="00E02888" w:rsidRPr="00793B97" w:rsidRDefault="00E02888" w:rsidP="00E02888">
      <w:pPr>
        <w:pStyle w:val="NoSpacing"/>
        <w:spacing w:after="120"/>
        <w:ind w:firstLine="284"/>
        <w:jc w:val="both"/>
        <w:rPr>
          <w:rFonts w:ascii="StobiSerif Regular" w:eastAsia="Times New Roman" w:hAnsi="StobiSerif Regular" w:cs="Times New Roman"/>
          <w:bCs/>
          <w:u w:val="single"/>
          <w:lang w:eastAsia="mk-MK"/>
        </w:rPr>
      </w:pPr>
      <w:r w:rsidRPr="00793B97">
        <w:rPr>
          <w:rFonts w:ascii="StobiSerif Regular" w:eastAsia="Times New Roman" w:hAnsi="StobiSerif Regular" w:cs="Times New Roman"/>
          <w:bCs/>
          <w:u w:val="single"/>
          <w:lang w:eastAsia="mk-MK"/>
        </w:rPr>
        <w:t>СПРОВЕДЕНИ АКТИВНОСТИ</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1.</w:t>
      </w:r>
      <w:r w:rsidRPr="001261BD">
        <w:rPr>
          <w:rFonts w:ascii="StobiSerif Regular" w:eastAsia="Times New Roman" w:hAnsi="StobiSerif Regular" w:cs="Times New Roman"/>
          <w:bCs/>
          <w:lang w:eastAsia="mk-MK"/>
        </w:rPr>
        <w:tab/>
        <w:t xml:space="preserve">Ажурирање на веб-сајтот  www.ipard.gov.mk </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Новиот веб-сајт е целосно оперативен од почетокот на јули 2016 година, бројот на посетители на страната во првиот месец беше 2000. Во декември 2016 имаше регистрирано повеќе од 4000 посетители.</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 xml:space="preserve">Ажурирањето се врши редовно со податоци од новиот програмски период 2014-2020. Потенцијалните корисници на веб-сајтот можат да ги најдат неопходните податоци за аплицирање за ИПАРД. </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2.</w:t>
      </w:r>
      <w:r w:rsidRPr="001261BD">
        <w:rPr>
          <w:rFonts w:ascii="StobiSerif Regular" w:eastAsia="Times New Roman" w:hAnsi="StobiSerif Regular" w:cs="Times New Roman"/>
          <w:bCs/>
          <w:lang w:eastAsia="mk-MK"/>
        </w:rPr>
        <w:tab/>
        <w:t>Организирање на ИПАРД инфо денови</w:t>
      </w:r>
    </w:p>
    <w:p w:rsidR="00E02888" w:rsidRPr="001261BD" w:rsidRDefault="00793B97" w:rsidP="00E02888">
      <w:pPr>
        <w:pStyle w:val="NoSpacing"/>
        <w:spacing w:after="120"/>
        <w:ind w:firstLine="284"/>
        <w:jc w:val="both"/>
        <w:rPr>
          <w:rFonts w:ascii="StobiSerif Regular" w:eastAsia="Times New Roman" w:hAnsi="StobiSerif Regular" w:cs="Times New Roman"/>
          <w:bCs/>
          <w:lang w:eastAsia="mk-MK"/>
        </w:rPr>
      </w:pPr>
      <w:r w:rsidRPr="00793B97">
        <w:rPr>
          <w:rFonts w:ascii="StobiSerif Regular" w:eastAsia="Times New Roman" w:hAnsi="StobiSerif Regular" w:cs="Times New Roman"/>
          <w:bCs/>
          <w:lang w:eastAsia="mk-MK"/>
        </w:rPr>
        <w:t>Бидејќи во 2016 година немаше јавни повици во рамки на ИПАРД 2007-2013, информативните денови беа фокусирани на првична промоција на новата ИПАРД II Програма 2014-2020, како и презентација на Гарантниот фонд и можностите кои се нудат преку овој фонд</w:t>
      </w:r>
      <w:r w:rsidR="00E02888" w:rsidRPr="001261BD">
        <w:rPr>
          <w:rFonts w:ascii="StobiSerif Regular" w:eastAsia="Times New Roman" w:hAnsi="StobiSerif Regular" w:cs="Times New Roman"/>
          <w:bCs/>
          <w:lang w:eastAsia="mk-MK"/>
        </w:rPr>
        <w:t>.</w:t>
      </w:r>
    </w:p>
    <w:p w:rsidR="00E02888" w:rsidRPr="001261BD" w:rsidRDefault="001359FE" w:rsidP="001359FE">
      <w:pPr>
        <w:pStyle w:val="NoSpacing"/>
        <w:spacing w:after="120"/>
        <w:jc w:val="both"/>
        <w:rPr>
          <w:rFonts w:ascii="StobiSerif Regular" w:eastAsia="Times New Roman" w:hAnsi="StobiSerif Regular" w:cs="Times New Roman"/>
          <w:bCs/>
          <w:lang w:eastAsia="mk-MK"/>
        </w:rPr>
      </w:pPr>
      <w:r>
        <w:rPr>
          <w:rFonts w:ascii="StobiSerif Regular" w:eastAsia="Times New Roman" w:hAnsi="StobiSerif Regular" w:cs="Times New Roman"/>
          <w:bCs/>
          <w:lang w:eastAsia="mk-MK"/>
        </w:rPr>
        <w:t>В</w:t>
      </w:r>
      <w:r w:rsidR="00E02888" w:rsidRPr="001261BD">
        <w:rPr>
          <w:rFonts w:ascii="StobiSerif Regular" w:eastAsia="Times New Roman" w:hAnsi="StobiSerif Regular" w:cs="Times New Roman"/>
          <w:bCs/>
          <w:lang w:eastAsia="mk-MK"/>
        </w:rPr>
        <w:t>о период од три месеци (март-мај), преставници од Секторот за прт-пристапни фондови на ЕУ за рурален развој (ИПАРД) заедно со преставници од Агенцијата за потикнување и развој на земјоделството беа посетени 30 Општини (45населби).</w:t>
      </w:r>
    </w:p>
    <w:p w:rsidR="00E02888" w:rsidRPr="001261BD" w:rsidRDefault="00E02888" w:rsidP="001359FE">
      <w:pPr>
        <w:pStyle w:val="NoSpacing"/>
        <w:spacing w:after="120"/>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Во период  јули-декември 2016, Секторот за прет-пристапни фондови на ЕУ за рурален развој (ИПАРД) се организирани Регионални  ИПАРД инфо настани во соработка со центрите на осумте региони  во Македонија, Стопанската комора на Македонија и ИПАРД Агенцијата.</w:t>
      </w:r>
    </w:p>
    <w:p w:rsidR="00E02888" w:rsidRPr="001261BD" w:rsidRDefault="00E02888" w:rsidP="001359FE">
      <w:pPr>
        <w:pStyle w:val="NoSpacing"/>
        <w:spacing w:after="120"/>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Настаните се одржаа во Струмица, Штип, Прилеп, Битола и Скопје и се фокусираше на мерката  "инвестиции во физички средства на земјоделски стопанства и Диверзификација на фарми и развој на мали бизниси"</w:t>
      </w:r>
    </w:p>
    <w:p w:rsidR="00E02888" w:rsidRPr="001261BD" w:rsidRDefault="00E02888" w:rsidP="00FC2FA8">
      <w:pPr>
        <w:pStyle w:val="NoSpacing"/>
        <w:spacing w:after="120"/>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Настаните беа покриени од страна на локални медиуми и радија. Еден од настаните беше организиран од страна на Стопанската комора на Македонија и беше фокусиран на месна и млечна индустрија.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Сите јавни настани беа со исти концепт:</w:t>
      </w:r>
    </w:p>
    <w:p w:rsidR="00E02888" w:rsidRPr="001261BD" w:rsidRDefault="00E02888" w:rsidP="00793B97">
      <w:pPr>
        <w:pStyle w:val="NoSpacing"/>
        <w:numPr>
          <w:ilvl w:val="0"/>
          <w:numId w:val="59"/>
        </w:numPr>
        <w:spacing w:after="120"/>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Презентација на мерките од страна на преставници од Секторот за прет-пристапни фондови на ЕУ за рурален развој (ИПАРД)</w:t>
      </w:r>
    </w:p>
    <w:p w:rsidR="00E02888" w:rsidRPr="001261BD" w:rsidRDefault="00E02888" w:rsidP="00EA64DB">
      <w:pPr>
        <w:pStyle w:val="NoSpacing"/>
        <w:numPr>
          <w:ilvl w:val="0"/>
          <w:numId w:val="59"/>
        </w:numPr>
        <w:spacing w:after="120"/>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Презентација на неопходната документација потребна за аплицирање</w:t>
      </w:r>
    </w:p>
    <w:p w:rsidR="00E02888" w:rsidRPr="001261BD" w:rsidRDefault="00E02888" w:rsidP="00EA64DB">
      <w:pPr>
        <w:pStyle w:val="NoSpacing"/>
        <w:numPr>
          <w:ilvl w:val="0"/>
          <w:numId w:val="59"/>
        </w:numPr>
        <w:spacing w:after="120"/>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 xml:space="preserve">Презентација на прифатен ИПАРД проект со моменталниот корисник (ова се покажа како многу успешна за корисници при што беа разменети позитивните искуства и поттикнување на учесниците да аплицираат) </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3.</w:t>
      </w:r>
      <w:r w:rsidRPr="001261BD">
        <w:rPr>
          <w:rFonts w:ascii="StobiSerif Regular" w:eastAsia="Times New Roman" w:hAnsi="StobiSerif Regular" w:cs="Times New Roman"/>
          <w:bCs/>
          <w:lang w:eastAsia="mk-MK"/>
        </w:rPr>
        <w:tab/>
        <w:t>Учество на обуки, работилници и семинари</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Претставници од Секторот за прет-пристапни фондови на ЕУ за рурален развој (ИПАРД) учествувале на следниве обуки, работилници и семинари:</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22-25 Февруари 2016 TAIEX Студиска посета за спроведување на Инструментот за претпристапна помош за рурален развој (ИПАРД) Мерка 501 Техничка помош</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Мај 19, 2016 НИРАС (PL) во партнерство со  FAPA (PL) и ЕПИЦЕНТАР (MK), Проект: Воспоставување на нови ИПАРД мерки работилница за воспоставување на национална рурална мрежа Скопје, Македонија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7 Јуни, 2016 Размена на информации за спроведување на Инструментот за техничка помош на Европската комисија организира во соработка со Генералниот директорат за земјоделство и рурален развој на Европската комисија, во хотелот Панорама, Trg Krešimira Cosic 9,Загреб, Хрватска.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TAIEX работилница со повеке земји за користење на ПРАГ за мерката Техничка помош и рурална инфра структура;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 xml:space="preserve"> 07:06 - 06/09/2016 Имплементација на мерката Советодавни услуги (дијагностика на фарма и национални стандарди);</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27-28.06.2016 Нимс Проектот обука, работилница, за воведување на нови мерки кои ке се применуваат во ИПАРД II  EuropeAid / 135765 / DH / SER / MK. Хотел Сити парк, Скопје, Македонија.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Зајкнување на институционалните и организационите капацитети на Агенцијата, Телото за управување со ИПАРД за спроведување на мерките ЛИДЕР и Советодавни услуги  (НИМС Проект,Виена, Австрија);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20:06 - 23/06/2016 Интернационална  TAIEX  работилница за Евалуација за ИПАРД II Програмата Брисел, Белгија ;</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27.06 - 29.06.2016 Мерката Советодавни услуги (дијагностика на фарма и национални стандарди) НИМС Проект - Битола;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w:t>
      </w:r>
      <w:r w:rsidRPr="001261BD">
        <w:rPr>
          <w:rFonts w:ascii="StobiSerif Regular" w:eastAsia="Times New Roman" w:hAnsi="StobiSerif Regular" w:cs="Times New Roman"/>
          <w:bCs/>
          <w:lang w:eastAsia="mk-MK"/>
        </w:rPr>
        <w:tab/>
        <w:t>14.07-16.07.2016 Мерката Советодавни услуги (дијагностика на фарма и национални стандарди) НИМС Проект - Битола;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4.</w:t>
      </w:r>
      <w:r w:rsidRPr="001261BD">
        <w:rPr>
          <w:rFonts w:ascii="StobiSerif Regular" w:eastAsia="Times New Roman" w:hAnsi="StobiSerif Regular" w:cs="Times New Roman"/>
          <w:bCs/>
          <w:lang w:eastAsia="mk-MK"/>
        </w:rPr>
        <w:tab/>
        <w:t xml:space="preserve">Појавување на национални и локални радија и ТВ станици </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Во периодот од  01.01.2016 до 31.12 2016 беа снимени неколку стотици објави на тема ИПАРД во електронски и печатени медиуми од страна на одговорни лица од МЗШВ и ИПАРД Агенцијата апоголемиот дел од нив беа од страна на Министерот за земјоделство, шумарство и водостопанство, овие изјави се емитуваа на сите национални канали: (МТВ, Сител, Алфа и Канал 5, Телма, 24 Вести, Нова ТВ), локални телевизии (Орбис, Тера К3) електронски и печатени медиуми (Дневник, Утрински Весник, Вечер, капитол итн.) и интернет портали: Македонска информативна агенција - МИА, Курир, Телеграф, Агроалтернатива и други.  (Прилог 2 од извештајот)</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5.</w:t>
      </w:r>
      <w:r w:rsidRPr="001261BD">
        <w:rPr>
          <w:rFonts w:ascii="StobiSerif Regular" w:eastAsia="Times New Roman" w:hAnsi="StobiSerif Regular" w:cs="Times New Roman"/>
          <w:bCs/>
          <w:lang w:eastAsia="mk-MK"/>
        </w:rPr>
        <w:tab/>
        <w:t xml:space="preserve">Објавување на годишна листа на крајни ИПАРД  корисници </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Предвидените активности во рамките на Акцискиот план за комуникација и публицитет за објавување на листа на крајните корисници на ИПАРД програмата се спроведува од страна на ИПАРД Агенцијата, како одговорно тело за спроведување на оваа активност. Листата на корисници кои склучиле договор со ИПАРД Агенцијата за користење на средства од ИПАРД објавена на веб-сајтот www.ipardpa.gov.mk.</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6.</w:t>
      </w:r>
      <w:r w:rsidRPr="001261BD">
        <w:rPr>
          <w:rFonts w:ascii="StobiSerif Regular" w:eastAsia="Times New Roman" w:hAnsi="StobiSerif Regular" w:cs="Times New Roman"/>
          <w:bCs/>
          <w:lang w:eastAsia="mk-MK"/>
        </w:rPr>
        <w:tab/>
        <w:t>Публицитет од годишен извештај за спроведување на ИПАРД Програмата;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Годишен извештај за спроведување на ИПАРД Програмата 2007-2013 за 2015 година се поднесени до DG AGRI ке бидат објавени на веб-сајтот, откако официјално ке биде одобрен од страна на DG AGRI, додека извештајот за 2016 година е во подготовка и до крајот на јуни ке биде доставен до DG AGRI, во согласност со Секторската спогодба.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7.</w:t>
      </w:r>
      <w:r w:rsidRPr="001261BD">
        <w:rPr>
          <w:rFonts w:ascii="StobiSerif Regular" w:eastAsia="Times New Roman" w:hAnsi="StobiSerif Regular" w:cs="Times New Roman"/>
          <w:bCs/>
          <w:lang w:eastAsia="mk-MK"/>
        </w:rPr>
        <w:tab/>
        <w:t>Печатење и дистрибуција на апликации за средства од ИПАРД, Упатство за корисници, објавувањето на јавниот оглас и други документи потребни за потенцијалните корисници во однос на мерките на ИПАРД.</w:t>
      </w:r>
    </w:p>
    <w:p w:rsidR="00E02888" w:rsidRPr="001261BD" w:rsidRDefault="00E02888" w:rsidP="00FC2FA8">
      <w:pPr>
        <w:pStyle w:val="NoSpacing"/>
        <w:spacing w:after="120"/>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Во овој период немаше јавен повик за користење на средства од ИПАРД но имаше  подготовка и корекција на инструкции за корисниците и други документи за новиот програмски период ИПАРД 2014-2020 помеѓу Секторот за претпристапните фондови на ЕУ за рурален развој (ИПАРД ) и ИПАРД Агенцијата.</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8.</w:t>
      </w:r>
      <w:r w:rsidRPr="001261BD">
        <w:rPr>
          <w:rFonts w:ascii="StobiSerif Regular" w:eastAsia="Times New Roman" w:hAnsi="StobiSerif Regular" w:cs="Times New Roman"/>
          <w:bCs/>
          <w:lang w:eastAsia="mk-MK"/>
        </w:rPr>
        <w:tab/>
        <w:t xml:space="preserve">Објавување на летоци, брошури и други информативни материјали </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Согласно со Акцискиот план за комуникација и публицитет за 2016 година предвидени активности  за подготовка на летоци и брошури  за ИПАРД 2014-2020 е спроведена во Август во соработка со УСЕИД и Руралната мрежа на Република Македонија.Направени се  5000 брошури за мерката “Инвестиции на физички средствана земјоделски стопанства”. Брошурите се достапни за пошироката јавност и потенцијалните корисници преку подрачните единици на Министерството за земјоделство и на веб-сајтот ipard.gov.mk.</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9.</w:t>
      </w:r>
      <w:r w:rsidRPr="001261BD">
        <w:rPr>
          <w:rFonts w:ascii="StobiSerif Regular" w:eastAsia="Times New Roman" w:hAnsi="StobiSerif Regular" w:cs="Times New Roman"/>
          <w:bCs/>
          <w:lang w:eastAsia="mk-MK"/>
        </w:rPr>
        <w:tab/>
        <w:t>Промоција на добри практики за ИПАРД проекти</w:t>
      </w:r>
    </w:p>
    <w:p w:rsidR="00E02888" w:rsidRPr="001261BD" w:rsidRDefault="00E02888" w:rsidP="00E02888">
      <w:pPr>
        <w:pStyle w:val="NoSpacing"/>
        <w:spacing w:after="120"/>
        <w:ind w:firstLine="284"/>
        <w:jc w:val="both"/>
        <w:rPr>
          <w:rFonts w:ascii="StobiSerif Regular" w:eastAsia="Times New Roman" w:hAnsi="StobiSerif Regular" w:cs="Times New Roman"/>
          <w:bCs/>
          <w:lang w:eastAsia="mk-MK"/>
        </w:rPr>
      </w:pPr>
      <w:r w:rsidRPr="001261BD">
        <w:rPr>
          <w:rFonts w:ascii="StobiSerif Regular" w:eastAsia="Times New Roman" w:hAnsi="StobiSerif Regular" w:cs="Times New Roman"/>
          <w:bCs/>
          <w:lang w:eastAsia="mk-MK"/>
        </w:rPr>
        <w:t>Сите информативни настани кои ние ги организиравме заедно со Регионалните центри и Стопанската комора на Македонија  присуствуваа успешни ИПАРД проекти, потенцијални апликанти информирани за тоа како да се постигне успешен ИПАРД проект и како да се надминат потешкотиите.</w:t>
      </w:r>
    </w:p>
    <w:p w:rsidR="00E02888" w:rsidRPr="001261BD" w:rsidRDefault="008C650D" w:rsidP="00E02888">
      <w:pPr>
        <w:pStyle w:val="NoSpacing"/>
        <w:spacing w:after="120"/>
        <w:ind w:firstLine="284"/>
        <w:jc w:val="both"/>
        <w:rPr>
          <w:rFonts w:ascii="StobiSerif Regular" w:eastAsia="Times New Roman" w:hAnsi="StobiSerif Regular" w:cs="Times New Roman"/>
          <w:bCs/>
          <w:lang w:eastAsia="mk-MK"/>
        </w:rPr>
      </w:pPr>
      <w:r>
        <w:rPr>
          <w:rFonts w:ascii="StobiSerif Regular" w:eastAsia="Times New Roman" w:hAnsi="StobiSerif Regular" w:cs="Times New Roman"/>
          <w:bCs/>
          <w:lang w:eastAsia="mk-MK"/>
        </w:rPr>
        <w:t>10</w:t>
      </w:r>
      <w:r w:rsidR="00E02888" w:rsidRPr="001261BD">
        <w:rPr>
          <w:rFonts w:ascii="StobiSerif Regular" w:eastAsia="Times New Roman" w:hAnsi="StobiSerif Regular" w:cs="Times New Roman"/>
          <w:bCs/>
          <w:lang w:eastAsia="mk-MK"/>
        </w:rPr>
        <w:t>.</w:t>
      </w:r>
      <w:r w:rsidR="00E02888" w:rsidRPr="001261BD">
        <w:rPr>
          <w:rFonts w:ascii="StobiSerif Regular" w:eastAsia="Times New Roman" w:hAnsi="StobiSerif Regular" w:cs="Times New Roman"/>
          <w:bCs/>
          <w:lang w:eastAsia="mk-MK"/>
        </w:rPr>
        <w:tab/>
        <w:t xml:space="preserve">Тековни Активности  </w:t>
      </w:r>
    </w:p>
    <w:p w:rsidR="00634E3A" w:rsidRPr="008C650D" w:rsidRDefault="00E02888" w:rsidP="008C650D">
      <w:pPr>
        <w:pStyle w:val="NoSpacing"/>
        <w:spacing w:after="120"/>
        <w:ind w:firstLine="284"/>
        <w:jc w:val="both"/>
        <w:rPr>
          <w:rFonts w:ascii="StobiSerif Regular" w:eastAsia="Times New Roman" w:hAnsi="StobiSerif Regular" w:cs="Times New Roman"/>
          <w:b/>
          <w:bCs/>
          <w:lang w:eastAsia="mk-MK"/>
        </w:rPr>
      </w:pPr>
      <w:r w:rsidRPr="001261BD">
        <w:rPr>
          <w:rFonts w:ascii="StobiSerif Regular" w:eastAsia="Times New Roman" w:hAnsi="StobiSerif Regular" w:cs="Times New Roman"/>
          <w:bCs/>
          <w:lang w:eastAsia="mk-MK"/>
        </w:rPr>
        <w:t xml:space="preserve">Секторот ИПАРД  моментално подготвува тендер документација  за отпочнување на постапка со преговарање за набавка на услуги за кампањи за информирање и </w:t>
      </w:r>
      <w:r w:rsidRPr="008C650D">
        <w:rPr>
          <w:rFonts w:ascii="StobiSerif Regular" w:eastAsia="Times New Roman" w:hAnsi="StobiSerif Regular" w:cs="Times New Roman"/>
          <w:bCs/>
          <w:lang w:eastAsia="mk-MK"/>
        </w:rPr>
        <w:t>публицитет</w:t>
      </w:r>
      <w:r w:rsidR="008C650D" w:rsidRPr="008C650D">
        <w:rPr>
          <w:rFonts w:ascii="StobiSerif Regular" w:eastAsia="Times New Roman" w:hAnsi="StobiSerif Regular" w:cs="Times New Roman"/>
          <w:b/>
          <w:bCs/>
          <w:lang w:eastAsia="mk-MK"/>
        </w:rPr>
        <w:t>.</w:t>
      </w:r>
    </w:p>
    <w:p w:rsidR="00E02935" w:rsidRPr="009F2C3A" w:rsidRDefault="00E02935" w:rsidP="009F2C3A">
      <w:pPr>
        <w:pStyle w:val="NoSpacing"/>
        <w:spacing w:after="120"/>
        <w:jc w:val="both"/>
        <w:outlineLvl w:val="1"/>
        <w:rPr>
          <w:rFonts w:ascii="StobiSerif Regular" w:eastAsia="Times New Roman" w:hAnsi="StobiSerif Regular" w:cs="Times New Roman"/>
          <w:b/>
          <w:bCs/>
          <w:lang w:eastAsia="mk-MK"/>
        </w:rPr>
      </w:pPr>
      <w:bookmarkStart w:id="96" w:name="_Toc453751255"/>
      <w:bookmarkStart w:id="97" w:name="_Toc455052769"/>
      <w:bookmarkStart w:id="98" w:name="_Toc485394829"/>
      <w:r w:rsidRPr="009F2C3A">
        <w:rPr>
          <w:rFonts w:ascii="StobiSerif Regular" w:eastAsia="Times New Roman" w:hAnsi="StobiSerif Regular" w:cs="Times New Roman"/>
          <w:b/>
          <w:bCs/>
          <w:lang w:eastAsia="mk-MK"/>
        </w:rPr>
        <w:t xml:space="preserve">4. </w:t>
      </w:r>
      <w:bookmarkEnd w:id="96"/>
      <w:bookmarkEnd w:id="97"/>
      <w:r w:rsidR="008C650D" w:rsidRPr="009F2C3A">
        <w:rPr>
          <w:rFonts w:ascii="StobiSerif Regular" w:eastAsia="Times New Roman" w:hAnsi="StobiSerif Regular" w:cs="Times New Roman"/>
          <w:b/>
          <w:bCs/>
          <w:lang w:eastAsia="mk-MK"/>
        </w:rPr>
        <w:t>Заклучоци</w:t>
      </w:r>
      <w:bookmarkEnd w:id="98"/>
    </w:p>
    <w:p w:rsidR="00820775" w:rsidRPr="00820775" w:rsidRDefault="00820775" w:rsidP="00820775">
      <w:pPr>
        <w:autoSpaceDE w:val="0"/>
        <w:autoSpaceDN w:val="0"/>
        <w:adjustRightInd w:val="0"/>
        <w:spacing w:after="120"/>
        <w:jc w:val="both"/>
        <w:rPr>
          <w:rFonts w:ascii="StobiSerif Regular" w:eastAsia="Calibri" w:hAnsi="StobiSerif Regular" w:cs="Times New Roman"/>
          <w:lang w:val="en-US"/>
        </w:rPr>
      </w:pPr>
      <w:r w:rsidRPr="00820775">
        <w:rPr>
          <w:rFonts w:ascii="StobiSerif Regular" w:eastAsia="Calibri" w:hAnsi="StobiSerif Regular" w:cs="Times New Roman"/>
          <w:lang w:val="en-US"/>
        </w:rPr>
        <w:t xml:space="preserve">2016 беше годината на завршување на процесот на потпишување на сите договори од барањата кои биле примени </w:t>
      </w:r>
      <w:r w:rsidR="00FC2FA8">
        <w:rPr>
          <w:rFonts w:ascii="StobiSerif Regular" w:eastAsia="Calibri" w:hAnsi="StobiSerif Regular" w:cs="Times New Roman"/>
        </w:rPr>
        <w:t xml:space="preserve">на </w:t>
      </w:r>
      <w:r w:rsidRPr="00820775">
        <w:rPr>
          <w:rFonts w:ascii="StobiSerif Regular" w:eastAsia="Calibri" w:hAnsi="StobiSerif Regular" w:cs="Times New Roman"/>
          <w:lang w:val="en-US"/>
        </w:rPr>
        <w:t>јавни</w:t>
      </w:r>
      <w:r w:rsidR="00FC2FA8">
        <w:rPr>
          <w:rFonts w:ascii="StobiSerif Regular" w:eastAsia="Calibri" w:hAnsi="StobiSerif Regular" w:cs="Times New Roman"/>
        </w:rPr>
        <w:t>та</w:t>
      </w:r>
      <w:r w:rsidRPr="00820775">
        <w:rPr>
          <w:rFonts w:ascii="StobiSerif Regular" w:eastAsia="Calibri" w:hAnsi="StobiSerif Regular" w:cs="Times New Roman"/>
          <w:lang w:val="en-US"/>
        </w:rPr>
        <w:t xml:space="preserve"> повици за ИПАРД кофинансирање во рамките на  ИПАРД 2007-2013.  Исто така во 2016 година структурата на ИПАРД и НАО ги заврши сите процеси, процедури, документи и законски акти потребни за официјално барање за доделување буџет за имплементација на мерките во рамките на ИПАРД 2014-2020 (ИПАРД II), кој беше испратен во мај 2016 година до Европска Комисија.</w:t>
      </w:r>
    </w:p>
    <w:p w:rsidR="00820775" w:rsidRPr="00820775" w:rsidRDefault="00820775" w:rsidP="00820775">
      <w:pPr>
        <w:autoSpaceDE w:val="0"/>
        <w:autoSpaceDN w:val="0"/>
        <w:adjustRightInd w:val="0"/>
        <w:spacing w:after="120"/>
        <w:jc w:val="both"/>
        <w:rPr>
          <w:rFonts w:ascii="StobiSerif Regular" w:eastAsia="Calibri" w:hAnsi="StobiSerif Regular" w:cs="Times New Roman"/>
          <w:lang w:val="en-US"/>
        </w:rPr>
      </w:pPr>
      <w:r w:rsidRPr="00820775">
        <w:rPr>
          <w:rFonts w:ascii="StobiSerif Regular" w:eastAsia="Calibri" w:hAnsi="StobiSerif Regular" w:cs="Times New Roman"/>
          <w:lang w:val="en-US"/>
        </w:rPr>
        <w:t>Како што се очекуваше, 2016 година е најуспешна година во однос на бројот на склучени договори (560) и договорената сума да биде кофинансирана (8.559.820 евра средства од ЕУ). Исто така, финансиското спроведување е подобрено, така што вкупниот одобрен износ за плаќање во 2016 година е 4.117.440 евра. Во 2016 година беше исплатен највисокиот износ на ИПА  помош од почетокот на спроведувањето на програмата и македонските земјоделци и компании добија 3,15 милиони евра, ЕУ фондови.</w:t>
      </w:r>
    </w:p>
    <w:p w:rsidR="00820775" w:rsidRPr="00820775" w:rsidRDefault="00820775" w:rsidP="00820775">
      <w:pPr>
        <w:autoSpaceDE w:val="0"/>
        <w:autoSpaceDN w:val="0"/>
        <w:adjustRightInd w:val="0"/>
        <w:spacing w:after="120"/>
        <w:jc w:val="both"/>
        <w:rPr>
          <w:rFonts w:ascii="StobiSerif Regular" w:eastAsia="Calibri" w:hAnsi="StobiSerif Regular" w:cs="Times New Roman"/>
          <w:lang w:val="en-US"/>
        </w:rPr>
      </w:pPr>
      <w:r w:rsidRPr="00820775">
        <w:rPr>
          <w:rFonts w:ascii="StobiSerif Regular" w:eastAsia="Calibri" w:hAnsi="StobiSerif Regular" w:cs="Times New Roman"/>
          <w:lang w:val="en-US"/>
        </w:rPr>
        <w:t>Во однос на јавните повици, почнувајќи од јавен повик 01/2014 стапката на одобрување (поднесени апликации / потпишани договори) е над 50%; за јавен повик 01/2015 стапката на одобрување изнесува 50%, но ако стапката на одобрување е мерило на квалитетот на барањата и доколку ги земеме во предвид одбиените трактори поради рангирање, тогаш стапката на одобрување би изнесувала 71%. За последниот јавен повик (02/2015) во рамките на ИПАРД стапката на одобрување изнесува 33,9%, но, исто така, со овој процент не се покажува квалитетот на апликациите земајќи ги во предвид апликациите за трактори кои беа одбиени поради немање средства т.е исполнување на достапниот буџет за трактори кој изнесува 20% од расположливите средства за M101. Стапката на одобрување за Мерка 103 останува на ниско ниво, 27% во јавен повик 01/2015 и 40% во јавниот повик 02/2015. Во Mерка 302 состојбата е уште повеќе загрижувачка бидејќи стапката на одобрување изнесва 5,7% за јавен повик 01/2015 и 22,8% од сите апликации примени во јавен повик 02/2015 резултираа со одобрени апликации и потпишани договори. Достапните податоци за причините за одбивање на двете мерки M103 и M302 покажуват алармантен број на празни апликации (во некои случаи и повеќе од половина од поднесените апликации) и повлекување на апликации од самите кандидати. Правилото за трите понуди, дозволите за градење и други документи потребни за аплицирање не се меѓу првите на листата за причините за одбивање на последниот повик. Ова нѐ доведува до заклучок дека и покрај преземените мерки за публицитет, нивото на знаење на ИПАРД како инструмент за кофинансирање е ниско во однос на M103 и M302, и исто така го доведува под знак прашалник квалитетот на приватни консултантски услуги достапни во земјата  Со цел да се утврдат  вистинските причини во однос на високата стапка на одбивање во овие две мерки кои се наменети првенствено за бизнис секторот, потребно е да се се направи последователна проценка ( евалуација) на ИПАРД 2007-2013.</w:t>
      </w:r>
    </w:p>
    <w:p w:rsidR="00820775" w:rsidRPr="00820775" w:rsidRDefault="00820775" w:rsidP="00820775">
      <w:pPr>
        <w:autoSpaceDE w:val="0"/>
        <w:autoSpaceDN w:val="0"/>
        <w:adjustRightInd w:val="0"/>
        <w:spacing w:after="120"/>
        <w:jc w:val="both"/>
        <w:rPr>
          <w:rFonts w:ascii="StobiSerif Regular" w:eastAsia="Calibri" w:hAnsi="StobiSerif Regular" w:cs="Times New Roman"/>
          <w:lang w:val="en-US"/>
        </w:rPr>
      </w:pPr>
      <w:r w:rsidRPr="00820775">
        <w:rPr>
          <w:rFonts w:ascii="StobiSerif Regular" w:eastAsia="Calibri" w:hAnsi="StobiSerif Regular" w:cs="Times New Roman"/>
          <w:lang w:val="en-US"/>
        </w:rPr>
        <w:t>Во тек на 2016 и 2017 година, Телото за управување заедно со ИПАРД Агенцијата, а во соработка со различни актери и чинители (АПРЗ, Стопанската комора, регионални центри и општини) организираа голем број на информативни настани со т.н Лидер фармери,  односно успешни ИПАРД корисници кои го презентираа нивното искуство со ИПАРД фондовите  на заинтересираните потенцијални корисници во рамките на ИПАРД 2014-2020 година,  фокусирајќи се на M103 и M302. Резултатите од  оваа кампања ќе може да се видат откако ќе биде реализиран првиот јавен повик за ИПАРД Програмата 2014-2020.</w:t>
      </w:r>
    </w:p>
    <w:p w:rsidR="00820775" w:rsidRPr="00820775" w:rsidRDefault="00820775" w:rsidP="00820775">
      <w:pPr>
        <w:autoSpaceDE w:val="0"/>
        <w:autoSpaceDN w:val="0"/>
        <w:adjustRightInd w:val="0"/>
        <w:spacing w:after="120"/>
        <w:jc w:val="both"/>
        <w:rPr>
          <w:rFonts w:ascii="StobiSerif Regular" w:eastAsia="Calibri" w:hAnsi="StobiSerif Regular" w:cs="Times New Roman"/>
          <w:lang w:val="en-US"/>
        </w:rPr>
      </w:pPr>
      <w:r w:rsidRPr="00820775">
        <w:rPr>
          <w:rFonts w:ascii="StobiSerif Regular" w:eastAsia="Calibri" w:hAnsi="StobiSerif Regular" w:cs="Times New Roman"/>
          <w:lang w:val="en-US"/>
        </w:rPr>
        <w:t>Преземените мерки за зголемување на искористување на ИПАРД средствата,  како Гарантниот фонд и субвенционирање на каматните стапки за ИПАРД кредитите, веќе ги покажуваат првите резултати, но вистинските ефекти / придобивки се очекуваат при спроведувањето на ИПАРД 2014-2020 година.</w:t>
      </w:r>
    </w:p>
    <w:p w:rsidR="00820775" w:rsidRPr="00820775" w:rsidRDefault="00820775" w:rsidP="00820775">
      <w:pPr>
        <w:autoSpaceDE w:val="0"/>
        <w:autoSpaceDN w:val="0"/>
        <w:adjustRightInd w:val="0"/>
        <w:spacing w:after="120"/>
        <w:jc w:val="both"/>
        <w:rPr>
          <w:rFonts w:ascii="StobiSerif Regular" w:eastAsia="Calibri" w:hAnsi="StobiSerif Regular" w:cs="Times New Roman"/>
          <w:lang w:val="en-US"/>
        </w:rPr>
      </w:pPr>
      <w:r w:rsidRPr="00820775">
        <w:rPr>
          <w:rFonts w:ascii="StobiSerif Regular" w:eastAsia="Calibri" w:hAnsi="StobiSerif Regular" w:cs="Times New Roman"/>
          <w:lang w:val="en-US"/>
        </w:rPr>
        <w:t>На институционално ниво, капацитетите на човечките ресурси во ИПАРД Агенцијата и временската рамка за обработка на апликации и барањето за исплата сѐ</w:t>
      </w:r>
      <w:r w:rsidR="00BD24E8">
        <w:rPr>
          <w:rFonts w:ascii="StobiSerif Regular" w:eastAsia="Calibri" w:hAnsi="StobiSerif Regular" w:cs="Times New Roman"/>
          <w:lang w:val="en-US"/>
        </w:rPr>
        <w:t xml:space="preserve"> уште остануваат како критични</w:t>
      </w:r>
      <w:r w:rsidRPr="00820775">
        <w:rPr>
          <w:rFonts w:ascii="StobiSerif Regular" w:eastAsia="Calibri" w:hAnsi="StobiSerif Regular" w:cs="Times New Roman"/>
          <w:lang w:val="en-US"/>
        </w:rPr>
        <w:t xml:space="preserve"> точки. Капацитетите  на човечките ресурси се исто така критични во Телото за управување со ИПАРД, особено за спроведување на Мерката за техничка помош. Доколку се очекува поголем успех со ИПАРД 2014-2020, потребно е да се реши прашањато во однос на бројот на вработени и политиката на задржување на истите.</w:t>
      </w:r>
    </w:p>
    <w:p w:rsidR="00E02935" w:rsidRPr="00E02935" w:rsidRDefault="00820775" w:rsidP="00820775">
      <w:pPr>
        <w:autoSpaceDE w:val="0"/>
        <w:autoSpaceDN w:val="0"/>
        <w:adjustRightInd w:val="0"/>
        <w:spacing w:after="120"/>
        <w:jc w:val="both"/>
        <w:rPr>
          <w:rFonts w:ascii="StobiSerif Regular" w:eastAsia="Calibri" w:hAnsi="StobiSerif Regular" w:cs="Times New Roman"/>
          <w:lang w:val="en-US"/>
        </w:rPr>
      </w:pPr>
      <w:r w:rsidRPr="00820775">
        <w:rPr>
          <w:rFonts w:ascii="StobiSerif Regular" w:eastAsia="Calibri" w:hAnsi="StobiSerif Regular" w:cs="Times New Roman"/>
          <w:lang w:val="en-US"/>
        </w:rPr>
        <w:t>Искуството со спроведувањето на ИПАРД Програмата 2007-2013, покажува дека повеќе мерки кои  се достапни во рамките на ИПАРД 2014-2020, како мерката за инвестиции во руралната инфраструктура, LEADER и советодавните услуги  треба да се спроведат. На овој начин, расположливите средства во рамките на ИПА II за рурален развој ( ИПАРД 2014-2020), ќе бидат достапни на други видови на корисници како што се општините, советодавни услуги и јавното приватно партнерство</w:t>
      </w:r>
      <w:r w:rsidR="00E02935" w:rsidRPr="00E02935">
        <w:rPr>
          <w:rFonts w:ascii="StobiSerif Regular" w:eastAsia="Calibri" w:hAnsi="StobiSerif Regular" w:cs="Times New Roman"/>
          <w:lang w:val="en-US"/>
        </w:rPr>
        <w:t xml:space="preserve">. </w:t>
      </w:r>
    </w:p>
    <w:p w:rsidR="00E02935" w:rsidRDefault="00E02935" w:rsidP="00634E3A">
      <w:pPr>
        <w:pStyle w:val="NoSpacing"/>
        <w:spacing w:after="120"/>
        <w:jc w:val="both"/>
        <w:rPr>
          <w:rFonts w:ascii="StobiSerif Regular" w:hAnsi="StobiSerif Regular"/>
          <w:lang w:val="en-US" w:eastAsia="mk-MK"/>
        </w:rPr>
      </w:pPr>
    </w:p>
    <w:p w:rsidR="000D6D34" w:rsidRDefault="000D6D34" w:rsidP="00634E3A">
      <w:pPr>
        <w:pStyle w:val="NoSpacing"/>
        <w:spacing w:after="120"/>
        <w:jc w:val="both"/>
        <w:rPr>
          <w:rFonts w:ascii="StobiSerif Regular" w:hAnsi="StobiSerif Regular"/>
          <w:lang w:val="en-US" w:eastAsia="mk-MK"/>
        </w:rPr>
      </w:pPr>
    </w:p>
    <w:p w:rsidR="000D6D34" w:rsidRDefault="000D6D34" w:rsidP="00634E3A">
      <w:pPr>
        <w:pStyle w:val="NoSpacing"/>
        <w:spacing w:after="120"/>
        <w:jc w:val="both"/>
        <w:rPr>
          <w:rFonts w:ascii="StobiSerif Regular" w:hAnsi="StobiSerif Regular"/>
          <w:lang w:eastAsia="mk-MK"/>
        </w:rPr>
      </w:pPr>
    </w:p>
    <w:p w:rsidR="009F2C3A" w:rsidRDefault="009F2C3A" w:rsidP="00634E3A">
      <w:pPr>
        <w:pStyle w:val="NoSpacing"/>
        <w:spacing w:after="120"/>
        <w:jc w:val="both"/>
        <w:rPr>
          <w:rFonts w:ascii="StobiSerif Regular" w:hAnsi="StobiSerif Regular"/>
          <w:lang w:eastAsia="mk-MK"/>
        </w:rPr>
      </w:pPr>
    </w:p>
    <w:p w:rsidR="009F2C3A" w:rsidRDefault="009F2C3A" w:rsidP="00634E3A">
      <w:pPr>
        <w:pStyle w:val="NoSpacing"/>
        <w:spacing w:after="120"/>
        <w:jc w:val="both"/>
        <w:rPr>
          <w:rFonts w:ascii="StobiSerif Regular" w:hAnsi="StobiSerif Regular"/>
          <w:lang w:eastAsia="mk-MK"/>
        </w:rPr>
      </w:pPr>
    </w:p>
    <w:p w:rsidR="009F2C3A" w:rsidRDefault="009F2C3A" w:rsidP="00634E3A">
      <w:pPr>
        <w:pStyle w:val="NoSpacing"/>
        <w:spacing w:after="120"/>
        <w:jc w:val="both"/>
        <w:rPr>
          <w:rFonts w:ascii="StobiSerif Regular" w:hAnsi="StobiSerif Regular"/>
          <w:lang w:eastAsia="mk-MK"/>
        </w:rPr>
      </w:pPr>
    </w:p>
    <w:p w:rsidR="009F2C3A" w:rsidRDefault="009F2C3A" w:rsidP="00634E3A">
      <w:pPr>
        <w:pStyle w:val="NoSpacing"/>
        <w:spacing w:after="120"/>
        <w:jc w:val="both"/>
        <w:rPr>
          <w:rFonts w:ascii="StobiSerif Regular" w:hAnsi="StobiSerif Regular"/>
          <w:lang w:eastAsia="mk-MK"/>
        </w:rPr>
      </w:pPr>
    </w:p>
    <w:p w:rsidR="009F2C3A" w:rsidRDefault="009F2C3A" w:rsidP="00634E3A">
      <w:pPr>
        <w:pStyle w:val="NoSpacing"/>
        <w:spacing w:after="120"/>
        <w:jc w:val="both"/>
        <w:rPr>
          <w:rFonts w:ascii="StobiSerif Regular" w:hAnsi="StobiSerif Regular"/>
          <w:lang w:eastAsia="mk-MK"/>
        </w:rPr>
      </w:pPr>
    </w:p>
    <w:p w:rsidR="009F2C3A" w:rsidRDefault="009F2C3A" w:rsidP="00634E3A">
      <w:pPr>
        <w:pStyle w:val="NoSpacing"/>
        <w:spacing w:after="120"/>
        <w:jc w:val="both"/>
        <w:rPr>
          <w:rFonts w:ascii="StobiSerif Regular" w:hAnsi="StobiSerif Regular"/>
          <w:lang w:eastAsia="mk-MK"/>
        </w:rPr>
      </w:pPr>
    </w:p>
    <w:p w:rsidR="009F2C3A" w:rsidRPr="009F2C3A" w:rsidRDefault="009F2C3A" w:rsidP="00634E3A">
      <w:pPr>
        <w:pStyle w:val="NoSpacing"/>
        <w:spacing w:after="120"/>
        <w:jc w:val="both"/>
        <w:rPr>
          <w:rFonts w:ascii="StobiSerif Regular" w:hAnsi="StobiSerif Regular"/>
          <w:lang w:eastAsia="mk-MK"/>
        </w:rPr>
      </w:pPr>
    </w:p>
    <w:p w:rsidR="000D6D34" w:rsidRDefault="000D6D34" w:rsidP="00634E3A">
      <w:pPr>
        <w:pStyle w:val="NoSpacing"/>
        <w:spacing w:after="120"/>
        <w:jc w:val="both"/>
        <w:rPr>
          <w:rFonts w:ascii="StobiSerif Regular" w:hAnsi="StobiSerif Regular"/>
          <w:lang w:val="en-US" w:eastAsia="mk-MK"/>
        </w:rPr>
      </w:pPr>
    </w:p>
    <w:p w:rsidR="00BD24E8" w:rsidRDefault="00181541" w:rsidP="00181541">
      <w:pPr>
        <w:pStyle w:val="NoSpacing"/>
        <w:spacing w:after="120"/>
        <w:jc w:val="both"/>
        <w:outlineLvl w:val="1"/>
        <w:rPr>
          <w:rFonts w:ascii="StobiSerif Regular" w:hAnsi="StobiSerif Regular"/>
          <w:lang w:eastAsia="mk-MK"/>
        </w:rPr>
      </w:pPr>
      <w:bookmarkStart w:id="99" w:name="_Toc485394830"/>
      <w:r>
        <w:rPr>
          <w:rFonts w:ascii="StobiSerif Regular" w:eastAsiaTheme="majorEastAsia" w:hAnsi="StobiSerif Regular" w:cstheme="majorBidi"/>
          <w:bCs/>
        </w:rPr>
        <w:t>Прилог</w:t>
      </w:r>
      <w:r w:rsidRPr="00AD43F5">
        <w:rPr>
          <w:rFonts w:ascii="StobiSerif Regular" w:eastAsiaTheme="majorEastAsia" w:hAnsi="StobiSerif Regular" w:cstheme="majorBidi"/>
          <w:bCs/>
        </w:rPr>
        <w:t xml:space="preserve"> </w:t>
      </w:r>
      <w:r>
        <w:rPr>
          <w:rFonts w:ascii="StobiSerif Regular" w:eastAsiaTheme="majorEastAsia" w:hAnsi="StobiSerif Regular" w:cstheme="majorBidi"/>
          <w:bCs/>
        </w:rPr>
        <w:t>1</w:t>
      </w:r>
      <w:r w:rsidRPr="00AD43F5">
        <w:rPr>
          <w:rFonts w:ascii="StobiSerif Regular" w:eastAsiaTheme="majorEastAsia" w:hAnsi="StobiSerif Regular" w:cstheme="majorBidi"/>
          <w:bCs/>
          <w:lang w:val="en-US"/>
        </w:rPr>
        <w:t xml:space="preserve">: </w:t>
      </w:r>
      <w:r w:rsidR="00AD43F5" w:rsidRPr="00AD43F5">
        <w:rPr>
          <w:rFonts w:ascii="StobiSerif Regular" w:hAnsi="StobiSerif Regular"/>
          <w:lang w:eastAsia="mk-MK"/>
        </w:rPr>
        <w:t>Индикатори табели за Мониторинг и евалуација на ИПАРД 2007-2013 Програмата</w:t>
      </w:r>
      <w:bookmarkEnd w:id="99"/>
    </w:p>
    <w:p w:rsidR="00BD24E8" w:rsidRDefault="00BD24E8" w:rsidP="00634E3A">
      <w:pPr>
        <w:pStyle w:val="NoSpacing"/>
        <w:spacing w:after="120"/>
        <w:jc w:val="both"/>
        <w:rPr>
          <w:rFonts w:ascii="StobiSerif Regular" w:hAnsi="StobiSerif Regular"/>
          <w:lang w:eastAsia="mk-MK"/>
        </w:rPr>
      </w:pPr>
    </w:p>
    <w:p w:rsidR="00BD24E8" w:rsidRPr="00BD24E8" w:rsidRDefault="00BD24E8" w:rsidP="00634E3A">
      <w:pPr>
        <w:pStyle w:val="NoSpacing"/>
        <w:spacing w:after="120"/>
        <w:jc w:val="both"/>
        <w:rPr>
          <w:rFonts w:ascii="StobiSerif Regular" w:hAnsi="StobiSerif Regular"/>
          <w:lang w:eastAsia="mk-MK"/>
        </w:rPr>
      </w:pPr>
    </w:p>
    <w:p w:rsidR="00633CB9" w:rsidRPr="00633CB9" w:rsidRDefault="00633CB9" w:rsidP="00633CB9">
      <w:pPr>
        <w:pStyle w:val="NoSpacing"/>
        <w:spacing w:after="120"/>
        <w:jc w:val="both"/>
        <w:rPr>
          <w:rFonts w:ascii="StobiSerif Regular" w:hAnsi="StobiSerif Regular"/>
          <w:lang w:val="en-US" w:eastAsia="mk-MK"/>
        </w:rPr>
      </w:pP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p>
    <w:p w:rsidR="00633CB9" w:rsidRPr="00633CB9" w:rsidRDefault="00633CB9" w:rsidP="00633CB9">
      <w:pPr>
        <w:pStyle w:val="NoSpacing"/>
        <w:spacing w:after="120"/>
        <w:jc w:val="both"/>
        <w:rPr>
          <w:rFonts w:ascii="StobiSerif Regular" w:hAnsi="StobiSerif Regular"/>
          <w:lang w:val="en-US" w:eastAsia="mk-MK"/>
        </w:rPr>
      </w:pP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p>
    <w:p w:rsidR="00633CB9" w:rsidRPr="00633CB9" w:rsidRDefault="00633CB9" w:rsidP="00633CB9">
      <w:pPr>
        <w:pStyle w:val="NoSpacing"/>
        <w:spacing w:after="120"/>
        <w:jc w:val="both"/>
        <w:rPr>
          <w:rFonts w:ascii="StobiSerif Regular" w:hAnsi="StobiSerif Regular"/>
          <w:lang w:val="en-US" w:eastAsia="mk-MK"/>
        </w:rPr>
      </w:pP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p>
    <w:p w:rsidR="00633CB9" w:rsidRP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Pr="00633CB9">
        <w:rPr>
          <w:rFonts w:ascii="StobiSerif Regular" w:hAnsi="StobiSerif Regular"/>
          <w:lang w:val="en-US" w:eastAsia="mk-MK"/>
        </w:rPr>
        <w:tab/>
      </w:r>
      <w:r w:rsidR="00AD43F5">
        <w:rPr>
          <w:rFonts w:ascii="StobiSerif Regular" w:hAnsi="StobiSerif Regular"/>
          <w:lang w:eastAsia="mk-MK"/>
        </w:rPr>
        <w:t>Статус</w:t>
      </w:r>
      <w:r w:rsidRPr="00633CB9">
        <w:rPr>
          <w:rFonts w:ascii="StobiSerif Regular" w:hAnsi="StobiSerif Regular"/>
          <w:lang w:val="en-US" w:eastAsia="mk-MK"/>
        </w:rPr>
        <w:t>: 31.12.201</w:t>
      </w:r>
      <w:r>
        <w:rPr>
          <w:rFonts w:ascii="StobiSerif Regular" w:hAnsi="StobiSerif Regular"/>
          <w:lang w:val="en-US" w:eastAsia="mk-MK"/>
        </w:rPr>
        <w:t>6</w:t>
      </w:r>
      <w:r w:rsidRPr="00633CB9">
        <w:rPr>
          <w:rFonts w:ascii="StobiSerif Regular" w:hAnsi="StobiSerif Regular"/>
          <w:lang w:val="en-US" w:eastAsia="mk-MK"/>
        </w:rPr>
        <w:tab/>
      </w: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pPr>
    </w:p>
    <w:p w:rsidR="00633CB9" w:rsidRDefault="00633CB9" w:rsidP="00633CB9">
      <w:pPr>
        <w:pStyle w:val="NoSpacing"/>
        <w:spacing w:after="120"/>
        <w:jc w:val="both"/>
        <w:rPr>
          <w:rFonts w:ascii="StobiSerif Regular" w:hAnsi="StobiSerif Regular"/>
          <w:lang w:val="en-US" w:eastAsia="mk-MK"/>
        </w:rPr>
        <w:sectPr w:rsidR="00633CB9" w:rsidSect="00DB4FFF">
          <w:headerReference w:type="default" r:id="rId17"/>
          <w:footerReference w:type="default" r:id="rId18"/>
          <w:headerReference w:type="first" r:id="rId19"/>
          <w:pgSz w:w="11906" w:h="16838"/>
          <w:pgMar w:top="709" w:right="1274" w:bottom="1134" w:left="1134" w:header="708" w:footer="708" w:gutter="0"/>
          <w:cols w:space="708"/>
          <w:titlePg/>
          <w:docGrid w:linePitch="360"/>
        </w:sectPr>
      </w:pPr>
    </w:p>
    <w:p w:rsidR="00AD43F5" w:rsidRPr="00AD43F5" w:rsidRDefault="00F04549" w:rsidP="00AD43F5">
      <w:pPr>
        <w:keepNext/>
        <w:keepLines/>
        <w:spacing w:before="480" w:after="0"/>
        <w:outlineLvl w:val="1"/>
        <w:rPr>
          <w:rFonts w:ascii="StobiSerif Regular" w:eastAsiaTheme="majorEastAsia" w:hAnsi="StobiSerif Regular" w:cstheme="majorBidi"/>
          <w:bCs/>
          <w:lang w:val="en-US"/>
        </w:rPr>
      </w:pPr>
      <w:bookmarkStart w:id="100" w:name="_Toc455052773"/>
      <w:bookmarkStart w:id="101" w:name="_Toc483909496"/>
      <w:bookmarkStart w:id="102" w:name="_Toc485394831"/>
      <w:r>
        <w:rPr>
          <w:rFonts w:ascii="StobiSerif Regular" w:eastAsiaTheme="majorEastAsia" w:hAnsi="StobiSerif Regular" w:cstheme="majorBidi"/>
          <w:bCs/>
        </w:rPr>
        <w:t>Прилог</w:t>
      </w:r>
      <w:r w:rsidR="00AD43F5" w:rsidRPr="00AD43F5">
        <w:rPr>
          <w:rFonts w:ascii="StobiSerif Regular" w:eastAsiaTheme="majorEastAsia" w:hAnsi="StobiSerif Regular" w:cstheme="majorBidi"/>
          <w:bCs/>
        </w:rPr>
        <w:t xml:space="preserve"> </w:t>
      </w:r>
      <w:r w:rsidR="00AD43F5" w:rsidRPr="00AD43F5">
        <w:rPr>
          <w:rFonts w:ascii="StobiSerif Regular" w:eastAsiaTheme="majorEastAsia" w:hAnsi="StobiSerif Regular" w:cstheme="majorBidi"/>
          <w:bCs/>
          <w:lang w:val="en-US"/>
        </w:rPr>
        <w:t xml:space="preserve">2: </w:t>
      </w:r>
      <w:r w:rsidR="00AD43F5" w:rsidRPr="00AD43F5">
        <w:rPr>
          <w:rFonts w:ascii="StobiSerif Regular" w:eastAsiaTheme="majorEastAsia" w:hAnsi="StobiSerif Regular" w:cstheme="majorBidi"/>
          <w:bCs/>
        </w:rPr>
        <w:t>Контроли на лице место извршени во период на 2016</w:t>
      </w:r>
      <w:bookmarkEnd w:id="100"/>
      <w:bookmarkEnd w:id="101"/>
      <w:bookmarkEnd w:id="102"/>
    </w:p>
    <w:p w:rsidR="00AD43F5" w:rsidRPr="00AD43F5" w:rsidRDefault="00AD43F5" w:rsidP="00AD43F5">
      <w:pPr>
        <w:rPr>
          <w:rFonts w:ascii="StobiSerif Regular" w:hAnsi="StobiSerif Regular"/>
          <w:bCs/>
          <w:sz w:val="24"/>
          <w:szCs w:val="24"/>
          <w:lang w:val="en-US"/>
        </w:rPr>
      </w:pPr>
      <w:r w:rsidRPr="00AD43F5">
        <w:rPr>
          <w:rFonts w:ascii="StobiSerif Regular" w:hAnsi="StobiSerif Regular"/>
          <w:sz w:val="24"/>
          <w:szCs w:val="24"/>
          <w:lang w:val="en-US"/>
        </w:rPr>
        <w:t xml:space="preserve">ИПАРД ………………... </w:t>
      </w:r>
      <w:r w:rsidRPr="00AD43F5">
        <w:rPr>
          <w:rFonts w:ascii="StobiSerif Regular" w:hAnsi="StobiSerif Regular"/>
          <w:bCs/>
          <w:sz w:val="24"/>
          <w:szCs w:val="24"/>
        </w:rPr>
        <w:t>Контроли на лице место извршени во период на 2016</w:t>
      </w:r>
    </w:p>
    <w:tbl>
      <w:tblPr>
        <w:tblW w:w="14068" w:type="dxa"/>
        <w:tblInd w:w="93" w:type="dxa"/>
        <w:tblLook w:val="04A0" w:firstRow="1" w:lastRow="0" w:firstColumn="1" w:lastColumn="0" w:noHBand="0" w:noVBand="1"/>
      </w:tblPr>
      <w:tblGrid>
        <w:gridCol w:w="4600"/>
        <w:gridCol w:w="1320"/>
        <w:gridCol w:w="1831"/>
        <w:gridCol w:w="1493"/>
        <w:gridCol w:w="1432"/>
        <w:gridCol w:w="1696"/>
        <w:gridCol w:w="1696"/>
      </w:tblGrid>
      <w:tr w:rsidR="00AD43F5" w:rsidRPr="00AD43F5" w:rsidTr="00B04816">
        <w:trPr>
          <w:trHeight w:val="255"/>
        </w:trPr>
        <w:tc>
          <w:tcPr>
            <w:tcW w:w="14068"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D43F5" w:rsidRPr="00AD43F5" w:rsidRDefault="00AD43F5" w:rsidP="00AD43F5">
            <w:pPr>
              <w:spacing w:after="0" w:line="240" w:lineRule="auto"/>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Член 2</w:t>
            </w:r>
            <w:r w:rsidRPr="00AD43F5">
              <w:rPr>
                <w:rFonts w:ascii="StobiSerif Regular" w:eastAsia="Times New Roman" w:hAnsi="StobiSerif Regular" w:cs="Arial"/>
                <w:b/>
                <w:bCs/>
                <w:sz w:val="20"/>
                <w:szCs w:val="20"/>
                <w:lang w:val="en-US" w:eastAsia="mk-MK"/>
              </w:rPr>
              <w:t>0</w:t>
            </w:r>
            <w:r w:rsidRPr="00AD43F5">
              <w:rPr>
                <w:rFonts w:ascii="StobiSerif Regular" w:eastAsia="Times New Roman" w:hAnsi="StobiSerif Regular" w:cs="Arial"/>
                <w:b/>
                <w:bCs/>
                <w:sz w:val="20"/>
                <w:szCs w:val="20"/>
                <w:lang w:eastAsia="mk-MK"/>
              </w:rPr>
              <w:t xml:space="preserve"> од Секторската спогодба </w:t>
            </w:r>
          </w:p>
        </w:tc>
      </w:tr>
      <w:tr w:rsidR="00AD43F5" w:rsidRPr="00AD43F5" w:rsidTr="00B04816">
        <w:trPr>
          <w:trHeight w:val="255"/>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A</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б</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в</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г</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д</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ѓ = д/в</w:t>
            </w:r>
          </w:p>
        </w:tc>
        <w:tc>
          <w:tcPr>
            <w:tcW w:w="1696" w:type="dxa"/>
            <w:tcBorders>
              <w:top w:val="nil"/>
              <w:left w:val="nil"/>
              <w:bottom w:val="single" w:sz="4" w:space="0" w:color="auto"/>
              <w:right w:val="single" w:sz="8"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е</w:t>
            </w:r>
          </w:p>
        </w:tc>
      </w:tr>
      <w:tr w:rsidR="00AD43F5" w:rsidRPr="00AD43F5" w:rsidTr="00B04816">
        <w:trPr>
          <w:trHeight w:val="1158"/>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Мерки</w:t>
            </w:r>
          </w:p>
        </w:tc>
        <w:tc>
          <w:tcPr>
            <w:tcW w:w="1320" w:type="dxa"/>
            <w:tcBorders>
              <w:top w:val="nil"/>
              <w:left w:val="nil"/>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Код</w:t>
            </w:r>
          </w:p>
        </w:tc>
        <w:tc>
          <w:tcPr>
            <w:tcW w:w="1831" w:type="dxa"/>
            <w:tcBorders>
              <w:top w:val="nil"/>
              <w:left w:val="nil"/>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Контрактирани прифатливи</w:t>
            </w:r>
          </w:p>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трошоци</w:t>
            </w:r>
          </w:p>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p>
        </w:tc>
        <w:tc>
          <w:tcPr>
            <w:tcW w:w="1493" w:type="dxa"/>
            <w:tcBorders>
              <w:top w:val="nil"/>
              <w:left w:val="nil"/>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Број на засегнати корисници</w:t>
            </w:r>
          </w:p>
        </w:tc>
        <w:tc>
          <w:tcPr>
            <w:tcW w:w="1432" w:type="dxa"/>
            <w:tcBorders>
              <w:top w:val="nil"/>
              <w:left w:val="nil"/>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Трошоци</w:t>
            </w:r>
          </w:p>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опфатени со контрола на лице место</w:t>
            </w:r>
          </w:p>
        </w:tc>
        <w:tc>
          <w:tcPr>
            <w:tcW w:w="1696" w:type="dxa"/>
            <w:tcBorders>
              <w:top w:val="nil"/>
              <w:left w:val="nil"/>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 xml:space="preserve">Процент на контролирани прифатливи трошоци </w:t>
            </w:r>
          </w:p>
        </w:tc>
        <w:tc>
          <w:tcPr>
            <w:tcW w:w="1696" w:type="dxa"/>
            <w:tcBorders>
              <w:top w:val="nil"/>
              <w:left w:val="nil"/>
              <w:bottom w:val="single" w:sz="4" w:space="0" w:color="auto"/>
              <w:right w:val="single" w:sz="8" w:space="0" w:color="auto"/>
            </w:tcBorders>
            <w:shd w:val="clear" w:color="auto" w:fill="auto"/>
            <w:vAlign w:val="center"/>
            <w:hideMark/>
          </w:tcPr>
          <w:p w:rsidR="00AD43F5" w:rsidRPr="00AD43F5" w:rsidRDefault="00AD43F5" w:rsidP="00AD43F5">
            <w:pPr>
              <w:spacing w:after="0" w:line="240" w:lineRule="auto"/>
              <w:jc w:val="center"/>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Број на контролирани корисници</w:t>
            </w:r>
          </w:p>
        </w:tc>
      </w:tr>
      <w:tr w:rsidR="00AD43F5" w:rsidRPr="00AD43F5" w:rsidTr="00B04816">
        <w:trPr>
          <w:trHeight w:val="423"/>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Инвестиции во земјоделски стопанства</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101</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7,863,074</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542</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7,863,074</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100%</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542</w:t>
            </w:r>
          </w:p>
        </w:tc>
      </w:tr>
      <w:tr w:rsidR="00AD43F5" w:rsidRPr="00AD43F5" w:rsidTr="00B04816">
        <w:trPr>
          <w:trHeight w:val="376"/>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Поддршка за формирање на групи на производители</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102</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r>
      <w:tr w:rsidR="00AD43F5" w:rsidRPr="00AD43F5" w:rsidTr="00B04816">
        <w:trPr>
          <w:trHeight w:val="45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Инвестиции за преработка и маркетинг на земјоделски и рибни производи</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103</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5,848,325</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8</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5,848,325</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100%</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8</w:t>
            </w:r>
          </w:p>
        </w:tc>
      </w:tr>
      <w:tr w:rsidR="00AD43F5" w:rsidRPr="00AD43F5" w:rsidTr="00B04816">
        <w:trPr>
          <w:trHeight w:val="414"/>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Активности за подобрување на животната средина и природа</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201</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r>
      <w:tr w:rsidR="00AD43F5" w:rsidRPr="00AD43F5" w:rsidTr="00B04816">
        <w:trPr>
          <w:trHeight w:val="363"/>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rPr>
                <w:rFonts w:ascii="StobiSerif Regular" w:eastAsia="Times New Roman" w:hAnsi="StobiSerif Regular" w:cs="Arial"/>
                <w:sz w:val="20"/>
                <w:szCs w:val="20"/>
                <w:lang w:val="en-US" w:eastAsia="mk-MK"/>
              </w:rPr>
            </w:pPr>
            <w:r w:rsidRPr="00AD43F5">
              <w:rPr>
                <w:rFonts w:ascii="StobiSerif Regular" w:eastAsia="Times New Roman" w:hAnsi="StobiSerif Regular" w:cs="Arial"/>
                <w:sz w:val="20"/>
                <w:szCs w:val="20"/>
                <w:lang w:eastAsia="mk-MK"/>
              </w:rPr>
              <w:t>Подготовка и спроведување на локални стратегии за рурален развој</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202</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r>
      <w:tr w:rsidR="00AD43F5" w:rsidRPr="00AD43F5" w:rsidTr="00B04816">
        <w:trPr>
          <w:trHeight w:val="456"/>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Унапредување и развој на руралната инфраструктура</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301</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r>
      <w:tr w:rsidR="00AD43F5" w:rsidRPr="00AD43F5" w:rsidTr="00B04816">
        <w:trPr>
          <w:trHeight w:val="42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Диверзификација и развој на руралните економски активности</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302</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1,437,199</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10</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1,437,199</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100%</w:t>
            </w:r>
          </w:p>
        </w:tc>
        <w:tc>
          <w:tcPr>
            <w:tcW w:w="1696"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10</w:t>
            </w:r>
          </w:p>
        </w:tc>
      </w:tr>
      <w:tr w:rsidR="00AD43F5" w:rsidRPr="00AD43F5" w:rsidTr="00B04816">
        <w:trPr>
          <w:trHeight w:val="370"/>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Унапредување на обуките</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303</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bottom"/>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8"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r>
      <w:tr w:rsidR="00AD43F5" w:rsidRPr="00AD43F5" w:rsidTr="00B04816">
        <w:trPr>
          <w:trHeight w:val="41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Техничка помош</w:t>
            </w:r>
          </w:p>
        </w:tc>
        <w:tc>
          <w:tcPr>
            <w:tcW w:w="1320"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501</w:t>
            </w:r>
          </w:p>
        </w:tc>
        <w:tc>
          <w:tcPr>
            <w:tcW w:w="1831"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432" w:type="dxa"/>
            <w:tcBorders>
              <w:top w:val="nil"/>
              <w:left w:val="nil"/>
              <w:bottom w:val="single" w:sz="4"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4" w:space="0" w:color="auto"/>
            </w:tcBorders>
            <w:shd w:val="clear" w:color="auto" w:fill="auto"/>
            <w:noWrap/>
            <w:vAlign w:val="bottom"/>
            <w:hideMark/>
          </w:tcPr>
          <w:p w:rsidR="00AD43F5" w:rsidRPr="00AD43F5" w:rsidRDefault="00AD43F5" w:rsidP="00AD43F5">
            <w:pPr>
              <w:spacing w:after="0" w:line="240" w:lineRule="auto"/>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696" w:type="dxa"/>
            <w:tcBorders>
              <w:top w:val="nil"/>
              <w:left w:val="nil"/>
              <w:bottom w:val="single" w:sz="4" w:space="0" w:color="auto"/>
              <w:right w:val="single" w:sz="8"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r>
      <w:tr w:rsidR="00AD43F5" w:rsidRPr="00AD43F5" w:rsidTr="00B04816">
        <w:trPr>
          <w:trHeight w:val="340"/>
        </w:trPr>
        <w:tc>
          <w:tcPr>
            <w:tcW w:w="4600" w:type="dxa"/>
            <w:tcBorders>
              <w:top w:val="nil"/>
              <w:left w:val="single" w:sz="8" w:space="0" w:color="auto"/>
              <w:bottom w:val="single" w:sz="8" w:space="0" w:color="auto"/>
              <w:right w:val="single" w:sz="4" w:space="0" w:color="auto"/>
            </w:tcBorders>
            <w:shd w:val="clear" w:color="auto" w:fill="auto"/>
            <w:noWrap/>
            <w:vAlign w:val="center"/>
            <w:hideMark/>
          </w:tcPr>
          <w:p w:rsidR="00AD43F5" w:rsidRPr="00AD43F5" w:rsidRDefault="00AD43F5" w:rsidP="00AD43F5">
            <w:pPr>
              <w:spacing w:after="0" w:line="240" w:lineRule="auto"/>
              <w:rPr>
                <w:rFonts w:ascii="StobiSerif Regular" w:eastAsia="Times New Roman" w:hAnsi="StobiSerif Regular" w:cs="Arial"/>
                <w:b/>
                <w:bCs/>
                <w:sz w:val="20"/>
                <w:szCs w:val="20"/>
                <w:lang w:eastAsia="mk-MK"/>
              </w:rPr>
            </w:pPr>
            <w:r w:rsidRPr="00AD43F5">
              <w:rPr>
                <w:rFonts w:ascii="StobiSerif Regular" w:eastAsia="Times New Roman" w:hAnsi="StobiSerif Regular" w:cs="Arial"/>
                <w:b/>
                <w:bCs/>
                <w:sz w:val="20"/>
                <w:szCs w:val="20"/>
                <w:lang w:eastAsia="mk-MK"/>
              </w:rPr>
              <w:t>ВКУПНО</w:t>
            </w:r>
          </w:p>
        </w:tc>
        <w:tc>
          <w:tcPr>
            <w:tcW w:w="1320" w:type="dxa"/>
            <w:tcBorders>
              <w:top w:val="nil"/>
              <w:left w:val="nil"/>
              <w:bottom w:val="single" w:sz="8"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 </w:t>
            </w:r>
          </w:p>
        </w:tc>
        <w:tc>
          <w:tcPr>
            <w:tcW w:w="1831" w:type="dxa"/>
            <w:tcBorders>
              <w:top w:val="nil"/>
              <w:left w:val="nil"/>
              <w:bottom w:val="single" w:sz="8"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15,148,598</w:t>
            </w:r>
          </w:p>
        </w:tc>
        <w:tc>
          <w:tcPr>
            <w:tcW w:w="1493" w:type="dxa"/>
            <w:tcBorders>
              <w:top w:val="nil"/>
              <w:left w:val="nil"/>
              <w:bottom w:val="single" w:sz="8" w:space="0" w:color="auto"/>
              <w:right w:val="single" w:sz="4"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560</w:t>
            </w:r>
          </w:p>
        </w:tc>
        <w:tc>
          <w:tcPr>
            <w:tcW w:w="1432" w:type="dxa"/>
            <w:tcBorders>
              <w:top w:val="nil"/>
              <w:left w:val="nil"/>
              <w:bottom w:val="single" w:sz="8"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15,148,598</w:t>
            </w:r>
          </w:p>
        </w:tc>
        <w:tc>
          <w:tcPr>
            <w:tcW w:w="1696" w:type="dxa"/>
            <w:tcBorders>
              <w:top w:val="nil"/>
              <w:left w:val="nil"/>
              <w:bottom w:val="single" w:sz="8" w:space="0" w:color="auto"/>
              <w:right w:val="single" w:sz="4" w:space="0" w:color="auto"/>
            </w:tcBorders>
            <w:shd w:val="clear" w:color="auto" w:fill="auto"/>
            <w:noWrap/>
            <w:vAlign w:val="center"/>
            <w:hideMark/>
          </w:tcPr>
          <w:p w:rsidR="00AD43F5" w:rsidRPr="00AD43F5" w:rsidRDefault="00AD43F5" w:rsidP="00AD43F5">
            <w:pPr>
              <w:spacing w:after="0" w:line="240" w:lineRule="auto"/>
              <w:jc w:val="right"/>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100%</w:t>
            </w:r>
          </w:p>
        </w:tc>
        <w:tc>
          <w:tcPr>
            <w:tcW w:w="1696" w:type="dxa"/>
            <w:tcBorders>
              <w:top w:val="nil"/>
              <w:left w:val="nil"/>
              <w:bottom w:val="single" w:sz="8" w:space="0" w:color="auto"/>
              <w:right w:val="single" w:sz="8" w:space="0" w:color="auto"/>
            </w:tcBorders>
            <w:shd w:val="clear" w:color="auto" w:fill="auto"/>
            <w:noWrap/>
            <w:vAlign w:val="center"/>
            <w:hideMark/>
          </w:tcPr>
          <w:p w:rsidR="00AD43F5" w:rsidRPr="00AD43F5" w:rsidRDefault="00AD43F5" w:rsidP="00AD43F5">
            <w:pPr>
              <w:spacing w:after="0" w:line="240" w:lineRule="auto"/>
              <w:jc w:val="center"/>
              <w:rPr>
                <w:rFonts w:ascii="StobiSerif Regular" w:eastAsia="Times New Roman" w:hAnsi="StobiSerif Regular" w:cs="Arial"/>
                <w:sz w:val="20"/>
                <w:szCs w:val="20"/>
                <w:lang w:eastAsia="mk-MK"/>
              </w:rPr>
            </w:pPr>
            <w:r w:rsidRPr="00AD43F5">
              <w:rPr>
                <w:rFonts w:ascii="StobiSerif Regular" w:eastAsia="Times New Roman" w:hAnsi="StobiSerif Regular" w:cs="Arial"/>
                <w:sz w:val="20"/>
                <w:szCs w:val="20"/>
                <w:lang w:eastAsia="mk-MK"/>
              </w:rPr>
              <w:t>560</w:t>
            </w:r>
          </w:p>
        </w:tc>
      </w:tr>
    </w:tbl>
    <w:p w:rsidR="00241F24" w:rsidRPr="00241F24" w:rsidRDefault="00B04816" w:rsidP="00241F24">
      <w:pPr>
        <w:rPr>
          <w:rFonts w:ascii="StobiSerif Regular" w:hAnsi="StobiSerif Regular"/>
          <w:sz w:val="24"/>
          <w:szCs w:val="24"/>
          <w:lang w:val="en-US"/>
        </w:rPr>
      </w:pPr>
      <w:r w:rsidRPr="00B04816">
        <w:rPr>
          <w:rFonts w:ascii="StobiSerif Regular" w:hAnsi="StobiSerif Regular"/>
          <w:sz w:val="16"/>
          <w:szCs w:val="16"/>
          <w:lang w:val="en-US"/>
        </w:rPr>
        <w:t>Извор: ИПАРД Агенција 2016</w:t>
      </w:r>
    </w:p>
    <w:p w:rsidR="00B04816" w:rsidRPr="00B04816" w:rsidRDefault="00B04816" w:rsidP="00B04816">
      <w:pPr>
        <w:rPr>
          <w:rFonts w:ascii="StobiSerif Regular" w:hAnsi="StobiSerif Regular"/>
          <w:sz w:val="24"/>
          <w:szCs w:val="24"/>
          <w:lang w:val="en-US"/>
        </w:rPr>
      </w:pPr>
      <w:r w:rsidRPr="00B04816">
        <w:rPr>
          <w:rFonts w:ascii="StobiSerif Regular" w:hAnsi="StobiSerif Regular"/>
          <w:sz w:val="24"/>
          <w:szCs w:val="24"/>
          <w:lang w:val="en-US"/>
        </w:rPr>
        <w:t>ИПАРД .................. ... Ex-post контроли извршени во периодот од 2016</w:t>
      </w:r>
    </w:p>
    <w:tbl>
      <w:tblPr>
        <w:tblW w:w="13681" w:type="dxa"/>
        <w:tblInd w:w="93" w:type="dxa"/>
        <w:tblLook w:val="04A0" w:firstRow="1" w:lastRow="0" w:firstColumn="1" w:lastColumn="0" w:noHBand="0" w:noVBand="1"/>
      </w:tblPr>
      <w:tblGrid>
        <w:gridCol w:w="4600"/>
        <w:gridCol w:w="900"/>
        <w:gridCol w:w="1920"/>
        <w:gridCol w:w="1540"/>
        <w:gridCol w:w="1820"/>
        <w:gridCol w:w="1505"/>
        <w:gridCol w:w="1493"/>
      </w:tblGrid>
      <w:tr w:rsidR="00B04816" w:rsidRPr="00B04816" w:rsidTr="00677FC7">
        <w:trPr>
          <w:trHeight w:val="255"/>
        </w:trPr>
        <w:tc>
          <w:tcPr>
            <w:tcW w:w="13681"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B04816" w:rsidRPr="00B04816" w:rsidRDefault="00B04816" w:rsidP="00B04816">
            <w:pPr>
              <w:spacing w:after="0" w:line="240" w:lineRule="auto"/>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Член 21 од Секторската спогодба</w:t>
            </w:r>
          </w:p>
        </w:tc>
      </w:tr>
      <w:tr w:rsidR="00B04816" w:rsidRPr="00B04816" w:rsidTr="00677FC7">
        <w:trPr>
          <w:trHeight w:val="255"/>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А</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б</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в</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г</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д</w:t>
            </w:r>
          </w:p>
        </w:tc>
        <w:tc>
          <w:tcPr>
            <w:tcW w:w="1408"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ѓ = д/в</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е</w:t>
            </w:r>
          </w:p>
        </w:tc>
      </w:tr>
      <w:tr w:rsidR="00B04816" w:rsidRPr="00B04816" w:rsidTr="00677FC7">
        <w:trPr>
          <w:trHeight w:val="102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Мерки</w:t>
            </w:r>
          </w:p>
        </w:tc>
        <w:tc>
          <w:tcPr>
            <w:tcW w:w="900" w:type="dxa"/>
            <w:tcBorders>
              <w:top w:val="nil"/>
              <w:left w:val="nil"/>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Код</w:t>
            </w:r>
          </w:p>
        </w:tc>
        <w:tc>
          <w:tcPr>
            <w:tcW w:w="1920" w:type="dxa"/>
            <w:tcBorders>
              <w:top w:val="nil"/>
              <w:left w:val="nil"/>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Прифатливи трошоци</w:t>
            </w:r>
          </w:p>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врз основа на конечната исплата</w:t>
            </w:r>
          </w:p>
        </w:tc>
        <w:tc>
          <w:tcPr>
            <w:tcW w:w="1540" w:type="dxa"/>
            <w:tcBorders>
              <w:top w:val="nil"/>
              <w:left w:val="nil"/>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Број на засегнати корисници</w:t>
            </w:r>
          </w:p>
        </w:tc>
        <w:tc>
          <w:tcPr>
            <w:tcW w:w="1820" w:type="dxa"/>
            <w:tcBorders>
              <w:top w:val="nil"/>
              <w:left w:val="nil"/>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Трошоци опфатени со  ex-post контрола</w:t>
            </w:r>
            <w:r w:rsidRPr="00B04816">
              <w:rPr>
                <w:rFonts w:ascii="StobiSerif Regular" w:eastAsia="Times New Roman" w:hAnsi="StobiSerif Regular" w:cs="Arial"/>
                <w:b/>
                <w:bCs/>
                <w:sz w:val="20"/>
                <w:szCs w:val="20"/>
                <w:vertAlign w:val="superscript"/>
                <w:lang w:eastAsia="mk-MK"/>
              </w:rPr>
              <w:footnoteReference w:id="5"/>
            </w:r>
          </w:p>
        </w:tc>
        <w:tc>
          <w:tcPr>
            <w:tcW w:w="1408" w:type="dxa"/>
            <w:tcBorders>
              <w:top w:val="nil"/>
              <w:left w:val="nil"/>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Процент на проверени прифатливи трошоци</w:t>
            </w:r>
          </w:p>
        </w:tc>
        <w:tc>
          <w:tcPr>
            <w:tcW w:w="1493" w:type="dxa"/>
            <w:tcBorders>
              <w:top w:val="nil"/>
              <w:left w:val="nil"/>
              <w:bottom w:val="single" w:sz="4" w:space="0" w:color="auto"/>
              <w:right w:val="single" w:sz="8" w:space="0" w:color="auto"/>
            </w:tcBorders>
            <w:shd w:val="clear" w:color="auto" w:fill="auto"/>
            <w:vAlign w:val="center"/>
            <w:hideMark/>
          </w:tcPr>
          <w:p w:rsidR="00B04816" w:rsidRPr="00B04816" w:rsidRDefault="00B04816" w:rsidP="00B04816">
            <w:pPr>
              <w:spacing w:after="0" w:line="240" w:lineRule="auto"/>
              <w:jc w:val="center"/>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Број на корисници на ex-post контрола</w:t>
            </w:r>
          </w:p>
        </w:tc>
      </w:tr>
      <w:tr w:rsidR="00B04816" w:rsidRPr="00B04816" w:rsidTr="00677FC7">
        <w:trPr>
          <w:trHeight w:val="255"/>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Инвестиции во земјоделски стопанства</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101</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2,400,235</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270</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1,377,990</w:t>
            </w:r>
          </w:p>
        </w:tc>
        <w:tc>
          <w:tcPr>
            <w:tcW w:w="1408"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57%</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137</w:t>
            </w:r>
          </w:p>
        </w:tc>
      </w:tr>
      <w:tr w:rsidR="00B04816" w:rsidRPr="00B04816" w:rsidTr="00677FC7">
        <w:trPr>
          <w:trHeight w:val="255"/>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Поддршка за формирање на групи на производители</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102</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08"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r>
      <w:tr w:rsidR="00B04816" w:rsidRPr="00B04816" w:rsidTr="00677FC7">
        <w:trPr>
          <w:trHeight w:val="51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Инвестиции за преработка и маркетинг на земјоделски и рибни производи</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103</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1,455,758</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12</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693,633</w:t>
            </w:r>
          </w:p>
        </w:tc>
        <w:tc>
          <w:tcPr>
            <w:tcW w:w="1408"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48%</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6</w:t>
            </w:r>
          </w:p>
        </w:tc>
      </w:tr>
      <w:tr w:rsidR="00B04816" w:rsidRPr="00B04816" w:rsidTr="00677FC7">
        <w:trPr>
          <w:trHeight w:val="51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Активности за подобрување на животната средина и природа</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201</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08"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r>
      <w:tr w:rsidR="00B04816" w:rsidRPr="00B04816" w:rsidTr="00677FC7">
        <w:trPr>
          <w:trHeight w:val="51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Подготовка и спроведување на локални стратегии за рурален развој</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202</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08"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r>
      <w:tr w:rsidR="00B04816" w:rsidRPr="00B04816" w:rsidTr="00677FC7">
        <w:trPr>
          <w:trHeight w:val="51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Унапредување и развој на руралната инфраструктура</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301</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08"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r>
      <w:tr w:rsidR="00B04816" w:rsidRPr="00B04816" w:rsidTr="00677FC7">
        <w:trPr>
          <w:trHeight w:val="51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B04816" w:rsidRPr="00B04816" w:rsidRDefault="00B04816" w:rsidP="00B04816">
            <w:pPr>
              <w:spacing w:after="0" w:line="240" w:lineRule="auto"/>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Диверзификација и развој на руралните економски активности</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302</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261,447</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5</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90,540</w:t>
            </w:r>
          </w:p>
        </w:tc>
        <w:tc>
          <w:tcPr>
            <w:tcW w:w="1408"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35%</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2</w:t>
            </w:r>
          </w:p>
        </w:tc>
      </w:tr>
      <w:tr w:rsidR="00B04816" w:rsidRPr="00B04816" w:rsidTr="00677FC7">
        <w:trPr>
          <w:trHeight w:val="255"/>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Унапредување на обуките</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303</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08" w:type="dxa"/>
            <w:tcBorders>
              <w:top w:val="nil"/>
              <w:left w:val="nil"/>
              <w:bottom w:val="single" w:sz="4" w:space="0" w:color="auto"/>
              <w:right w:val="single" w:sz="4" w:space="0" w:color="auto"/>
            </w:tcBorders>
            <w:shd w:val="clear" w:color="auto" w:fill="auto"/>
            <w:noWrap/>
            <w:vAlign w:val="bottom"/>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r>
      <w:tr w:rsidR="00B04816" w:rsidRPr="00B04816" w:rsidTr="00677FC7">
        <w:trPr>
          <w:trHeight w:val="255"/>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Техничка помош</w:t>
            </w:r>
          </w:p>
        </w:tc>
        <w:tc>
          <w:tcPr>
            <w:tcW w:w="90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501</w:t>
            </w:r>
          </w:p>
        </w:tc>
        <w:tc>
          <w:tcPr>
            <w:tcW w:w="19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54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820" w:type="dxa"/>
            <w:tcBorders>
              <w:top w:val="nil"/>
              <w:left w:val="nil"/>
              <w:bottom w:val="single" w:sz="4"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08" w:type="dxa"/>
            <w:tcBorders>
              <w:top w:val="nil"/>
              <w:left w:val="nil"/>
              <w:bottom w:val="single" w:sz="4" w:space="0" w:color="auto"/>
              <w:right w:val="single" w:sz="4" w:space="0" w:color="auto"/>
            </w:tcBorders>
            <w:shd w:val="clear" w:color="auto" w:fill="auto"/>
            <w:noWrap/>
            <w:vAlign w:val="bottom"/>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493" w:type="dxa"/>
            <w:tcBorders>
              <w:top w:val="nil"/>
              <w:left w:val="nil"/>
              <w:bottom w:val="single" w:sz="4"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r>
      <w:tr w:rsidR="00B04816" w:rsidRPr="00B04816" w:rsidTr="00677FC7">
        <w:trPr>
          <w:trHeight w:val="465"/>
        </w:trPr>
        <w:tc>
          <w:tcPr>
            <w:tcW w:w="4600" w:type="dxa"/>
            <w:tcBorders>
              <w:top w:val="nil"/>
              <w:left w:val="single" w:sz="8" w:space="0" w:color="auto"/>
              <w:bottom w:val="single" w:sz="8" w:space="0" w:color="auto"/>
              <w:right w:val="single" w:sz="4" w:space="0" w:color="auto"/>
            </w:tcBorders>
            <w:shd w:val="clear" w:color="auto" w:fill="auto"/>
            <w:noWrap/>
            <w:vAlign w:val="center"/>
            <w:hideMark/>
          </w:tcPr>
          <w:p w:rsidR="00B04816" w:rsidRPr="00B04816" w:rsidRDefault="00B04816" w:rsidP="00B04816">
            <w:pPr>
              <w:spacing w:after="0" w:line="240" w:lineRule="auto"/>
              <w:rPr>
                <w:rFonts w:ascii="StobiSerif Regular" w:eastAsia="Times New Roman" w:hAnsi="StobiSerif Regular" w:cs="Arial"/>
                <w:b/>
                <w:bCs/>
                <w:sz w:val="20"/>
                <w:szCs w:val="20"/>
                <w:lang w:eastAsia="mk-MK"/>
              </w:rPr>
            </w:pPr>
            <w:r w:rsidRPr="00B04816">
              <w:rPr>
                <w:rFonts w:ascii="StobiSerif Regular" w:eastAsia="Times New Roman" w:hAnsi="StobiSerif Regular" w:cs="Arial"/>
                <w:b/>
                <w:bCs/>
                <w:sz w:val="20"/>
                <w:szCs w:val="20"/>
                <w:lang w:eastAsia="mk-MK"/>
              </w:rPr>
              <w:t>ВКУПНО</w:t>
            </w:r>
          </w:p>
        </w:tc>
        <w:tc>
          <w:tcPr>
            <w:tcW w:w="900" w:type="dxa"/>
            <w:tcBorders>
              <w:top w:val="nil"/>
              <w:left w:val="nil"/>
              <w:bottom w:val="single" w:sz="8"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 </w:t>
            </w:r>
          </w:p>
        </w:tc>
        <w:tc>
          <w:tcPr>
            <w:tcW w:w="1920" w:type="dxa"/>
            <w:tcBorders>
              <w:top w:val="nil"/>
              <w:left w:val="nil"/>
              <w:bottom w:val="single" w:sz="8"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4,117,440</w:t>
            </w:r>
          </w:p>
        </w:tc>
        <w:tc>
          <w:tcPr>
            <w:tcW w:w="1540" w:type="dxa"/>
            <w:tcBorders>
              <w:top w:val="nil"/>
              <w:left w:val="nil"/>
              <w:bottom w:val="single" w:sz="8"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287</w:t>
            </w:r>
          </w:p>
        </w:tc>
        <w:tc>
          <w:tcPr>
            <w:tcW w:w="1820" w:type="dxa"/>
            <w:tcBorders>
              <w:top w:val="nil"/>
              <w:left w:val="nil"/>
              <w:bottom w:val="single" w:sz="8"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2,162,163</w:t>
            </w:r>
          </w:p>
        </w:tc>
        <w:tc>
          <w:tcPr>
            <w:tcW w:w="1408" w:type="dxa"/>
            <w:tcBorders>
              <w:top w:val="nil"/>
              <w:left w:val="nil"/>
              <w:bottom w:val="single" w:sz="8" w:space="0" w:color="auto"/>
              <w:right w:val="single" w:sz="4"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53%</w:t>
            </w:r>
          </w:p>
        </w:tc>
        <w:tc>
          <w:tcPr>
            <w:tcW w:w="1493" w:type="dxa"/>
            <w:tcBorders>
              <w:top w:val="nil"/>
              <w:left w:val="nil"/>
              <w:bottom w:val="single" w:sz="8" w:space="0" w:color="auto"/>
              <w:right w:val="single" w:sz="8" w:space="0" w:color="auto"/>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Arial"/>
                <w:sz w:val="20"/>
                <w:szCs w:val="20"/>
                <w:lang w:eastAsia="mk-MK"/>
              </w:rPr>
            </w:pPr>
            <w:r w:rsidRPr="00B04816">
              <w:rPr>
                <w:rFonts w:ascii="StobiSerif Regular" w:eastAsia="Times New Roman" w:hAnsi="StobiSerif Regular" w:cs="Arial"/>
                <w:sz w:val="20"/>
                <w:szCs w:val="20"/>
                <w:lang w:eastAsia="mk-MK"/>
              </w:rPr>
              <w:t>145</w:t>
            </w:r>
          </w:p>
        </w:tc>
      </w:tr>
    </w:tbl>
    <w:p w:rsidR="00B04816" w:rsidRPr="00B04816" w:rsidRDefault="00B04816" w:rsidP="00F30B7C">
      <w:pPr>
        <w:spacing w:before="120" w:after="120"/>
        <w:outlineLvl w:val="1"/>
        <w:rPr>
          <w:rFonts w:ascii="StobiSerif Regular" w:hAnsi="StobiSerif Regular"/>
          <w:sz w:val="16"/>
          <w:szCs w:val="16"/>
        </w:rPr>
      </w:pPr>
      <w:bookmarkStart w:id="103" w:name="_Toc485394832"/>
      <w:r w:rsidRPr="00B04816">
        <w:rPr>
          <w:rFonts w:ascii="StobiSerif Regular" w:hAnsi="StobiSerif Regular"/>
          <w:sz w:val="16"/>
          <w:szCs w:val="16"/>
          <w:lang w:val="en-US"/>
        </w:rPr>
        <w:t>Извор: ИПАРД Агенција</w:t>
      </w:r>
      <w:r>
        <w:rPr>
          <w:rFonts w:ascii="StobiSerif Regular" w:hAnsi="StobiSerif Regular"/>
          <w:sz w:val="16"/>
          <w:szCs w:val="16"/>
        </w:rPr>
        <w:t xml:space="preserve"> 2016</w:t>
      </w:r>
      <w:bookmarkEnd w:id="103"/>
    </w:p>
    <w:p w:rsidR="00B04816" w:rsidRDefault="00B04816" w:rsidP="00F30B7C">
      <w:pPr>
        <w:spacing w:before="120" w:after="120"/>
        <w:outlineLvl w:val="1"/>
        <w:rPr>
          <w:rFonts w:ascii="StobiSerif Regular" w:hAnsi="StobiSerif Regular"/>
          <w:sz w:val="16"/>
          <w:szCs w:val="16"/>
        </w:rPr>
      </w:pPr>
    </w:p>
    <w:p w:rsidR="00B04816" w:rsidRDefault="00B04816" w:rsidP="00F30B7C">
      <w:pPr>
        <w:spacing w:before="120" w:after="120"/>
        <w:outlineLvl w:val="1"/>
        <w:rPr>
          <w:rFonts w:ascii="StobiSerif Regular" w:hAnsi="StobiSerif Regular"/>
          <w:sz w:val="16"/>
          <w:szCs w:val="16"/>
        </w:rPr>
      </w:pPr>
    </w:p>
    <w:p w:rsidR="00B04816" w:rsidRPr="00B04816" w:rsidRDefault="00F04549" w:rsidP="00B04816">
      <w:pPr>
        <w:spacing w:before="120" w:after="120"/>
        <w:rPr>
          <w:rFonts w:ascii="StobiSerif Regular" w:eastAsiaTheme="majorEastAsia" w:hAnsi="StobiSerif Regular" w:cstheme="majorBidi"/>
          <w:bCs/>
          <w:lang w:val="en-US"/>
        </w:rPr>
      </w:pPr>
      <w:r>
        <w:rPr>
          <w:rFonts w:ascii="StobiSerif Regular" w:eastAsiaTheme="majorEastAsia" w:hAnsi="StobiSerif Regular" w:cstheme="majorBidi"/>
          <w:bCs/>
        </w:rPr>
        <w:t>Прилог</w:t>
      </w:r>
      <w:r w:rsidR="00B04816" w:rsidRPr="00B04816">
        <w:rPr>
          <w:rFonts w:ascii="StobiSerif Regular" w:eastAsiaTheme="majorEastAsia" w:hAnsi="StobiSerif Regular" w:cstheme="majorBidi"/>
          <w:bCs/>
          <w:lang w:val="en-US"/>
        </w:rPr>
        <w:t xml:space="preserve"> 3: Дополнителни документи за Изјава за гаранција</w:t>
      </w:r>
    </w:p>
    <w:p w:rsidR="00F9112B" w:rsidRDefault="00B04816" w:rsidP="00B04816">
      <w:pPr>
        <w:spacing w:before="120" w:after="120"/>
        <w:rPr>
          <w:rFonts w:ascii="StobiSerif Regular" w:hAnsi="StobiSerif Regular"/>
          <w:lang w:val="en-US" w:eastAsia="mk-MK"/>
        </w:rPr>
      </w:pPr>
      <w:r w:rsidRPr="00B04816">
        <w:rPr>
          <w:rFonts w:ascii="StobiSerif Regular" w:eastAsiaTheme="majorEastAsia" w:hAnsi="StobiSerif Regular" w:cstheme="majorBidi"/>
          <w:bCs/>
          <w:lang w:val="en-US"/>
        </w:rPr>
        <w:t>Табела со информации во согласност со член 27 (3) од Секторската спогодба за периодот 01.01.2016- 31.12.2016</w:t>
      </w:r>
    </w:p>
    <w:tbl>
      <w:tblPr>
        <w:tblW w:w="13780" w:type="dxa"/>
        <w:tblInd w:w="108" w:type="dxa"/>
        <w:tblLook w:val="04A0" w:firstRow="1" w:lastRow="0" w:firstColumn="1" w:lastColumn="0" w:noHBand="0" w:noVBand="1"/>
      </w:tblPr>
      <w:tblGrid>
        <w:gridCol w:w="1276"/>
        <w:gridCol w:w="1924"/>
        <w:gridCol w:w="1780"/>
        <w:gridCol w:w="1460"/>
        <w:gridCol w:w="1460"/>
        <w:gridCol w:w="2200"/>
        <w:gridCol w:w="2260"/>
        <w:gridCol w:w="1420"/>
      </w:tblGrid>
      <w:tr w:rsidR="00B04816" w:rsidRPr="00B04816" w:rsidTr="00677FC7">
        <w:trPr>
          <w:trHeight w:val="435"/>
        </w:trPr>
        <w:tc>
          <w:tcPr>
            <w:tcW w:w="13780" w:type="dxa"/>
            <w:gridSpan w:val="8"/>
            <w:tcBorders>
              <w:top w:val="nil"/>
              <w:left w:val="nil"/>
              <w:bottom w:val="single" w:sz="8" w:space="0" w:color="000000"/>
              <w:right w:val="nil"/>
            </w:tcBorders>
            <w:shd w:val="clear" w:color="auto" w:fill="auto"/>
            <w:vAlign w:val="bottom"/>
            <w:hideMark/>
          </w:tcPr>
          <w:p w:rsidR="00B04816" w:rsidRPr="00B04816" w:rsidRDefault="00B04816" w:rsidP="00B04816">
            <w:pPr>
              <w:spacing w:after="0" w:line="240" w:lineRule="auto"/>
              <w:jc w:val="center"/>
              <w:rPr>
                <w:rFonts w:ascii="StobiSerif Regular" w:eastAsia="Times New Roman" w:hAnsi="StobiSerif Regular" w:cs="Times New Roman"/>
                <w:b/>
                <w:bCs/>
                <w:color w:val="000000"/>
                <w:sz w:val="16"/>
                <w:szCs w:val="16"/>
                <w:lang w:eastAsia="mk-MK"/>
              </w:rPr>
            </w:pPr>
            <w:r w:rsidRPr="00B04816">
              <w:rPr>
                <w:rFonts w:ascii="StobiSerif Regular" w:eastAsia="Times New Roman" w:hAnsi="StobiSerif Regular" w:cs="Times New Roman"/>
                <w:b/>
                <w:bCs/>
                <w:color w:val="000000"/>
                <w:sz w:val="16"/>
                <w:szCs w:val="16"/>
                <w:lang w:eastAsia="mk-MK"/>
              </w:rPr>
              <w:t>Извршени контроли на апликации за одобрување</w:t>
            </w:r>
          </w:p>
        </w:tc>
      </w:tr>
      <w:tr w:rsidR="00B04816" w:rsidRPr="00B04816" w:rsidTr="00677FC7">
        <w:trPr>
          <w:trHeight w:val="1710"/>
        </w:trPr>
        <w:tc>
          <w:tcPr>
            <w:tcW w:w="1276" w:type="dxa"/>
            <w:tcBorders>
              <w:top w:val="nil"/>
              <w:left w:val="single" w:sz="8" w:space="0" w:color="000000"/>
              <w:bottom w:val="single" w:sz="4" w:space="0" w:color="000000"/>
              <w:right w:val="single" w:sz="4" w:space="0" w:color="000000"/>
            </w:tcBorders>
            <w:shd w:val="clear" w:color="808080" w:fill="969696"/>
            <w:noWrap/>
            <w:vAlign w:val="bottom"/>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 </w:t>
            </w:r>
          </w:p>
        </w:tc>
        <w:tc>
          <w:tcPr>
            <w:tcW w:w="1924"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Бројот на примени апликации</w:t>
            </w:r>
          </w:p>
        </w:tc>
        <w:tc>
          <w:tcPr>
            <w:tcW w:w="1780"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Административни контроли од страна на ИПАРД Агенција</w:t>
            </w:r>
          </w:p>
        </w:tc>
        <w:tc>
          <w:tcPr>
            <w:tcW w:w="1460"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Проверка на местото на апликациите од страна на ИПАРД Агенција</w:t>
            </w:r>
          </w:p>
        </w:tc>
        <w:tc>
          <w:tcPr>
            <w:tcW w:w="1460"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Потпишани договори</w:t>
            </w:r>
          </w:p>
        </w:tc>
        <w:tc>
          <w:tcPr>
            <w:tcW w:w="2200"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Договорена сума</w:t>
            </w:r>
          </w:p>
        </w:tc>
        <w:tc>
          <w:tcPr>
            <w:tcW w:w="2260"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Намалувања</w:t>
            </w:r>
            <w:r w:rsidRPr="00B04816">
              <w:rPr>
                <w:rFonts w:ascii="StobiSerif Regular" w:eastAsia="Times New Roman" w:hAnsi="StobiSerif Regular" w:cs="Times New Roman"/>
                <w:sz w:val="16"/>
                <w:szCs w:val="16"/>
                <w:vertAlign w:val="superscript"/>
                <w:lang w:eastAsia="mk-MK"/>
              </w:rPr>
              <w:footnoteReference w:id="6"/>
            </w:r>
          </w:p>
        </w:tc>
        <w:tc>
          <w:tcPr>
            <w:tcW w:w="1420" w:type="dxa"/>
            <w:tcBorders>
              <w:top w:val="nil"/>
              <w:left w:val="nil"/>
              <w:bottom w:val="single" w:sz="4" w:space="0" w:color="000000"/>
              <w:right w:val="single" w:sz="8"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Намалувања</w:t>
            </w:r>
            <w:r w:rsidRPr="00B04816">
              <w:rPr>
                <w:rFonts w:ascii="StobiSerif Regular" w:eastAsia="Times New Roman" w:hAnsi="StobiSerif Regular" w:cs="Times New Roman"/>
                <w:sz w:val="16"/>
                <w:szCs w:val="16"/>
                <w:lang w:eastAsia="mk-MK"/>
              </w:rPr>
              <w:br/>
              <w:t xml:space="preserve"> %</w:t>
            </w:r>
          </w:p>
        </w:tc>
      </w:tr>
      <w:tr w:rsidR="00B04816" w:rsidRPr="00B04816" w:rsidTr="00677FC7">
        <w:trPr>
          <w:trHeight w:val="375"/>
        </w:trPr>
        <w:tc>
          <w:tcPr>
            <w:tcW w:w="1276" w:type="dxa"/>
            <w:tcBorders>
              <w:top w:val="nil"/>
              <w:left w:val="single" w:sz="8" w:space="0" w:color="000000"/>
              <w:bottom w:val="single" w:sz="4" w:space="0" w:color="000000"/>
              <w:right w:val="single" w:sz="4" w:space="0" w:color="000000"/>
            </w:tcBorders>
            <w:shd w:val="clear" w:color="808080" w:fill="969696"/>
            <w:noWrap/>
            <w:vAlign w:val="bottom"/>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 </w:t>
            </w:r>
          </w:p>
        </w:tc>
        <w:tc>
          <w:tcPr>
            <w:tcW w:w="1924"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1</w:t>
            </w:r>
          </w:p>
        </w:tc>
        <w:tc>
          <w:tcPr>
            <w:tcW w:w="1780"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2</w:t>
            </w:r>
          </w:p>
        </w:tc>
        <w:tc>
          <w:tcPr>
            <w:tcW w:w="1460"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3</w:t>
            </w:r>
          </w:p>
        </w:tc>
        <w:tc>
          <w:tcPr>
            <w:tcW w:w="1460"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4</w:t>
            </w:r>
          </w:p>
        </w:tc>
        <w:tc>
          <w:tcPr>
            <w:tcW w:w="2200" w:type="dxa"/>
            <w:tcBorders>
              <w:top w:val="nil"/>
              <w:left w:val="nil"/>
              <w:bottom w:val="single" w:sz="4" w:space="0" w:color="000000"/>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5</w:t>
            </w:r>
          </w:p>
        </w:tc>
        <w:tc>
          <w:tcPr>
            <w:tcW w:w="2260" w:type="dxa"/>
            <w:tcBorders>
              <w:top w:val="nil"/>
              <w:left w:val="nil"/>
              <w:bottom w:val="nil"/>
              <w:right w:val="single" w:sz="4"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6</w:t>
            </w:r>
          </w:p>
        </w:tc>
        <w:tc>
          <w:tcPr>
            <w:tcW w:w="1420" w:type="dxa"/>
            <w:tcBorders>
              <w:top w:val="nil"/>
              <w:left w:val="nil"/>
              <w:bottom w:val="nil"/>
              <w:right w:val="single" w:sz="8" w:space="0" w:color="000000"/>
            </w:tcBorders>
            <w:shd w:val="clear" w:color="808080" w:fill="969696"/>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7=6/5</w:t>
            </w:r>
          </w:p>
        </w:tc>
      </w:tr>
      <w:tr w:rsidR="00B04816" w:rsidRPr="00B04816" w:rsidTr="00677FC7">
        <w:trPr>
          <w:trHeight w:val="375"/>
        </w:trPr>
        <w:tc>
          <w:tcPr>
            <w:tcW w:w="1276" w:type="dxa"/>
            <w:tcBorders>
              <w:top w:val="nil"/>
              <w:left w:val="single" w:sz="8" w:space="0" w:color="000000"/>
              <w:bottom w:val="single" w:sz="4" w:space="0" w:color="000000"/>
              <w:right w:val="single" w:sz="4" w:space="0" w:color="000000"/>
            </w:tcBorders>
            <w:shd w:val="clear" w:color="CCCCFF" w:fill="C0C0C0"/>
            <w:vAlign w:val="bottom"/>
            <w:hideMark/>
          </w:tcPr>
          <w:p w:rsidR="00B04816" w:rsidRPr="00B04816" w:rsidRDefault="00B04816" w:rsidP="00B04816">
            <w:pPr>
              <w:spacing w:after="0" w:line="240" w:lineRule="auto"/>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Мерка 101</w:t>
            </w:r>
          </w:p>
        </w:tc>
        <w:tc>
          <w:tcPr>
            <w:tcW w:w="1924"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0</w:t>
            </w:r>
          </w:p>
        </w:tc>
        <w:tc>
          <w:tcPr>
            <w:tcW w:w="178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989</w:t>
            </w:r>
          </w:p>
        </w:tc>
        <w:tc>
          <w:tcPr>
            <w:tcW w:w="146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521</w:t>
            </w:r>
          </w:p>
        </w:tc>
        <w:tc>
          <w:tcPr>
            <w:tcW w:w="146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541</w:t>
            </w:r>
          </w:p>
        </w:tc>
        <w:tc>
          <w:tcPr>
            <w:tcW w:w="220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right"/>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4,886,213.64 €</w:t>
            </w:r>
          </w:p>
        </w:tc>
        <w:tc>
          <w:tcPr>
            <w:tcW w:w="2260" w:type="dxa"/>
            <w:tcBorders>
              <w:top w:val="single" w:sz="4" w:space="0" w:color="000000"/>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right"/>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945,945 €</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19.36%</w:t>
            </w:r>
          </w:p>
        </w:tc>
      </w:tr>
      <w:tr w:rsidR="00B04816" w:rsidRPr="00B04816" w:rsidTr="00677FC7">
        <w:trPr>
          <w:trHeight w:val="375"/>
        </w:trPr>
        <w:tc>
          <w:tcPr>
            <w:tcW w:w="1276" w:type="dxa"/>
            <w:tcBorders>
              <w:top w:val="nil"/>
              <w:left w:val="single" w:sz="8" w:space="0" w:color="000000"/>
              <w:bottom w:val="single" w:sz="4" w:space="0" w:color="000000"/>
              <w:right w:val="single" w:sz="4" w:space="0" w:color="000000"/>
            </w:tcBorders>
            <w:shd w:val="clear" w:color="CCCCFF" w:fill="C0C0C0"/>
            <w:vAlign w:val="bottom"/>
            <w:hideMark/>
          </w:tcPr>
          <w:p w:rsidR="00B04816" w:rsidRPr="00B04816" w:rsidRDefault="00B04816" w:rsidP="00B04816">
            <w:pPr>
              <w:spacing w:after="0" w:line="240" w:lineRule="auto"/>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Mерка 103</w:t>
            </w:r>
          </w:p>
        </w:tc>
        <w:tc>
          <w:tcPr>
            <w:tcW w:w="1924"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0</w:t>
            </w:r>
          </w:p>
        </w:tc>
        <w:tc>
          <w:tcPr>
            <w:tcW w:w="178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14</w:t>
            </w:r>
          </w:p>
        </w:tc>
        <w:tc>
          <w:tcPr>
            <w:tcW w:w="146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6</w:t>
            </w:r>
          </w:p>
        </w:tc>
        <w:tc>
          <w:tcPr>
            <w:tcW w:w="146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8</w:t>
            </w:r>
          </w:p>
        </w:tc>
        <w:tc>
          <w:tcPr>
            <w:tcW w:w="220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right"/>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2,924,162.27 €</w:t>
            </w:r>
          </w:p>
        </w:tc>
        <w:tc>
          <w:tcPr>
            <w:tcW w:w="226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right"/>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32,415 €</w:t>
            </w:r>
          </w:p>
        </w:tc>
        <w:tc>
          <w:tcPr>
            <w:tcW w:w="142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1.11%</w:t>
            </w:r>
          </w:p>
        </w:tc>
      </w:tr>
      <w:tr w:rsidR="00B04816" w:rsidRPr="00B04816" w:rsidTr="00677FC7">
        <w:trPr>
          <w:trHeight w:val="375"/>
        </w:trPr>
        <w:tc>
          <w:tcPr>
            <w:tcW w:w="1276" w:type="dxa"/>
            <w:tcBorders>
              <w:top w:val="nil"/>
              <w:left w:val="single" w:sz="8" w:space="0" w:color="000000"/>
              <w:bottom w:val="single" w:sz="4" w:space="0" w:color="000000"/>
              <w:right w:val="single" w:sz="4" w:space="0" w:color="000000"/>
            </w:tcBorders>
            <w:shd w:val="clear" w:color="CCCCFF" w:fill="C0C0C0"/>
            <w:vAlign w:val="bottom"/>
            <w:hideMark/>
          </w:tcPr>
          <w:p w:rsidR="00B04816" w:rsidRPr="00B04816" w:rsidRDefault="00B04816" w:rsidP="00B04816">
            <w:pPr>
              <w:spacing w:after="0" w:line="240" w:lineRule="auto"/>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Meрка 302</w:t>
            </w:r>
          </w:p>
        </w:tc>
        <w:tc>
          <w:tcPr>
            <w:tcW w:w="1924"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0</w:t>
            </w:r>
          </w:p>
        </w:tc>
        <w:tc>
          <w:tcPr>
            <w:tcW w:w="178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39</w:t>
            </w:r>
          </w:p>
        </w:tc>
        <w:tc>
          <w:tcPr>
            <w:tcW w:w="146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8</w:t>
            </w:r>
          </w:p>
        </w:tc>
        <w:tc>
          <w:tcPr>
            <w:tcW w:w="146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10</w:t>
            </w:r>
          </w:p>
        </w:tc>
        <w:tc>
          <w:tcPr>
            <w:tcW w:w="220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right"/>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718,599.47 €</w:t>
            </w:r>
          </w:p>
        </w:tc>
        <w:tc>
          <w:tcPr>
            <w:tcW w:w="226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right"/>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4,052 €</w:t>
            </w:r>
          </w:p>
        </w:tc>
        <w:tc>
          <w:tcPr>
            <w:tcW w:w="142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0.56%</w:t>
            </w:r>
          </w:p>
        </w:tc>
      </w:tr>
      <w:tr w:rsidR="00B04816" w:rsidRPr="00B04816" w:rsidTr="00677FC7">
        <w:trPr>
          <w:trHeight w:val="375"/>
        </w:trPr>
        <w:tc>
          <w:tcPr>
            <w:tcW w:w="1276" w:type="dxa"/>
            <w:tcBorders>
              <w:top w:val="nil"/>
              <w:left w:val="single" w:sz="8" w:space="0" w:color="000000"/>
              <w:bottom w:val="nil"/>
              <w:right w:val="single" w:sz="4" w:space="0" w:color="000000"/>
            </w:tcBorders>
            <w:shd w:val="clear" w:color="CCCCFF" w:fill="C0C0C0"/>
            <w:vAlign w:val="bottom"/>
            <w:hideMark/>
          </w:tcPr>
          <w:p w:rsidR="00B04816" w:rsidRPr="00B04816" w:rsidRDefault="00B04816" w:rsidP="00B04816">
            <w:pPr>
              <w:spacing w:after="0" w:line="240" w:lineRule="auto"/>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Mерка 501</w:t>
            </w:r>
          </w:p>
        </w:tc>
        <w:tc>
          <w:tcPr>
            <w:tcW w:w="1924" w:type="dxa"/>
            <w:tcBorders>
              <w:top w:val="nil"/>
              <w:left w:val="nil"/>
              <w:bottom w:val="nil"/>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1</w:t>
            </w:r>
          </w:p>
        </w:tc>
        <w:tc>
          <w:tcPr>
            <w:tcW w:w="1780" w:type="dxa"/>
            <w:tcBorders>
              <w:top w:val="nil"/>
              <w:left w:val="nil"/>
              <w:bottom w:val="nil"/>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1</w:t>
            </w:r>
          </w:p>
        </w:tc>
        <w:tc>
          <w:tcPr>
            <w:tcW w:w="1460" w:type="dxa"/>
            <w:tcBorders>
              <w:top w:val="nil"/>
              <w:left w:val="nil"/>
              <w:bottom w:val="nil"/>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0</w:t>
            </w:r>
          </w:p>
        </w:tc>
        <w:tc>
          <w:tcPr>
            <w:tcW w:w="1460" w:type="dxa"/>
            <w:tcBorders>
              <w:top w:val="nil"/>
              <w:left w:val="nil"/>
              <w:bottom w:val="nil"/>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1</w:t>
            </w:r>
          </w:p>
        </w:tc>
        <w:tc>
          <w:tcPr>
            <w:tcW w:w="2200" w:type="dxa"/>
            <w:tcBorders>
              <w:top w:val="nil"/>
              <w:left w:val="nil"/>
              <w:bottom w:val="nil"/>
              <w:right w:val="single" w:sz="4" w:space="0" w:color="000000"/>
            </w:tcBorders>
            <w:shd w:val="clear" w:color="auto" w:fill="auto"/>
            <w:noWrap/>
            <w:vAlign w:val="center"/>
            <w:hideMark/>
          </w:tcPr>
          <w:p w:rsidR="00B04816" w:rsidRPr="00B04816" w:rsidRDefault="00B04816" w:rsidP="00B04816">
            <w:pPr>
              <w:spacing w:after="0" w:line="240" w:lineRule="auto"/>
              <w:jc w:val="right"/>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1,554.81 €</w:t>
            </w:r>
          </w:p>
        </w:tc>
        <w:tc>
          <w:tcPr>
            <w:tcW w:w="2260" w:type="dxa"/>
            <w:tcBorders>
              <w:top w:val="nil"/>
              <w:left w:val="nil"/>
              <w:bottom w:val="nil"/>
              <w:right w:val="single" w:sz="4" w:space="0" w:color="000000"/>
            </w:tcBorders>
            <w:shd w:val="clear" w:color="auto" w:fill="auto"/>
            <w:noWrap/>
            <w:vAlign w:val="center"/>
            <w:hideMark/>
          </w:tcPr>
          <w:p w:rsidR="00B04816" w:rsidRPr="00B04816" w:rsidRDefault="00B04816" w:rsidP="00B04816">
            <w:pPr>
              <w:spacing w:after="0" w:line="240" w:lineRule="auto"/>
              <w:jc w:val="right"/>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0 €</w:t>
            </w:r>
          </w:p>
        </w:tc>
        <w:tc>
          <w:tcPr>
            <w:tcW w:w="1420" w:type="dxa"/>
            <w:tcBorders>
              <w:top w:val="nil"/>
              <w:left w:val="nil"/>
              <w:bottom w:val="single" w:sz="4" w:space="0" w:color="000000"/>
              <w:right w:val="single" w:sz="4" w:space="0" w:color="000000"/>
            </w:tcBorders>
            <w:shd w:val="clear" w:color="auto" w:fill="auto"/>
            <w:noWrap/>
            <w:vAlign w:val="center"/>
            <w:hideMark/>
          </w:tcPr>
          <w:p w:rsidR="00B04816" w:rsidRPr="00B04816" w:rsidRDefault="00B04816" w:rsidP="00B04816">
            <w:pPr>
              <w:spacing w:after="0" w:line="240" w:lineRule="auto"/>
              <w:jc w:val="center"/>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0.00%</w:t>
            </w:r>
          </w:p>
        </w:tc>
      </w:tr>
      <w:tr w:rsidR="00B04816" w:rsidRPr="00B04816" w:rsidTr="00677FC7">
        <w:trPr>
          <w:trHeight w:val="390"/>
        </w:trPr>
        <w:tc>
          <w:tcPr>
            <w:tcW w:w="1276" w:type="dxa"/>
            <w:tcBorders>
              <w:top w:val="single" w:sz="4" w:space="0" w:color="000000"/>
              <w:left w:val="single" w:sz="8" w:space="0" w:color="000000"/>
              <w:bottom w:val="single" w:sz="8" w:space="0" w:color="000000"/>
              <w:right w:val="single" w:sz="4" w:space="0" w:color="000000"/>
            </w:tcBorders>
            <w:shd w:val="clear" w:color="CCCCFF" w:fill="C0C0C0"/>
            <w:vAlign w:val="bottom"/>
            <w:hideMark/>
          </w:tcPr>
          <w:p w:rsidR="00B04816" w:rsidRPr="00B04816" w:rsidRDefault="00B04816" w:rsidP="00B04816">
            <w:pPr>
              <w:spacing w:after="0" w:line="240" w:lineRule="auto"/>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Вкупно</w:t>
            </w:r>
          </w:p>
        </w:tc>
        <w:tc>
          <w:tcPr>
            <w:tcW w:w="1924" w:type="dxa"/>
            <w:tcBorders>
              <w:top w:val="single" w:sz="4" w:space="0" w:color="000000"/>
              <w:left w:val="nil"/>
              <w:bottom w:val="single" w:sz="8" w:space="0" w:color="000000"/>
              <w:right w:val="single" w:sz="4" w:space="0" w:color="000000"/>
            </w:tcBorders>
            <w:shd w:val="clear" w:color="CCCCFF" w:fill="C0C0C0"/>
            <w:noWrap/>
            <w:vAlign w:val="bottom"/>
            <w:hideMark/>
          </w:tcPr>
          <w:p w:rsidR="00B04816" w:rsidRPr="00B04816" w:rsidRDefault="00B04816" w:rsidP="00B04816">
            <w:pPr>
              <w:spacing w:after="0" w:line="240" w:lineRule="auto"/>
              <w:jc w:val="center"/>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1</w:t>
            </w:r>
          </w:p>
        </w:tc>
        <w:tc>
          <w:tcPr>
            <w:tcW w:w="1780" w:type="dxa"/>
            <w:tcBorders>
              <w:top w:val="single" w:sz="4" w:space="0" w:color="000000"/>
              <w:left w:val="nil"/>
              <w:bottom w:val="single" w:sz="8" w:space="0" w:color="000000"/>
              <w:right w:val="single" w:sz="4" w:space="0" w:color="000000"/>
            </w:tcBorders>
            <w:shd w:val="clear" w:color="CCCCFF" w:fill="C0C0C0"/>
            <w:noWrap/>
            <w:vAlign w:val="bottom"/>
            <w:hideMark/>
          </w:tcPr>
          <w:p w:rsidR="00B04816" w:rsidRPr="00B04816" w:rsidRDefault="00B04816" w:rsidP="00B04816">
            <w:pPr>
              <w:spacing w:after="0" w:line="240" w:lineRule="auto"/>
              <w:jc w:val="center"/>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1043</w:t>
            </w:r>
          </w:p>
        </w:tc>
        <w:tc>
          <w:tcPr>
            <w:tcW w:w="1460" w:type="dxa"/>
            <w:tcBorders>
              <w:top w:val="single" w:sz="4" w:space="0" w:color="000000"/>
              <w:left w:val="nil"/>
              <w:bottom w:val="single" w:sz="8" w:space="0" w:color="000000"/>
              <w:right w:val="single" w:sz="4" w:space="0" w:color="000000"/>
            </w:tcBorders>
            <w:shd w:val="clear" w:color="CCCCFF" w:fill="C0C0C0"/>
            <w:noWrap/>
            <w:vAlign w:val="bottom"/>
            <w:hideMark/>
          </w:tcPr>
          <w:p w:rsidR="00B04816" w:rsidRPr="00B04816" w:rsidRDefault="00B04816" w:rsidP="00B04816">
            <w:pPr>
              <w:spacing w:after="0" w:line="240" w:lineRule="auto"/>
              <w:jc w:val="center"/>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535</w:t>
            </w:r>
          </w:p>
        </w:tc>
        <w:tc>
          <w:tcPr>
            <w:tcW w:w="1460" w:type="dxa"/>
            <w:tcBorders>
              <w:top w:val="single" w:sz="4" w:space="0" w:color="000000"/>
              <w:left w:val="nil"/>
              <w:bottom w:val="single" w:sz="8" w:space="0" w:color="000000"/>
              <w:right w:val="single" w:sz="4" w:space="0" w:color="000000"/>
            </w:tcBorders>
            <w:shd w:val="clear" w:color="CCCCFF" w:fill="C0C0C0"/>
            <w:noWrap/>
            <w:vAlign w:val="bottom"/>
            <w:hideMark/>
          </w:tcPr>
          <w:p w:rsidR="00B04816" w:rsidRPr="00B04816" w:rsidRDefault="00B04816" w:rsidP="00B04816">
            <w:pPr>
              <w:spacing w:after="0" w:line="240" w:lineRule="auto"/>
              <w:jc w:val="center"/>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560</w:t>
            </w:r>
          </w:p>
        </w:tc>
        <w:tc>
          <w:tcPr>
            <w:tcW w:w="2200" w:type="dxa"/>
            <w:tcBorders>
              <w:top w:val="single" w:sz="4" w:space="0" w:color="000000"/>
              <w:left w:val="nil"/>
              <w:bottom w:val="single" w:sz="8" w:space="0" w:color="000000"/>
              <w:right w:val="single" w:sz="4" w:space="0" w:color="000000"/>
            </w:tcBorders>
            <w:shd w:val="clear" w:color="CCCCFF" w:fill="C0C0C0"/>
            <w:noWrap/>
            <w:vAlign w:val="center"/>
            <w:hideMark/>
          </w:tcPr>
          <w:p w:rsidR="00B04816" w:rsidRPr="00B04816" w:rsidRDefault="00B04816" w:rsidP="00B04816">
            <w:pPr>
              <w:spacing w:after="0" w:line="240" w:lineRule="auto"/>
              <w:jc w:val="right"/>
              <w:rPr>
                <w:rFonts w:ascii="StobiSerif Regular" w:eastAsia="Times New Roman" w:hAnsi="StobiSerif Regular" w:cs="Times New Roman"/>
                <w:color w:val="000000"/>
                <w:sz w:val="16"/>
                <w:szCs w:val="16"/>
                <w:lang w:eastAsia="mk-MK"/>
              </w:rPr>
            </w:pPr>
            <w:r w:rsidRPr="00B04816">
              <w:rPr>
                <w:rFonts w:ascii="StobiSerif Regular" w:eastAsia="Times New Roman" w:hAnsi="StobiSerif Regular" w:cs="Times New Roman"/>
                <w:color w:val="000000"/>
                <w:sz w:val="16"/>
                <w:szCs w:val="16"/>
                <w:lang w:eastAsia="mk-MK"/>
              </w:rPr>
              <w:t>8,530,530 €</w:t>
            </w:r>
          </w:p>
        </w:tc>
        <w:tc>
          <w:tcPr>
            <w:tcW w:w="2260" w:type="dxa"/>
            <w:tcBorders>
              <w:top w:val="nil"/>
              <w:left w:val="nil"/>
              <w:bottom w:val="single" w:sz="8" w:space="0" w:color="000000"/>
              <w:right w:val="single" w:sz="4" w:space="0" w:color="000000"/>
            </w:tcBorders>
            <w:shd w:val="clear" w:color="CCCCFF" w:fill="C0C0C0"/>
            <w:vAlign w:val="center"/>
            <w:hideMark/>
          </w:tcPr>
          <w:p w:rsidR="00B04816" w:rsidRPr="00B04816" w:rsidRDefault="00B04816" w:rsidP="00B04816">
            <w:pPr>
              <w:spacing w:after="0" w:line="240" w:lineRule="auto"/>
              <w:jc w:val="right"/>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982,412 €</w:t>
            </w:r>
          </w:p>
        </w:tc>
        <w:tc>
          <w:tcPr>
            <w:tcW w:w="1420" w:type="dxa"/>
            <w:tcBorders>
              <w:top w:val="nil"/>
              <w:left w:val="nil"/>
              <w:bottom w:val="single" w:sz="8" w:space="0" w:color="000000"/>
              <w:right w:val="single" w:sz="8" w:space="0" w:color="000000"/>
            </w:tcBorders>
            <w:shd w:val="clear" w:color="CCCCFF" w:fill="C0C0C0"/>
            <w:vAlign w:val="center"/>
            <w:hideMark/>
          </w:tcPr>
          <w:p w:rsidR="00B04816" w:rsidRPr="00B04816" w:rsidRDefault="00B04816" w:rsidP="00B04816">
            <w:pPr>
              <w:spacing w:after="0" w:line="240" w:lineRule="auto"/>
              <w:jc w:val="center"/>
              <w:rPr>
                <w:rFonts w:ascii="StobiSerif Regular" w:eastAsia="Times New Roman" w:hAnsi="StobiSerif Regular" w:cs="Times New Roman"/>
                <w:sz w:val="16"/>
                <w:szCs w:val="16"/>
                <w:lang w:eastAsia="mk-MK"/>
              </w:rPr>
            </w:pPr>
            <w:r w:rsidRPr="00B04816">
              <w:rPr>
                <w:rFonts w:ascii="StobiSerif Regular" w:eastAsia="Times New Roman" w:hAnsi="StobiSerif Regular" w:cs="Times New Roman"/>
                <w:sz w:val="16"/>
                <w:szCs w:val="16"/>
                <w:lang w:eastAsia="mk-MK"/>
              </w:rPr>
              <w:t>11.52%</w:t>
            </w:r>
          </w:p>
        </w:tc>
      </w:tr>
      <w:tr w:rsidR="00B04816" w:rsidRPr="00B04816" w:rsidTr="00677FC7">
        <w:trPr>
          <w:trHeight w:val="465"/>
        </w:trPr>
        <w:tc>
          <w:tcPr>
            <w:tcW w:w="1276" w:type="dxa"/>
            <w:tcBorders>
              <w:top w:val="nil"/>
              <w:left w:val="nil"/>
              <w:bottom w:val="nil"/>
              <w:right w:val="nil"/>
            </w:tcBorders>
            <w:shd w:val="clear" w:color="auto" w:fill="auto"/>
            <w:vAlign w:val="bottom"/>
            <w:hideMark/>
          </w:tcPr>
          <w:p w:rsidR="00B04816" w:rsidRPr="00B04816" w:rsidRDefault="00B04816" w:rsidP="00B04816">
            <w:pPr>
              <w:spacing w:after="0" w:line="240" w:lineRule="auto"/>
              <w:rPr>
                <w:rFonts w:ascii="StobiSerif Regular" w:eastAsia="Times New Roman" w:hAnsi="StobiSerif Regular" w:cs="Times New Roman"/>
                <w:sz w:val="16"/>
                <w:szCs w:val="16"/>
                <w:lang w:eastAsia="mk-MK"/>
              </w:rPr>
            </w:pPr>
          </w:p>
        </w:tc>
        <w:tc>
          <w:tcPr>
            <w:tcW w:w="1924" w:type="dxa"/>
            <w:tcBorders>
              <w:top w:val="nil"/>
              <w:left w:val="nil"/>
              <w:bottom w:val="nil"/>
              <w:right w:val="nil"/>
            </w:tcBorders>
            <w:shd w:val="clear" w:color="auto" w:fill="auto"/>
            <w:noWrap/>
            <w:vAlign w:val="bottom"/>
            <w:hideMark/>
          </w:tcPr>
          <w:p w:rsidR="00B04816" w:rsidRPr="00B04816" w:rsidRDefault="00B04816" w:rsidP="00B04816">
            <w:pPr>
              <w:spacing w:after="0" w:line="240" w:lineRule="auto"/>
              <w:rPr>
                <w:rFonts w:ascii="StobiSerif Regular" w:eastAsia="Times New Roman" w:hAnsi="StobiSerif Regular" w:cs="Times New Roman"/>
                <w:color w:val="000000"/>
                <w:sz w:val="16"/>
                <w:szCs w:val="16"/>
                <w:lang w:eastAsia="mk-MK"/>
              </w:rPr>
            </w:pPr>
          </w:p>
        </w:tc>
        <w:tc>
          <w:tcPr>
            <w:tcW w:w="10580" w:type="dxa"/>
            <w:gridSpan w:val="6"/>
            <w:tcBorders>
              <w:top w:val="single" w:sz="8" w:space="0" w:color="000000"/>
              <w:left w:val="nil"/>
              <w:bottom w:val="nil"/>
              <w:right w:val="nil"/>
            </w:tcBorders>
            <w:shd w:val="clear" w:color="auto" w:fill="auto"/>
            <w:vAlign w:val="center"/>
            <w:hideMark/>
          </w:tcPr>
          <w:p w:rsidR="00B04816" w:rsidRPr="00B04816" w:rsidRDefault="00B04816" w:rsidP="00B04816">
            <w:pPr>
              <w:spacing w:after="0" w:line="240" w:lineRule="auto"/>
              <w:jc w:val="right"/>
              <w:rPr>
                <w:rFonts w:ascii="StobiSerif Regular" w:eastAsia="Times New Roman" w:hAnsi="StobiSerif Regular" w:cs="Times New Roman"/>
                <w:i/>
                <w:iCs/>
                <w:sz w:val="16"/>
                <w:szCs w:val="16"/>
                <w:lang w:eastAsia="mk-MK"/>
              </w:rPr>
            </w:pPr>
            <w:r w:rsidRPr="00B04816">
              <w:rPr>
                <w:rFonts w:ascii="StobiSerif Regular" w:eastAsia="Times New Roman" w:hAnsi="StobiSerif Regular" w:cs="Times New Roman"/>
                <w:i/>
                <w:iCs/>
                <w:sz w:val="16"/>
                <w:szCs w:val="16"/>
                <w:lang w:eastAsia="mk-MK"/>
              </w:rPr>
              <w:t>(Податоците се во евра и се однесуваат на вкупните јавни трошоци)</w:t>
            </w:r>
          </w:p>
        </w:tc>
      </w:tr>
    </w:tbl>
    <w:p w:rsidR="00F9112B" w:rsidRDefault="00F9112B" w:rsidP="00F9112B">
      <w:pPr>
        <w:spacing w:before="120" w:after="120"/>
        <w:rPr>
          <w:rFonts w:ascii="StobiSerif Regular" w:hAnsi="StobiSerif Regular"/>
          <w:lang w:val="en-US" w:eastAsia="mk-MK"/>
        </w:rPr>
      </w:pPr>
    </w:p>
    <w:p w:rsidR="00F05752" w:rsidRDefault="00B04816" w:rsidP="00B04816">
      <w:pPr>
        <w:tabs>
          <w:tab w:val="left" w:pos="6226"/>
        </w:tabs>
        <w:spacing w:before="120" w:after="120"/>
        <w:rPr>
          <w:rFonts w:ascii="StobiSerif Regular" w:hAnsi="StobiSerif Regular"/>
          <w:lang w:eastAsia="mk-MK"/>
        </w:rPr>
      </w:pPr>
      <w:r>
        <w:rPr>
          <w:rFonts w:ascii="StobiSerif Regular" w:hAnsi="StobiSerif Regular"/>
          <w:lang w:val="en-US" w:eastAsia="mk-MK"/>
        </w:rPr>
        <w:tab/>
      </w:r>
    </w:p>
    <w:p w:rsidR="00B04816" w:rsidRDefault="00B04816" w:rsidP="00B04816">
      <w:pPr>
        <w:tabs>
          <w:tab w:val="left" w:pos="6226"/>
        </w:tabs>
        <w:spacing w:before="120" w:after="120"/>
        <w:rPr>
          <w:rFonts w:ascii="StobiSerif Regular" w:hAnsi="StobiSerif Regular"/>
          <w:lang w:eastAsia="mk-MK"/>
        </w:rPr>
      </w:pPr>
    </w:p>
    <w:p w:rsidR="00B04816" w:rsidRPr="00B04816" w:rsidRDefault="00B04816" w:rsidP="00B04816">
      <w:pPr>
        <w:tabs>
          <w:tab w:val="left" w:pos="6226"/>
        </w:tabs>
        <w:spacing w:before="120" w:after="120"/>
        <w:rPr>
          <w:rFonts w:ascii="StobiSerif Regular" w:hAnsi="StobiSerif Regular"/>
          <w:lang w:eastAsia="mk-MK"/>
        </w:rPr>
      </w:pPr>
    </w:p>
    <w:p w:rsidR="00FF651B" w:rsidRDefault="00FF651B" w:rsidP="00F9112B">
      <w:pPr>
        <w:spacing w:before="120" w:after="120"/>
        <w:rPr>
          <w:rFonts w:ascii="StobiSerif Regular" w:hAnsi="StobiSerif Regular"/>
          <w:lang w:val="en-US" w:eastAsia="mk-MK"/>
        </w:rPr>
      </w:pPr>
    </w:p>
    <w:tbl>
      <w:tblPr>
        <w:tblW w:w="15030" w:type="dxa"/>
        <w:tblLook w:val="04A0" w:firstRow="1" w:lastRow="0" w:firstColumn="1" w:lastColumn="0" w:noHBand="0" w:noVBand="1"/>
      </w:tblPr>
      <w:tblGrid>
        <w:gridCol w:w="801"/>
        <w:gridCol w:w="1247"/>
        <w:gridCol w:w="1843"/>
        <w:gridCol w:w="1984"/>
        <w:gridCol w:w="1559"/>
        <w:gridCol w:w="1447"/>
        <w:gridCol w:w="1552"/>
        <w:gridCol w:w="1651"/>
        <w:gridCol w:w="1383"/>
        <w:gridCol w:w="1563"/>
      </w:tblGrid>
      <w:tr w:rsidR="003F5A46" w:rsidRPr="003F5A46" w:rsidTr="00677FC7">
        <w:trPr>
          <w:trHeight w:val="510"/>
        </w:trPr>
        <w:tc>
          <w:tcPr>
            <w:tcW w:w="15030" w:type="dxa"/>
            <w:gridSpan w:val="10"/>
            <w:tcBorders>
              <w:top w:val="nil"/>
              <w:left w:val="nil"/>
              <w:bottom w:val="single" w:sz="8" w:space="0" w:color="000000"/>
              <w:right w:val="nil"/>
            </w:tcBorders>
            <w:shd w:val="clear" w:color="auto" w:fill="auto"/>
            <w:vAlign w:val="center"/>
            <w:hideMark/>
          </w:tcPr>
          <w:p w:rsidR="003F5A46" w:rsidRPr="003F5A46" w:rsidRDefault="003F5A46" w:rsidP="003F5A46">
            <w:pPr>
              <w:spacing w:after="0" w:line="240" w:lineRule="auto"/>
              <w:jc w:val="center"/>
              <w:rPr>
                <w:rFonts w:ascii="StobiSerif Regular" w:eastAsia="Times New Roman" w:hAnsi="StobiSerif Regular" w:cs="Times New Roman"/>
                <w:b/>
                <w:bCs/>
                <w:sz w:val="16"/>
                <w:szCs w:val="16"/>
                <w:lang w:eastAsia="mk-MK"/>
              </w:rPr>
            </w:pPr>
            <w:r w:rsidRPr="003F5A46">
              <w:rPr>
                <w:rFonts w:ascii="StobiSerif Regular" w:eastAsia="Times New Roman" w:hAnsi="StobiSerif Regular" w:cs="Times New Roman"/>
                <w:b/>
                <w:bCs/>
                <w:sz w:val="16"/>
                <w:szCs w:val="16"/>
                <w:lang w:eastAsia="mk-MK"/>
              </w:rPr>
              <w:t>Извршени контроли на барањата за исплата</w:t>
            </w:r>
          </w:p>
        </w:tc>
      </w:tr>
      <w:tr w:rsidR="003F5A46" w:rsidRPr="003F5A46" w:rsidTr="00677FC7">
        <w:trPr>
          <w:trHeight w:val="2025"/>
        </w:trPr>
        <w:tc>
          <w:tcPr>
            <w:tcW w:w="738" w:type="dxa"/>
            <w:tcBorders>
              <w:top w:val="nil"/>
              <w:left w:val="single" w:sz="8" w:space="0" w:color="000000"/>
              <w:bottom w:val="single" w:sz="4" w:space="0" w:color="000000"/>
              <w:right w:val="single" w:sz="4" w:space="0" w:color="000000"/>
            </w:tcBorders>
            <w:shd w:val="clear" w:color="808080" w:fill="969696"/>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p>
        </w:tc>
        <w:tc>
          <w:tcPr>
            <w:tcW w:w="1247"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Број на добиени побарувања за исплата</w:t>
            </w:r>
          </w:p>
        </w:tc>
        <w:tc>
          <w:tcPr>
            <w:tcW w:w="1843"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Вкупна сума на добиени побарувањата за исплата добиени</w:t>
            </w:r>
          </w:p>
        </w:tc>
        <w:tc>
          <w:tcPr>
            <w:tcW w:w="1984"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Административна проверка на барањат за исплата од страна на ИПАРД Агенција</w:t>
            </w:r>
            <w:r w:rsidRPr="003F5A46">
              <w:rPr>
                <w:rFonts w:ascii="StobiSerif Regular" w:eastAsia="Times New Roman" w:hAnsi="StobiSerif Regular" w:cs="Times New Roman"/>
                <w:sz w:val="16"/>
                <w:szCs w:val="16"/>
                <w:vertAlign w:val="superscript"/>
                <w:lang w:eastAsia="mk-MK"/>
              </w:rPr>
              <w:footnoteReference w:id="7"/>
            </w:r>
          </w:p>
        </w:tc>
        <w:tc>
          <w:tcPr>
            <w:tcW w:w="1559"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Контрола на лице место на барањата за исплата од страна на ИПАРД</w:t>
            </w:r>
            <w:r w:rsidRPr="003F5A46">
              <w:t xml:space="preserve"> </w:t>
            </w:r>
            <w:r w:rsidRPr="003F5A46">
              <w:rPr>
                <w:rFonts w:ascii="StobiSerif Regular" w:eastAsia="Times New Roman" w:hAnsi="StobiSerif Regular" w:cs="Times New Roman"/>
                <w:sz w:val="16"/>
                <w:szCs w:val="16"/>
                <w:lang w:eastAsia="mk-MK"/>
              </w:rPr>
              <w:t>Агенција</w:t>
            </w:r>
            <w:r w:rsidRPr="003F5A46">
              <w:rPr>
                <w:rFonts w:ascii="StobiSerif Regular" w:eastAsia="Times New Roman" w:hAnsi="StobiSerif Regular" w:cs="Times New Roman"/>
                <w:sz w:val="16"/>
                <w:szCs w:val="16"/>
                <w:vertAlign w:val="superscript"/>
                <w:lang w:eastAsia="mk-MK"/>
              </w:rPr>
              <w:t xml:space="preserve"> </w:t>
            </w:r>
            <w:r w:rsidRPr="003F5A46">
              <w:rPr>
                <w:rFonts w:ascii="StobiSerif Regular" w:eastAsia="Times New Roman" w:hAnsi="StobiSerif Regular" w:cs="Times New Roman"/>
                <w:sz w:val="16"/>
                <w:szCs w:val="16"/>
                <w:vertAlign w:val="superscript"/>
                <w:lang w:eastAsia="mk-MK"/>
              </w:rPr>
              <w:footnoteReference w:id="8"/>
            </w:r>
          </w:p>
        </w:tc>
        <w:tc>
          <w:tcPr>
            <w:tcW w:w="1510"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Вкупна сума контролирана од страна на ИПАРД Агенција</w:t>
            </w:r>
          </w:p>
        </w:tc>
        <w:tc>
          <w:tcPr>
            <w:tcW w:w="1552"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Авторизиран износ</w:t>
            </w:r>
          </w:p>
        </w:tc>
        <w:tc>
          <w:tcPr>
            <w:tcW w:w="1651"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Намалувања</w:t>
            </w:r>
            <w:r w:rsidRPr="003F5A46">
              <w:rPr>
                <w:rFonts w:ascii="StobiSerif Regular" w:eastAsia="Times New Roman" w:hAnsi="StobiSerif Regular" w:cs="Times New Roman"/>
                <w:sz w:val="16"/>
                <w:szCs w:val="16"/>
                <w:vertAlign w:val="superscript"/>
                <w:lang w:eastAsia="mk-MK"/>
              </w:rPr>
              <w:footnoteReference w:id="9"/>
            </w:r>
          </w:p>
        </w:tc>
        <w:tc>
          <w:tcPr>
            <w:tcW w:w="1383"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Намалувања</w:t>
            </w:r>
            <w:r w:rsidRPr="003F5A46">
              <w:rPr>
                <w:rFonts w:ascii="StobiSerif Regular" w:eastAsia="Times New Roman" w:hAnsi="StobiSerif Regular" w:cs="Times New Roman"/>
                <w:sz w:val="16"/>
                <w:szCs w:val="16"/>
                <w:lang w:eastAsia="mk-MK"/>
              </w:rPr>
              <w:br/>
              <w:t>%</w:t>
            </w:r>
          </w:p>
        </w:tc>
        <w:tc>
          <w:tcPr>
            <w:tcW w:w="1563" w:type="dxa"/>
            <w:tcBorders>
              <w:top w:val="nil"/>
              <w:left w:val="nil"/>
              <w:bottom w:val="single" w:sz="4" w:space="0" w:color="000000"/>
              <w:right w:val="single" w:sz="8"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 xml:space="preserve">Број на ex-post контроли од страна на ИПАРД Агенција </w:t>
            </w:r>
          </w:p>
        </w:tc>
      </w:tr>
      <w:tr w:rsidR="003F5A46" w:rsidRPr="003F5A46" w:rsidTr="00677FC7">
        <w:trPr>
          <w:trHeight w:val="360"/>
        </w:trPr>
        <w:tc>
          <w:tcPr>
            <w:tcW w:w="738" w:type="dxa"/>
            <w:tcBorders>
              <w:top w:val="nil"/>
              <w:left w:val="single" w:sz="8" w:space="0" w:color="000000"/>
              <w:bottom w:val="single" w:sz="4" w:space="0" w:color="000000"/>
              <w:right w:val="single" w:sz="4" w:space="0" w:color="000000"/>
            </w:tcBorders>
            <w:shd w:val="clear" w:color="808080" w:fill="969696"/>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p>
        </w:tc>
        <w:tc>
          <w:tcPr>
            <w:tcW w:w="1247"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1</w:t>
            </w:r>
          </w:p>
        </w:tc>
        <w:tc>
          <w:tcPr>
            <w:tcW w:w="1843"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2</w:t>
            </w:r>
          </w:p>
        </w:tc>
        <w:tc>
          <w:tcPr>
            <w:tcW w:w="1984"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3</w:t>
            </w:r>
          </w:p>
        </w:tc>
        <w:tc>
          <w:tcPr>
            <w:tcW w:w="1559"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4</w:t>
            </w:r>
          </w:p>
        </w:tc>
        <w:tc>
          <w:tcPr>
            <w:tcW w:w="1510"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5</w:t>
            </w:r>
          </w:p>
        </w:tc>
        <w:tc>
          <w:tcPr>
            <w:tcW w:w="1552"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6</w:t>
            </w:r>
          </w:p>
        </w:tc>
        <w:tc>
          <w:tcPr>
            <w:tcW w:w="1651"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7=5-6</w:t>
            </w:r>
          </w:p>
        </w:tc>
        <w:tc>
          <w:tcPr>
            <w:tcW w:w="1383" w:type="dxa"/>
            <w:tcBorders>
              <w:top w:val="nil"/>
              <w:left w:val="nil"/>
              <w:bottom w:val="single" w:sz="4" w:space="0" w:color="000000"/>
              <w:right w:val="single" w:sz="4"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8=7/5</w:t>
            </w:r>
          </w:p>
        </w:tc>
        <w:tc>
          <w:tcPr>
            <w:tcW w:w="1563" w:type="dxa"/>
            <w:tcBorders>
              <w:top w:val="nil"/>
              <w:left w:val="nil"/>
              <w:bottom w:val="single" w:sz="4" w:space="0" w:color="000000"/>
              <w:right w:val="single" w:sz="8" w:space="0" w:color="000000"/>
            </w:tcBorders>
            <w:shd w:val="clear" w:color="808080" w:fill="969696"/>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9</w:t>
            </w:r>
          </w:p>
        </w:tc>
      </w:tr>
      <w:tr w:rsidR="003F5A46" w:rsidRPr="003F5A46" w:rsidTr="00677FC7">
        <w:trPr>
          <w:trHeight w:val="375"/>
        </w:trPr>
        <w:tc>
          <w:tcPr>
            <w:tcW w:w="738" w:type="dxa"/>
            <w:tcBorders>
              <w:top w:val="nil"/>
              <w:left w:val="single" w:sz="8" w:space="0" w:color="000000"/>
              <w:bottom w:val="single" w:sz="4" w:space="0" w:color="000000"/>
              <w:right w:val="single" w:sz="4" w:space="0" w:color="000000"/>
            </w:tcBorders>
            <w:shd w:val="clear" w:color="CCCCFF" w:fill="C0C0C0"/>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M 101</w:t>
            </w:r>
          </w:p>
        </w:tc>
        <w:tc>
          <w:tcPr>
            <w:tcW w:w="1247"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386</w:t>
            </w:r>
          </w:p>
        </w:tc>
        <w:tc>
          <w:tcPr>
            <w:tcW w:w="1843" w:type="dxa"/>
            <w:tcBorders>
              <w:top w:val="nil"/>
              <w:left w:val="nil"/>
              <w:bottom w:val="single" w:sz="4" w:space="0" w:color="000000"/>
              <w:right w:val="single" w:sz="4" w:space="0" w:color="000000"/>
            </w:tcBorders>
            <w:shd w:val="clear" w:color="auto" w:fill="auto"/>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3,611,313.89 €</w:t>
            </w:r>
          </w:p>
        </w:tc>
        <w:tc>
          <w:tcPr>
            <w:tcW w:w="1984"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280</w:t>
            </w:r>
          </w:p>
        </w:tc>
        <w:tc>
          <w:tcPr>
            <w:tcW w:w="1559"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299</w:t>
            </w:r>
          </w:p>
        </w:tc>
        <w:tc>
          <w:tcPr>
            <w:tcW w:w="1510" w:type="dxa"/>
            <w:tcBorders>
              <w:top w:val="nil"/>
              <w:left w:val="nil"/>
              <w:bottom w:val="single" w:sz="4" w:space="0" w:color="000000"/>
              <w:right w:val="single" w:sz="4" w:space="0" w:color="000000"/>
            </w:tcBorders>
            <w:shd w:val="clear" w:color="auto" w:fill="auto"/>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2,548,013 €</w:t>
            </w:r>
          </w:p>
        </w:tc>
        <w:tc>
          <w:tcPr>
            <w:tcW w:w="1552"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right"/>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2,400,259.91 €</w:t>
            </w:r>
          </w:p>
        </w:tc>
        <w:tc>
          <w:tcPr>
            <w:tcW w:w="1651"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right"/>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147,753 €</w:t>
            </w:r>
          </w:p>
        </w:tc>
        <w:tc>
          <w:tcPr>
            <w:tcW w:w="1383"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6%</w:t>
            </w:r>
          </w:p>
        </w:tc>
        <w:tc>
          <w:tcPr>
            <w:tcW w:w="1563" w:type="dxa"/>
            <w:tcBorders>
              <w:top w:val="nil"/>
              <w:left w:val="nil"/>
              <w:bottom w:val="single" w:sz="4" w:space="0" w:color="000000"/>
              <w:right w:val="single" w:sz="8"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137</w:t>
            </w:r>
          </w:p>
        </w:tc>
      </w:tr>
      <w:tr w:rsidR="003F5A46" w:rsidRPr="003F5A46" w:rsidTr="00677FC7">
        <w:trPr>
          <w:trHeight w:val="375"/>
        </w:trPr>
        <w:tc>
          <w:tcPr>
            <w:tcW w:w="738" w:type="dxa"/>
            <w:tcBorders>
              <w:top w:val="nil"/>
              <w:left w:val="single" w:sz="8" w:space="0" w:color="000000"/>
              <w:bottom w:val="single" w:sz="4" w:space="0" w:color="000000"/>
              <w:right w:val="single" w:sz="4" w:space="0" w:color="000000"/>
            </w:tcBorders>
            <w:shd w:val="clear" w:color="CCCCFF" w:fill="C0C0C0"/>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M103</w:t>
            </w:r>
          </w:p>
        </w:tc>
        <w:tc>
          <w:tcPr>
            <w:tcW w:w="1247"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8</w:t>
            </w:r>
          </w:p>
        </w:tc>
        <w:tc>
          <w:tcPr>
            <w:tcW w:w="1843" w:type="dxa"/>
            <w:tcBorders>
              <w:top w:val="nil"/>
              <w:left w:val="nil"/>
              <w:bottom w:val="single" w:sz="4" w:space="0" w:color="000000"/>
              <w:right w:val="single" w:sz="4" w:space="0" w:color="000000"/>
            </w:tcBorders>
            <w:shd w:val="clear" w:color="auto" w:fill="auto"/>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2,306,082.32 €</w:t>
            </w:r>
          </w:p>
        </w:tc>
        <w:tc>
          <w:tcPr>
            <w:tcW w:w="1984"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12</w:t>
            </w:r>
          </w:p>
        </w:tc>
        <w:tc>
          <w:tcPr>
            <w:tcW w:w="1559"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14</w:t>
            </w:r>
          </w:p>
        </w:tc>
        <w:tc>
          <w:tcPr>
            <w:tcW w:w="1510" w:type="dxa"/>
            <w:tcBorders>
              <w:top w:val="nil"/>
              <w:left w:val="nil"/>
              <w:bottom w:val="single" w:sz="4" w:space="0" w:color="000000"/>
              <w:right w:val="single" w:sz="4" w:space="0" w:color="000000"/>
            </w:tcBorders>
            <w:shd w:val="clear" w:color="auto" w:fill="auto"/>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1,704,983 €</w:t>
            </w:r>
          </w:p>
        </w:tc>
        <w:tc>
          <w:tcPr>
            <w:tcW w:w="1552"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right"/>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1,455,767.06 €</w:t>
            </w:r>
          </w:p>
        </w:tc>
        <w:tc>
          <w:tcPr>
            <w:tcW w:w="1651"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right"/>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249,216 €</w:t>
            </w:r>
          </w:p>
        </w:tc>
        <w:tc>
          <w:tcPr>
            <w:tcW w:w="1383"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15%</w:t>
            </w:r>
          </w:p>
        </w:tc>
        <w:tc>
          <w:tcPr>
            <w:tcW w:w="1563" w:type="dxa"/>
            <w:tcBorders>
              <w:top w:val="nil"/>
              <w:left w:val="nil"/>
              <w:bottom w:val="single" w:sz="4" w:space="0" w:color="000000"/>
              <w:right w:val="single" w:sz="8"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6</w:t>
            </w:r>
          </w:p>
        </w:tc>
      </w:tr>
      <w:tr w:rsidR="003F5A46" w:rsidRPr="003F5A46" w:rsidTr="00677FC7">
        <w:trPr>
          <w:trHeight w:val="375"/>
        </w:trPr>
        <w:tc>
          <w:tcPr>
            <w:tcW w:w="738" w:type="dxa"/>
            <w:tcBorders>
              <w:top w:val="nil"/>
              <w:left w:val="single" w:sz="8" w:space="0" w:color="000000"/>
              <w:bottom w:val="single" w:sz="4" w:space="0" w:color="000000"/>
              <w:right w:val="single" w:sz="4" w:space="0" w:color="000000"/>
            </w:tcBorders>
            <w:shd w:val="clear" w:color="CCCCFF" w:fill="C0C0C0"/>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M302</w:t>
            </w:r>
          </w:p>
        </w:tc>
        <w:tc>
          <w:tcPr>
            <w:tcW w:w="1247"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8</w:t>
            </w:r>
          </w:p>
        </w:tc>
        <w:tc>
          <w:tcPr>
            <w:tcW w:w="1843" w:type="dxa"/>
            <w:tcBorders>
              <w:top w:val="nil"/>
              <w:left w:val="nil"/>
              <w:bottom w:val="single" w:sz="4" w:space="0" w:color="000000"/>
              <w:right w:val="single" w:sz="4" w:space="0" w:color="000000"/>
            </w:tcBorders>
            <w:shd w:val="clear" w:color="auto" w:fill="auto"/>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415,492.40 €</w:t>
            </w:r>
          </w:p>
        </w:tc>
        <w:tc>
          <w:tcPr>
            <w:tcW w:w="1984"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7</w:t>
            </w:r>
          </w:p>
        </w:tc>
        <w:tc>
          <w:tcPr>
            <w:tcW w:w="1559"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5</w:t>
            </w:r>
          </w:p>
        </w:tc>
        <w:tc>
          <w:tcPr>
            <w:tcW w:w="1510" w:type="dxa"/>
            <w:tcBorders>
              <w:top w:val="nil"/>
              <w:left w:val="nil"/>
              <w:bottom w:val="single" w:sz="4" w:space="0" w:color="000000"/>
              <w:right w:val="single" w:sz="4" w:space="0" w:color="000000"/>
            </w:tcBorders>
            <w:shd w:val="clear" w:color="auto" w:fill="auto"/>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329,953 €</w:t>
            </w:r>
          </w:p>
        </w:tc>
        <w:tc>
          <w:tcPr>
            <w:tcW w:w="1552"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right"/>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261,416.89 €</w:t>
            </w:r>
          </w:p>
        </w:tc>
        <w:tc>
          <w:tcPr>
            <w:tcW w:w="1651"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right"/>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68,536 €</w:t>
            </w:r>
          </w:p>
        </w:tc>
        <w:tc>
          <w:tcPr>
            <w:tcW w:w="1383"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21%</w:t>
            </w:r>
          </w:p>
        </w:tc>
        <w:tc>
          <w:tcPr>
            <w:tcW w:w="1563" w:type="dxa"/>
            <w:tcBorders>
              <w:top w:val="nil"/>
              <w:left w:val="nil"/>
              <w:bottom w:val="single" w:sz="4" w:space="0" w:color="000000"/>
              <w:right w:val="single" w:sz="8"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2</w:t>
            </w:r>
          </w:p>
        </w:tc>
      </w:tr>
      <w:tr w:rsidR="003F5A46" w:rsidRPr="003F5A46" w:rsidTr="00677FC7">
        <w:trPr>
          <w:trHeight w:val="375"/>
        </w:trPr>
        <w:tc>
          <w:tcPr>
            <w:tcW w:w="738" w:type="dxa"/>
            <w:tcBorders>
              <w:top w:val="nil"/>
              <w:left w:val="single" w:sz="8" w:space="0" w:color="000000"/>
              <w:bottom w:val="nil"/>
              <w:right w:val="single" w:sz="4" w:space="0" w:color="000000"/>
            </w:tcBorders>
            <w:shd w:val="clear" w:color="CCCCFF" w:fill="C0C0C0"/>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M 501</w:t>
            </w:r>
          </w:p>
        </w:tc>
        <w:tc>
          <w:tcPr>
            <w:tcW w:w="1247" w:type="dxa"/>
            <w:tcBorders>
              <w:top w:val="nil"/>
              <w:left w:val="nil"/>
              <w:bottom w:val="nil"/>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w:t>
            </w:r>
          </w:p>
        </w:tc>
        <w:tc>
          <w:tcPr>
            <w:tcW w:w="1843" w:type="dxa"/>
            <w:tcBorders>
              <w:top w:val="nil"/>
              <w:left w:val="nil"/>
              <w:bottom w:val="nil"/>
              <w:right w:val="single" w:sz="4" w:space="0" w:color="000000"/>
            </w:tcBorders>
            <w:shd w:val="clear" w:color="auto" w:fill="auto"/>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1,526.23 €</w:t>
            </w:r>
          </w:p>
        </w:tc>
        <w:tc>
          <w:tcPr>
            <w:tcW w:w="1984" w:type="dxa"/>
            <w:tcBorders>
              <w:top w:val="nil"/>
              <w:left w:val="nil"/>
              <w:bottom w:val="nil"/>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w:t>
            </w:r>
          </w:p>
        </w:tc>
        <w:tc>
          <w:tcPr>
            <w:tcW w:w="1559" w:type="dxa"/>
            <w:tcBorders>
              <w:top w:val="nil"/>
              <w:left w:val="nil"/>
              <w:bottom w:val="nil"/>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w:t>
            </w:r>
          </w:p>
        </w:tc>
        <w:tc>
          <w:tcPr>
            <w:tcW w:w="1510" w:type="dxa"/>
            <w:tcBorders>
              <w:top w:val="nil"/>
              <w:left w:val="nil"/>
              <w:bottom w:val="nil"/>
              <w:right w:val="single" w:sz="4" w:space="0" w:color="000000"/>
            </w:tcBorders>
            <w:shd w:val="clear" w:color="auto" w:fill="auto"/>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1,526 €</w:t>
            </w:r>
          </w:p>
        </w:tc>
        <w:tc>
          <w:tcPr>
            <w:tcW w:w="1552" w:type="dxa"/>
            <w:tcBorders>
              <w:top w:val="nil"/>
              <w:left w:val="nil"/>
              <w:bottom w:val="nil"/>
              <w:right w:val="single" w:sz="4" w:space="0" w:color="000000"/>
            </w:tcBorders>
            <w:shd w:val="clear" w:color="auto" w:fill="auto"/>
            <w:noWrap/>
            <w:vAlign w:val="center"/>
            <w:hideMark/>
          </w:tcPr>
          <w:p w:rsidR="003F5A46" w:rsidRPr="003F5A46" w:rsidRDefault="003F5A46" w:rsidP="003F5A46">
            <w:pPr>
              <w:spacing w:after="0" w:line="240" w:lineRule="auto"/>
              <w:jc w:val="right"/>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0.00 €</w:t>
            </w:r>
          </w:p>
        </w:tc>
        <w:tc>
          <w:tcPr>
            <w:tcW w:w="1651"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right"/>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1,526 €</w:t>
            </w:r>
          </w:p>
        </w:tc>
        <w:tc>
          <w:tcPr>
            <w:tcW w:w="1383" w:type="dxa"/>
            <w:tcBorders>
              <w:top w:val="nil"/>
              <w:left w:val="nil"/>
              <w:bottom w:val="single" w:sz="4" w:space="0" w:color="000000"/>
              <w:right w:val="single" w:sz="4"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100%</w:t>
            </w:r>
          </w:p>
        </w:tc>
        <w:tc>
          <w:tcPr>
            <w:tcW w:w="1563" w:type="dxa"/>
            <w:tcBorders>
              <w:top w:val="nil"/>
              <w:left w:val="nil"/>
              <w:bottom w:val="nil"/>
              <w:right w:val="single" w:sz="8" w:space="0" w:color="000000"/>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0</w:t>
            </w:r>
          </w:p>
        </w:tc>
      </w:tr>
      <w:tr w:rsidR="003F5A46" w:rsidRPr="003F5A46" w:rsidTr="00677FC7">
        <w:trPr>
          <w:trHeight w:val="390"/>
        </w:trPr>
        <w:tc>
          <w:tcPr>
            <w:tcW w:w="738" w:type="dxa"/>
            <w:tcBorders>
              <w:top w:val="single" w:sz="4" w:space="0" w:color="000000"/>
              <w:left w:val="single" w:sz="8" w:space="0" w:color="000000"/>
              <w:bottom w:val="single" w:sz="8" w:space="0" w:color="000000"/>
              <w:right w:val="single" w:sz="4" w:space="0" w:color="000000"/>
            </w:tcBorders>
            <w:shd w:val="clear" w:color="CCCCFF" w:fill="C0C0C0"/>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Вкупно</w:t>
            </w:r>
          </w:p>
        </w:tc>
        <w:tc>
          <w:tcPr>
            <w:tcW w:w="1247" w:type="dxa"/>
            <w:tcBorders>
              <w:top w:val="single" w:sz="4" w:space="0" w:color="000000"/>
              <w:left w:val="nil"/>
              <w:bottom w:val="single" w:sz="8" w:space="0" w:color="000000"/>
              <w:right w:val="single" w:sz="4" w:space="0" w:color="000000"/>
            </w:tcBorders>
            <w:shd w:val="clear" w:color="CCCCFF" w:fill="C0C0C0"/>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403</w:t>
            </w:r>
          </w:p>
        </w:tc>
        <w:tc>
          <w:tcPr>
            <w:tcW w:w="1843" w:type="dxa"/>
            <w:tcBorders>
              <w:top w:val="single" w:sz="4" w:space="0" w:color="000000"/>
              <w:left w:val="nil"/>
              <w:bottom w:val="single" w:sz="8" w:space="0" w:color="000000"/>
              <w:right w:val="single" w:sz="4" w:space="0" w:color="000000"/>
            </w:tcBorders>
            <w:shd w:val="clear" w:color="CCCCFF" w:fill="C0C0C0"/>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6,334,414.84 €</w:t>
            </w:r>
          </w:p>
        </w:tc>
        <w:tc>
          <w:tcPr>
            <w:tcW w:w="1984" w:type="dxa"/>
            <w:tcBorders>
              <w:top w:val="single" w:sz="4" w:space="0" w:color="000000"/>
              <w:left w:val="nil"/>
              <w:bottom w:val="single" w:sz="8" w:space="0" w:color="000000"/>
              <w:right w:val="single" w:sz="4" w:space="0" w:color="000000"/>
            </w:tcBorders>
            <w:shd w:val="clear" w:color="CCCCFF" w:fill="C0C0C0"/>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300</w:t>
            </w:r>
          </w:p>
        </w:tc>
        <w:tc>
          <w:tcPr>
            <w:tcW w:w="1559" w:type="dxa"/>
            <w:tcBorders>
              <w:top w:val="single" w:sz="4" w:space="0" w:color="000000"/>
              <w:left w:val="nil"/>
              <w:bottom w:val="single" w:sz="8" w:space="0" w:color="000000"/>
              <w:right w:val="single" w:sz="4" w:space="0" w:color="000000"/>
            </w:tcBorders>
            <w:shd w:val="clear" w:color="CCCCFF" w:fill="C0C0C0"/>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319</w:t>
            </w:r>
          </w:p>
        </w:tc>
        <w:tc>
          <w:tcPr>
            <w:tcW w:w="1510" w:type="dxa"/>
            <w:tcBorders>
              <w:top w:val="single" w:sz="4" w:space="0" w:color="000000"/>
              <w:left w:val="nil"/>
              <w:bottom w:val="single" w:sz="8" w:space="0" w:color="000000"/>
              <w:right w:val="single" w:sz="4" w:space="0" w:color="000000"/>
            </w:tcBorders>
            <w:shd w:val="clear" w:color="CCCCFF" w:fill="C0C0C0"/>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4,584,475 €</w:t>
            </w:r>
          </w:p>
        </w:tc>
        <w:tc>
          <w:tcPr>
            <w:tcW w:w="1552" w:type="dxa"/>
            <w:tcBorders>
              <w:top w:val="single" w:sz="4" w:space="0" w:color="000000"/>
              <w:left w:val="nil"/>
              <w:bottom w:val="single" w:sz="8" w:space="0" w:color="000000"/>
              <w:right w:val="single" w:sz="4" w:space="0" w:color="000000"/>
            </w:tcBorders>
            <w:shd w:val="clear" w:color="CCCCFF" w:fill="C0C0C0"/>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4,117,443.86 €</w:t>
            </w:r>
          </w:p>
        </w:tc>
        <w:tc>
          <w:tcPr>
            <w:tcW w:w="1651" w:type="dxa"/>
            <w:tcBorders>
              <w:top w:val="nil"/>
              <w:left w:val="nil"/>
              <w:bottom w:val="single" w:sz="8" w:space="0" w:color="000000"/>
              <w:right w:val="single" w:sz="4" w:space="0" w:color="000000"/>
            </w:tcBorders>
            <w:shd w:val="clear" w:color="CCCCFF" w:fill="C0C0C0"/>
            <w:vAlign w:val="center"/>
            <w:hideMark/>
          </w:tcPr>
          <w:p w:rsidR="003F5A46" w:rsidRPr="003F5A46" w:rsidRDefault="003F5A46" w:rsidP="003F5A46">
            <w:pPr>
              <w:spacing w:after="0" w:line="240" w:lineRule="auto"/>
              <w:jc w:val="right"/>
              <w:rPr>
                <w:rFonts w:ascii="StobiSerif Regular" w:eastAsia="Times New Roman" w:hAnsi="StobiSerif Regular" w:cs="Times New Roman"/>
                <w:sz w:val="16"/>
                <w:szCs w:val="16"/>
                <w:lang w:eastAsia="mk-MK"/>
              </w:rPr>
            </w:pPr>
            <w:r w:rsidRPr="003F5A46">
              <w:rPr>
                <w:rFonts w:ascii="StobiSerif Regular" w:eastAsia="Times New Roman" w:hAnsi="StobiSerif Regular" w:cs="Times New Roman"/>
                <w:sz w:val="16"/>
                <w:szCs w:val="16"/>
                <w:lang w:eastAsia="mk-MK"/>
              </w:rPr>
              <w:t>467,031 €</w:t>
            </w:r>
          </w:p>
        </w:tc>
        <w:tc>
          <w:tcPr>
            <w:tcW w:w="1383" w:type="dxa"/>
            <w:tcBorders>
              <w:top w:val="nil"/>
              <w:left w:val="nil"/>
              <w:bottom w:val="single" w:sz="8" w:space="0" w:color="000000"/>
              <w:right w:val="single" w:sz="4" w:space="0" w:color="000000"/>
            </w:tcBorders>
            <w:shd w:val="clear" w:color="CCCCFF" w:fill="C0C0C0"/>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10%</w:t>
            </w:r>
          </w:p>
        </w:tc>
        <w:tc>
          <w:tcPr>
            <w:tcW w:w="1563" w:type="dxa"/>
            <w:tcBorders>
              <w:top w:val="single" w:sz="4" w:space="0" w:color="000000"/>
              <w:left w:val="nil"/>
              <w:bottom w:val="single" w:sz="8" w:space="0" w:color="000000"/>
              <w:right w:val="single" w:sz="8" w:space="0" w:color="000000"/>
            </w:tcBorders>
            <w:shd w:val="clear" w:color="CCCCFF" w:fill="C0C0C0"/>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r w:rsidRPr="003F5A46">
              <w:rPr>
                <w:rFonts w:ascii="StobiSerif Regular" w:eastAsia="Times New Roman" w:hAnsi="StobiSerif Regular" w:cs="Times New Roman"/>
                <w:color w:val="000000"/>
                <w:sz w:val="16"/>
                <w:szCs w:val="16"/>
                <w:lang w:eastAsia="mk-MK"/>
              </w:rPr>
              <w:t>145</w:t>
            </w:r>
          </w:p>
        </w:tc>
      </w:tr>
      <w:tr w:rsidR="003F5A46" w:rsidRPr="003F5A46" w:rsidTr="00677FC7">
        <w:trPr>
          <w:trHeight w:val="300"/>
        </w:trPr>
        <w:tc>
          <w:tcPr>
            <w:tcW w:w="738" w:type="dxa"/>
            <w:tcBorders>
              <w:top w:val="nil"/>
              <w:left w:val="nil"/>
              <w:bottom w:val="nil"/>
              <w:right w:val="nil"/>
            </w:tcBorders>
            <w:shd w:val="clear" w:color="auto" w:fill="auto"/>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p>
        </w:tc>
        <w:tc>
          <w:tcPr>
            <w:tcW w:w="1247" w:type="dxa"/>
            <w:tcBorders>
              <w:top w:val="nil"/>
              <w:left w:val="nil"/>
              <w:bottom w:val="nil"/>
              <w:right w:val="nil"/>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p>
        </w:tc>
        <w:tc>
          <w:tcPr>
            <w:tcW w:w="1843" w:type="dxa"/>
            <w:tcBorders>
              <w:top w:val="nil"/>
              <w:left w:val="nil"/>
              <w:bottom w:val="nil"/>
              <w:right w:val="nil"/>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p>
        </w:tc>
        <w:tc>
          <w:tcPr>
            <w:tcW w:w="1984" w:type="dxa"/>
            <w:tcBorders>
              <w:top w:val="nil"/>
              <w:left w:val="nil"/>
              <w:bottom w:val="nil"/>
              <w:right w:val="nil"/>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p>
        </w:tc>
        <w:tc>
          <w:tcPr>
            <w:tcW w:w="1559" w:type="dxa"/>
            <w:tcBorders>
              <w:top w:val="nil"/>
              <w:left w:val="nil"/>
              <w:bottom w:val="nil"/>
              <w:right w:val="nil"/>
            </w:tcBorders>
            <w:shd w:val="clear" w:color="auto" w:fill="auto"/>
            <w:noWrap/>
            <w:vAlign w:val="center"/>
            <w:hideMark/>
          </w:tcPr>
          <w:p w:rsidR="003F5A46" w:rsidRPr="003F5A46" w:rsidRDefault="003F5A46" w:rsidP="003F5A46">
            <w:pPr>
              <w:spacing w:after="0" w:line="240" w:lineRule="auto"/>
              <w:jc w:val="center"/>
              <w:rPr>
                <w:rFonts w:ascii="StobiSerif Regular" w:eastAsia="Times New Roman" w:hAnsi="StobiSerif Regular" w:cs="Times New Roman"/>
                <w:color w:val="000000"/>
                <w:sz w:val="16"/>
                <w:szCs w:val="16"/>
                <w:lang w:eastAsia="mk-MK"/>
              </w:rPr>
            </w:pPr>
          </w:p>
        </w:tc>
        <w:tc>
          <w:tcPr>
            <w:tcW w:w="1510" w:type="dxa"/>
            <w:tcBorders>
              <w:top w:val="nil"/>
              <w:left w:val="nil"/>
              <w:bottom w:val="nil"/>
              <w:right w:val="nil"/>
            </w:tcBorders>
            <w:shd w:val="clear" w:color="auto" w:fill="auto"/>
            <w:vAlign w:val="center"/>
            <w:hideMark/>
          </w:tcPr>
          <w:p w:rsidR="003F5A46" w:rsidRPr="003F5A46" w:rsidRDefault="003F5A46" w:rsidP="003F5A46">
            <w:pPr>
              <w:spacing w:after="0" w:line="240" w:lineRule="auto"/>
              <w:jc w:val="center"/>
              <w:rPr>
                <w:rFonts w:ascii="StobiSerif Regular" w:eastAsia="Times New Roman" w:hAnsi="StobiSerif Regular" w:cs="Times New Roman"/>
                <w:sz w:val="16"/>
                <w:szCs w:val="16"/>
                <w:lang w:eastAsia="mk-MK"/>
              </w:rPr>
            </w:pPr>
          </w:p>
        </w:tc>
        <w:tc>
          <w:tcPr>
            <w:tcW w:w="6149" w:type="dxa"/>
            <w:gridSpan w:val="4"/>
            <w:tcBorders>
              <w:top w:val="single" w:sz="8" w:space="0" w:color="000000"/>
              <w:left w:val="nil"/>
              <w:bottom w:val="nil"/>
              <w:right w:val="nil"/>
            </w:tcBorders>
            <w:shd w:val="clear" w:color="auto" w:fill="auto"/>
            <w:vAlign w:val="center"/>
            <w:hideMark/>
          </w:tcPr>
          <w:p w:rsidR="003F5A46" w:rsidRPr="003F5A46" w:rsidRDefault="003F5A46" w:rsidP="003F5A46">
            <w:pPr>
              <w:spacing w:after="0" w:line="240" w:lineRule="auto"/>
              <w:jc w:val="center"/>
              <w:rPr>
                <w:rFonts w:ascii="StobiSerif Regular" w:eastAsia="Times New Roman" w:hAnsi="StobiSerif Regular" w:cs="Times New Roman"/>
                <w:i/>
                <w:iCs/>
                <w:sz w:val="16"/>
                <w:szCs w:val="16"/>
                <w:lang w:eastAsia="mk-MK"/>
              </w:rPr>
            </w:pPr>
            <w:r w:rsidRPr="003F5A46">
              <w:rPr>
                <w:rFonts w:ascii="StobiSerif Regular" w:eastAsia="Times New Roman" w:hAnsi="StobiSerif Regular" w:cs="Times New Roman"/>
                <w:i/>
                <w:iCs/>
                <w:sz w:val="16"/>
                <w:szCs w:val="16"/>
                <w:lang w:eastAsia="mk-MK"/>
              </w:rPr>
              <w:t>(</w:t>
            </w:r>
            <w:r w:rsidRPr="003F5A46">
              <w:t xml:space="preserve"> </w:t>
            </w:r>
            <w:r w:rsidRPr="003F5A46">
              <w:rPr>
                <w:rFonts w:ascii="StobiSerif Regular" w:eastAsia="Times New Roman" w:hAnsi="StobiSerif Regular" w:cs="Times New Roman"/>
                <w:i/>
                <w:iCs/>
                <w:sz w:val="16"/>
                <w:szCs w:val="16"/>
                <w:lang w:eastAsia="mk-MK"/>
              </w:rPr>
              <w:t>(Податоците се во евра и се однесуваат на вкупните јавни трошоци)</w:t>
            </w:r>
          </w:p>
        </w:tc>
      </w:tr>
    </w:tbl>
    <w:p w:rsidR="003F5A46" w:rsidRPr="003F5A46" w:rsidRDefault="003F5A46" w:rsidP="003F5A46">
      <w:pPr>
        <w:spacing w:before="120" w:after="120"/>
        <w:rPr>
          <w:rFonts w:ascii="StobiSerif Regular" w:hAnsi="StobiSerif Regular"/>
          <w:lang w:val="en-US" w:eastAsia="mk-MK"/>
        </w:rPr>
      </w:pPr>
    </w:p>
    <w:p w:rsidR="00FF651B" w:rsidRDefault="00FF651B" w:rsidP="00F9112B">
      <w:pPr>
        <w:spacing w:before="120" w:after="120"/>
        <w:rPr>
          <w:rFonts w:ascii="StobiSerif Regular" w:hAnsi="StobiSerif Regular"/>
          <w:lang w:val="en-US" w:eastAsia="mk-MK"/>
        </w:rPr>
      </w:pPr>
    </w:p>
    <w:p w:rsidR="00FF651B" w:rsidRDefault="00FF651B" w:rsidP="00F9112B">
      <w:pPr>
        <w:spacing w:before="120" w:after="120"/>
        <w:rPr>
          <w:rFonts w:ascii="StobiSerif Regular" w:hAnsi="StobiSerif Regular"/>
          <w:lang w:val="en-US" w:eastAsia="mk-MK"/>
        </w:rPr>
      </w:pPr>
    </w:p>
    <w:p w:rsidR="00F05752" w:rsidRDefault="00F05752" w:rsidP="00F9112B">
      <w:pPr>
        <w:spacing w:before="120" w:after="120"/>
        <w:rPr>
          <w:rFonts w:ascii="StobiSerif Regular" w:hAnsi="StobiSerif Regular"/>
          <w:lang w:val="en-US" w:eastAsia="mk-MK"/>
        </w:rPr>
      </w:pPr>
    </w:p>
    <w:p w:rsidR="00F05752" w:rsidRDefault="00F05752" w:rsidP="00F9112B">
      <w:pPr>
        <w:spacing w:before="120" w:after="120"/>
        <w:rPr>
          <w:rFonts w:ascii="StobiSerif Regular" w:hAnsi="StobiSerif Regular"/>
          <w:lang w:val="en-US" w:eastAsia="mk-MK"/>
        </w:rPr>
      </w:pPr>
    </w:p>
    <w:p w:rsidR="00F05752" w:rsidRDefault="00F05752" w:rsidP="00F9112B">
      <w:pPr>
        <w:spacing w:before="120" w:after="120"/>
        <w:rPr>
          <w:rFonts w:ascii="StobiSerif Regular" w:hAnsi="StobiSerif Regular"/>
          <w:lang w:val="en-US" w:eastAsia="mk-MK"/>
        </w:rPr>
      </w:pPr>
    </w:p>
    <w:tbl>
      <w:tblPr>
        <w:tblW w:w="10100" w:type="dxa"/>
        <w:tblInd w:w="108" w:type="dxa"/>
        <w:tblLook w:val="04A0" w:firstRow="1" w:lastRow="0" w:firstColumn="1" w:lastColumn="0" w:noHBand="0" w:noVBand="1"/>
      </w:tblPr>
      <w:tblGrid>
        <w:gridCol w:w="1276"/>
        <w:gridCol w:w="304"/>
        <w:gridCol w:w="1469"/>
        <w:gridCol w:w="151"/>
        <w:gridCol w:w="1557"/>
        <w:gridCol w:w="223"/>
        <w:gridCol w:w="1355"/>
        <w:gridCol w:w="105"/>
        <w:gridCol w:w="1460"/>
        <w:gridCol w:w="16"/>
        <w:gridCol w:w="2184"/>
      </w:tblGrid>
      <w:tr w:rsidR="00F04549" w:rsidRPr="00F04549" w:rsidTr="00677FC7">
        <w:trPr>
          <w:gridAfter w:val="1"/>
          <w:wAfter w:w="2184" w:type="dxa"/>
          <w:trHeight w:val="330"/>
        </w:trPr>
        <w:tc>
          <w:tcPr>
            <w:tcW w:w="7916" w:type="dxa"/>
            <w:gridSpan w:val="10"/>
            <w:tcBorders>
              <w:top w:val="nil"/>
              <w:left w:val="nil"/>
              <w:bottom w:val="single" w:sz="8" w:space="0" w:color="000000"/>
              <w:right w:val="nil"/>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b/>
                <w:bCs/>
                <w:color w:val="000000"/>
                <w:sz w:val="16"/>
                <w:szCs w:val="16"/>
                <w:lang w:eastAsia="mk-MK"/>
              </w:rPr>
            </w:pPr>
            <w:r w:rsidRPr="00F04549">
              <w:rPr>
                <w:rFonts w:ascii="StobiSerif Regular" w:eastAsia="Times New Roman" w:hAnsi="StobiSerif Regular" w:cs="Times New Roman"/>
                <w:b/>
                <w:bCs/>
                <w:color w:val="000000"/>
                <w:sz w:val="16"/>
                <w:szCs w:val="16"/>
                <w:lang w:eastAsia="mk-MK"/>
              </w:rPr>
              <w:t>Контроли извршени од страна на NAO/MS</w:t>
            </w:r>
          </w:p>
        </w:tc>
      </w:tr>
      <w:tr w:rsidR="00F04549" w:rsidRPr="00F04549" w:rsidTr="00677FC7">
        <w:trPr>
          <w:gridAfter w:val="1"/>
          <w:wAfter w:w="2184" w:type="dxa"/>
          <w:trHeight w:val="1072"/>
        </w:trPr>
        <w:tc>
          <w:tcPr>
            <w:tcW w:w="1276" w:type="dxa"/>
            <w:tcBorders>
              <w:top w:val="nil"/>
              <w:left w:val="single" w:sz="8" w:space="0" w:color="000000"/>
              <w:bottom w:val="single" w:sz="4" w:space="0" w:color="000000"/>
              <w:right w:val="single" w:sz="4" w:space="0" w:color="000000"/>
            </w:tcBorders>
            <w:shd w:val="clear" w:color="808080" w:fill="969696"/>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 </w:t>
            </w:r>
          </w:p>
        </w:tc>
        <w:tc>
          <w:tcPr>
            <w:tcW w:w="1773"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Број на исплатени барања контролирани од страна на NAO/MS</w:t>
            </w:r>
          </w:p>
        </w:tc>
        <w:tc>
          <w:tcPr>
            <w:tcW w:w="1708"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val="en-US" w:eastAsia="mk-MK"/>
              </w:rPr>
            </w:pPr>
            <w:r w:rsidRPr="00F04549">
              <w:rPr>
                <w:rFonts w:ascii="StobiSerif Regular" w:eastAsia="Times New Roman" w:hAnsi="StobiSerif Regular" w:cs="Times New Roman"/>
                <w:sz w:val="16"/>
                <w:szCs w:val="16"/>
                <w:lang w:eastAsia="mk-MK"/>
              </w:rPr>
              <w:t>Вкупна сума контролирана од страна на NAO/MS</w:t>
            </w:r>
            <w:r w:rsidRPr="00F04549">
              <w:rPr>
                <w:rFonts w:ascii="StobiSerif Regular" w:eastAsia="Times New Roman" w:hAnsi="StobiSerif Regular" w:cs="Times New Roman"/>
                <w:sz w:val="16"/>
                <w:szCs w:val="16"/>
                <w:vertAlign w:val="superscript"/>
                <w:lang w:eastAsia="mk-MK"/>
              </w:rPr>
              <w:footnoteReference w:id="10"/>
            </w:r>
          </w:p>
        </w:tc>
        <w:tc>
          <w:tcPr>
            <w:tcW w:w="1578"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Намалувања од страна на NAO/MS</w:t>
            </w:r>
          </w:p>
        </w:tc>
        <w:tc>
          <w:tcPr>
            <w:tcW w:w="1581" w:type="dxa"/>
            <w:gridSpan w:val="3"/>
            <w:tcBorders>
              <w:top w:val="nil"/>
              <w:left w:val="nil"/>
              <w:bottom w:val="single" w:sz="4" w:space="0" w:color="000000"/>
              <w:right w:val="single" w:sz="8"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Намалувања од страна на NAO/NF</w:t>
            </w:r>
            <w:r w:rsidRPr="00F04549">
              <w:rPr>
                <w:rFonts w:ascii="StobiSerif Regular" w:eastAsia="Times New Roman" w:hAnsi="StobiSerif Regular" w:cs="Times New Roman"/>
                <w:sz w:val="16"/>
                <w:szCs w:val="16"/>
                <w:lang w:eastAsia="mk-MK"/>
              </w:rPr>
              <w:br/>
              <w:t>%</w:t>
            </w:r>
          </w:p>
        </w:tc>
      </w:tr>
      <w:tr w:rsidR="00F04549" w:rsidRPr="00F04549" w:rsidTr="00677FC7">
        <w:trPr>
          <w:gridAfter w:val="1"/>
          <w:wAfter w:w="2184" w:type="dxa"/>
          <w:trHeight w:val="360"/>
        </w:trPr>
        <w:tc>
          <w:tcPr>
            <w:tcW w:w="1276" w:type="dxa"/>
            <w:tcBorders>
              <w:top w:val="nil"/>
              <w:left w:val="single" w:sz="8" w:space="0" w:color="000000"/>
              <w:bottom w:val="single" w:sz="4" w:space="0" w:color="000000"/>
              <w:right w:val="single" w:sz="4" w:space="0" w:color="000000"/>
            </w:tcBorders>
            <w:shd w:val="clear" w:color="808080" w:fill="969696"/>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 </w:t>
            </w:r>
          </w:p>
        </w:tc>
        <w:tc>
          <w:tcPr>
            <w:tcW w:w="1773" w:type="dxa"/>
            <w:gridSpan w:val="2"/>
            <w:tcBorders>
              <w:top w:val="nil"/>
              <w:left w:val="nil"/>
              <w:bottom w:val="single" w:sz="4" w:space="0" w:color="000000"/>
              <w:right w:val="single" w:sz="4" w:space="0" w:color="000000"/>
            </w:tcBorders>
            <w:shd w:val="clear" w:color="808080" w:fill="969696"/>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1</w:t>
            </w:r>
          </w:p>
        </w:tc>
        <w:tc>
          <w:tcPr>
            <w:tcW w:w="1708"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2</w:t>
            </w:r>
          </w:p>
        </w:tc>
        <w:tc>
          <w:tcPr>
            <w:tcW w:w="1578"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3</w:t>
            </w:r>
          </w:p>
        </w:tc>
        <w:tc>
          <w:tcPr>
            <w:tcW w:w="1581" w:type="dxa"/>
            <w:gridSpan w:val="3"/>
            <w:tcBorders>
              <w:top w:val="nil"/>
              <w:left w:val="nil"/>
              <w:bottom w:val="single" w:sz="4" w:space="0" w:color="000000"/>
              <w:right w:val="single" w:sz="8" w:space="0" w:color="000000"/>
            </w:tcBorders>
            <w:shd w:val="clear" w:color="808080" w:fill="969696"/>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4=3/2</w:t>
            </w:r>
          </w:p>
        </w:tc>
      </w:tr>
      <w:tr w:rsidR="00F04549" w:rsidRPr="00F04549" w:rsidTr="00677FC7">
        <w:trPr>
          <w:gridAfter w:val="1"/>
          <w:wAfter w:w="2184" w:type="dxa"/>
          <w:trHeight w:val="375"/>
        </w:trPr>
        <w:tc>
          <w:tcPr>
            <w:tcW w:w="1276" w:type="dxa"/>
            <w:tcBorders>
              <w:top w:val="nil"/>
              <w:left w:val="single" w:sz="8" w:space="0" w:color="000000"/>
              <w:bottom w:val="single" w:sz="4" w:space="0" w:color="000000"/>
              <w:right w:val="single" w:sz="4" w:space="0" w:color="000000"/>
            </w:tcBorders>
            <w:shd w:val="clear" w:color="CCCCFF" w:fill="C0C0C0"/>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Meрка 101</w:t>
            </w:r>
          </w:p>
        </w:tc>
        <w:tc>
          <w:tcPr>
            <w:tcW w:w="1773" w:type="dxa"/>
            <w:gridSpan w:val="2"/>
            <w:tcBorders>
              <w:top w:val="nil"/>
              <w:left w:val="nil"/>
              <w:bottom w:val="single" w:sz="4" w:space="0" w:color="000000"/>
              <w:right w:val="single" w:sz="4" w:space="0" w:color="000000"/>
            </w:tcBorders>
            <w:shd w:val="clear" w:color="auto" w:fill="auto"/>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4</w:t>
            </w:r>
          </w:p>
        </w:tc>
        <w:tc>
          <w:tcPr>
            <w:tcW w:w="1708" w:type="dxa"/>
            <w:gridSpan w:val="2"/>
            <w:tcBorders>
              <w:top w:val="nil"/>
              <w:left w:val="nil"/>
              <w:bottom w:val="single" w:sz="4" w:space="0" w:color="000000"/>
              <w:right w:val="single" w:sz="4"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56,289 €</w:t>
            </w:r>
          </w:p>
        </w:tc>
        <w:tc>
          <w:tcPr>
            <w:tcW w:w="1578" w:type="dxa"/>
            <w:gridSpan w:val="2"/>
            <w:tcBorders>
              <w:top w:val="nil"/>
              <w:left w:val="nil"/>
              <w:bottom w:val="single" w:sz="4" w:space="0" w:color="000000"/>
              <w:right w:val="single" w:sz="4"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0 €</w:t>
            </w:r>
          </w:p>
        </w:tc>
        <w:tc>
          <w:tcPr>
            <w:tcW w:w="1581" w:type="dxa"/>
            <w:gridSpan w:val="3"/>
            <w:tcBorders>
              <w:top w:val="nil"/>
              <w:left w:val="nil"/>
              <w:bottom w:val="single" w:sz="4" w:space="0" w:color="000000"/>
              <w:right w:val="single" w:sz="8"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w:t>
            </w:r>
          </w:p>
        </w:tc>
      </w:tr>
      <w:tr w:rsidR="00F04549" w:rsidRPr="00F04549" w:rsidTr="00677FC7">
        <w:trPr>
          <w:gridAfter w:val="1"/>
          <w:wAfter w:w="2184" w:type="dxa"/>
          <w:trHeight w:val="375"/>
        </w:trPr>
        <w:tc>
          <w:tcPr>
            <w:tcW w:w="1276" w:type="dxa"/>
            <w:tcBorders>
              <w:top w:val="nil"/>
              <w:left w:val="single" w:sz="8" w:space="0" w:color="000000"/>
              <w:bottom w:val="single" w:sz="4" w:space="0" w:color="000000"/>
              <w:right w:val="single" w:sz="4" w:space="0" w:color="000000"/>
            </w:tcBorders>
            <w:shd w:val="clear" w:color="CCCCFF" w:fill="C0C0C0"/>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Meрка 103</w:t>
            </w:r>
          </w:p>
        </w:tc>
        <w:tc>
          <w:tcPr>
            <w:tcW w:w="1773" w:type="dxa"/>
            <w:gridSpan w:val="2"/>
            <w:tcBorders>
              <w:top w:val="nil"/>
              <w:left w:val="nil"/>
              <w:bottom w:val="single" w:sz="4" w:space="0" w:color="000000"/>
              <w:right w:val="single" w:sz="4" w:space="0" w:color="000000"/>
            </w:tcBorders>
            <w:shd w:val="clear" w:color="auto" w:fill="auto"/>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1</w:t>
            </w:r>
          </w:p>
        </w:tc>
        <w:tc>
          <w:tcPr>
            <w:tcW w:w="1708" w:type="dxa"/>
            <w:gridSpan w:val="2"/>
            <w:tcBorders>
              <w:top w:val="nil"/>
              <w:left w:val="nil"/>
              <w:bottom w:val="single" w:sz="4" w:space="0" w:color="000000"/>
              <w:right w:val="single" w:sz="4"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6,227 €</w:t>
            </w:r>
          </w:p>
        </w:tc>
        <w:tc>
          <w:tcPr>
            <w:tcW w:w="1578" w:type="dxa"/>
            <w:gridSpan w:val="2"/>
            <w:tcBorders>
              <w:top w:val="nil"/>
              <w:left w:val="nil"/>
              <w:bottom w:val="single" w:sz="4" w:space="0" w:color="000000"/>
              <w:right w:val="single" w:sz="4"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0 €</w:t>
            </w:r>
          </w:p>
        </w:tc>
        <w:tc>
          <w:tcPr>
            <w:tcW w:w="1581" w:type="dxa"/>
            <w:gridSpan w:val="3"/>
            <w:tcBorders>
              <w:top w:val="nil"/>
              <w:left w:val="nil"/>
              <w:bottom w:val="single" w:sz="4" w:space="0" w:color="000000"/>
              <w:right w:val="single" w:sz="8"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w:t>
            </w:r>
          </w:p>
        </w:tc>
      </w:tr>
      <w:tr w:rsidR="00F04549" w:rsidRPr="00F04549" w:rsidTr="00677FC7">
        <w:trPr>
          <w:gridAfter w:val="1"/>
          <w:wAfter w:w="2184" w:type="dxa"/>
          <w:trHeight w:val="375"/>
        </w:trPr>
        <w:tc>
          <w:tcPr>
            <w:tcW w:w="1276" w:type="dxa"/>
            <w:tcBorders>
              <w:top w:val="nil"/>
              <w:left w:val="single" w:sz="8" w:space="0" w:color="000000"/>
              <w:bottom w:val="single" w:sz="4" w:space="0" w:color="000000"/>
              <w:right w:val="single" w:sz="4" w:space="0" w:color="000000"/>
            </w:tcBorders>
            <w:shd w:val="clear" w:color="CCCCFF" w:fill="C0C0C0"/>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Meрка 302</w:t>
            </w:r>
          </w:p>
        </w:tc>
        <w:tc>
          <w:tcPr>
            <w:tcW w:w="1773" w:type="dxa"/>
            <w:gridSpan w:val="2"/>
            <w:tcBorders>
              <w:top w:val="nil"/>
              <w:left w:val="nil"/>
              <w:bottom w:val="single" w:sz="4" w:space="0" w:color="000000"/>
              <w:right w:val="single" w:sz="4" w:space="0" w:color="000000"/>
            </w:tcBorders>
            <w:shd w:val="clear" w:color="auto" w:fill="auto"/>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0</w:t>
            </w:r>
          </w:p>
        </w:tc>
        <w:tc>
          <w:tcPr>
            <w:tcW w:w="1708" w:type="dxa"/>
            <w:gridSpan w:val="2"/>
            <w:tcBorders>
              <w:top w:val="nil"/>
              <w:left w:val="nil"/>
              <w:bottom w:val="single" w:sz="4" w:space="0" w:color="000000"/>
              <w:right w:val="single" w:sz="4"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0 €</w:t>
            </w:r>
          </w:p>
        </w:tc>
        <w:tc>
          <w:tcPr>
            <w:tcW w:w="1578" w:type="dxa"/>
            <w:gridSpan w:val="2"/>
            <w:tcBorders>
              <w:top w:val="nil"/>
              <w:left w:val="nil"/>
              <w:bottom w:val="single" w:sz="4" w:space="0" w:color="000000"/>
              <w:right w:val="single" w:sz="4"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0 €</w:t>
            </w:r>
          </w:p>
        </w:tc>
        <w:tc>
          <w:tcPr>
            <w:tcW w:w="1581" w:type="dxa"/>
            <w:gridSpan w:val="3"/>
            <w:tcBorders>
              <w:top w:val="nil"/>
              <w:left w:val="nil"/>
              <w:bottom w:val="single" w:sz="4" w:space="0" w:color="000000"/>
              <w:right w:val="single" w:sz="8"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w:t>
            </w:r>
          </w:p>
        </w:tc>
      </w:tr>
      <w:tr w:rsidR="00F04549" w:rsidRPr="00F04549" w:rsidTr="00677FC7">
        <w:trPr>
          <w:gridAfter w:val="1"/>
          <w:wAfter w:w="2184" w:type="dxa"/>
          <w:trHeight w:val="375"/>
        </w:trPr>
        <w:tc>
          <w:tcPr>
            <w:tcW w:w="1276" w:type="dxa"/>
            <w:tcBorders>
              <w:top w:val="nil"/>
              <w:left w:val="single" w:sz="8" w:space="0" w:color="000000"/>
              <w:bottom w:val="nil"/>
              <w:right w:val="single" w:sz="4" w:space="0" w:color="000000"/>
            </w:tcBorders>
            <w:shd w:val="clear" w:color="CCCCFF" w:fill="C0C0C0"/>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Meрка 501</w:t>
            </w:r>
          </w:p>
        </w:tc>
        <w:tc>
          <w:tcPr>
            <w:tcW w:w="1773" w:type="dxa"/>
            <w:gridSpan w:val="2"/>
            <w:tcBorders>
              <w:top w:val="nil"/>
              <w:left w:val="nil"/>
              <w:bottom w:val="nil"/>
              <w:right w:val="single" w:sz="4" w:space="0" w:color="000000"/>
            </w:tcBorders>
            <w:shd w:val="clear" w:color="auto" w:fill="auto"/>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1</w:t>
            </w:r>
          </w:p>
        </w:tc>
        <w:tc>
          <w:tcPr>
            <w:tcW w:w="1708" w:type="dxa"/>
            <w:gridSpan w:val="2"/>
            <w:tcBorders>
              <w:top w:val="nil"/>
              <w:left w:val="nil"/>
              <w:bottom w:val="nil"/>
              <w:right w:val="single" w:sz="4"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1,526 €</w:t>
            </w:r>
          </w:p>
        </w:tc>
        <w:tc>
          <w:tcPr>
            <w:tcW w:w="1578" w:type="dxa"/>
            <w:gridSpan w:val="2"/>
            <w:tcBorders>
              <w:top w:val="nil"/>
              <w:left w:val="nil"/>
              <w:bottom w:val="nil"/>
              <w:right w:val="single" w:sz="4"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0 €</w:t>
            </w:r>
          </w:p>
        </w:tc>
        <w:tc>
          <w:tcPr>
            <w:tcW w:w="1581" w:type="dxa"/>
            <w:gridSpan w:val="3"/>
            <w:tcBorders>
              <w:top w:val="nil"/>
              <w:left w:val="nil"/>
              <w:bottom w:val="single" w:sz="4" w:space="0" w:color="000000"/>
              <w:right w:val="single" w:sz="8" w:space="0" w:color="000000"/>
            </w:tcBorders>
            <w:shd w:val="clear" w:color="auto" w:fill="auto"/>
            <w:noWrap/>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w:t>
            </w:r>
          </w:p>
        </w:tc>
      </w:tr>
      <w:tr w:rsidR="00F04549" w:rsidRPr="00F04549" w:rsidTr="00677FC7">
        <w:trPr>
          <w:gridAfter w:val="1"/>
          <w:wAfter w:w="2184" w:type="dxa"/>
          <w:trHeight w:val="390"/>
        </w:trPr>
        <w:tc>
          <w:tcPr>
            <w:tcW w:w="1276" w:type="dxa"/>
            <w:tcBorders>
              <w:top w:val="single" w:sz="4" w:space="0" w:color="000000"/>
              <w:left w:val="single" w:sz="8" w:space="0" w:color="000000"/>
              <w:bottom w:val="single" w:sz="8" w:space="0" w:color="000000"/>
              <w:right w:val="single" w:sz="4" w:space="0" w:color="000000"/>
            </w:tcBorders>
            <w:shd w:val="clear" w:color="CCCCFF" w:fill="C0C0C0"/>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Вкупно</w:t>
            </w:r>
          </w:p>
        </w:tc>
        <w:tc>
          <w:tcPr>
            <w:tcW w:w="1773" w:type="dxa"/>
            <w:gridSpan w:val="2"/>
            <w:tcBorders>
              <w:top w:val="single" w:sz="4" w:space="0" w:color="000000"/>
              <w:left w:val="nil"/>
              <w:bottom w:val="single" w:sz="8" w:space="0" w:color="000000"/>
              <w:right w:val="single" w:sz="4" w:space="0" w:color="000000"/>
            </w:tcBorders>
            <w:shd w:val="clear" w:color="CCCCFF" w:fill="C0C0C0"/>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6</w:t>
            </w:r>
          </w:p>
        </w:tc>
        <w:tc>
          <w:tcPr>
            <w:tcW w:w="1708" w:type="dxa"/>
            <w:gridSpan w:val="2"/>
            <w:tcBorders>
              <w:top w:val="single" w:sz="4" w:space="0" w:color="000000"/>
              <w:left w:val="nil"/>
              <w:bottom w:val="single" w:sz="8" w:space="0" w:color="000000"/>
              <w:right w:val="single" w:sz="4" w:space="0" w:color="000000"/>
            </w:tcBorders>
            <w:shd w:val="clear" w:color="CCCCFF" w:fill="C0C0C0"/>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64,043 €</w:t>
            </w:r>
          </w:p>
        </w:tc>
        <w:tc>
          <w:tcPr>
            <w:tcW w:w="1578" w:type="dxa"/>
            <w:gridSpan w:val="2"/>
            <w:tcBorders>
              <w:top w:val="single" w:sz="4" w:space="0" w:color="000000"/>
              <w:left w:val="nil"/>
              <w:bottom w:val="single" w:sz="8" w:space="0" w:color="000000"/>
              <w:right w:val="single" w:sz="4" w:space="0" w:color="000000"/>
            </w:tcBorders>
            <w:shd w:val="clear" w:color="CCCCFF" w:fill="C0C0C0"/>
            <w:vAlign w:val="center"/>
            <w:hideMark/>
          </w:tcPr>
          <w:p w:rsidR="00F04549" w:rsidRPr="00F04549" w:rsidRDefault="00F04549" w:rsidP="00F04549">
            <w:pPr>
              <w:spacing w:after="0" w:line="240" w:lineRule="auto"/>
              <w:jc w:val="right"/>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0 €</w:t>
            </w:r>
          </w:p>
        </w:tc>
        <w:tc>
          <w:tcPr>
            <w:tcW w:w="1581" w:type="dxa"/>
            <w:gridSpan w:val="3"/>
            <w:tcBorders>
              <w:top w:val="nil"/>
              <w:left w:val="nil"/>
              <w:bottom w:val="single" w:sz="8" w:space="0" w:color="000000"/>
              <w:right w:val="single" w:sz="4" w:space="0" w:color="000000"/>
            </w:tcBorders>
            <w:shd w:val="clear" w:color="CCCCFF" w:fill="C0C0C0"/>
            <w:vAlign w:val="center"/>
            <w:hideMark/>
          </w:tcPr>
          <w:p w:rsidR="00F04549" w:rsidRPr="00F04549" w:rsidRDefault="00F04549" w:rsidP="00F04549">
            <w:pPr>
              <w:spacing w:after="0" w:line="240" w:lineRule="auto"/>
              <w:jc w:val="right"/>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w:t>
            </w:r>
          </w:p>
        </w:tc>
      </w:tr>
      <w:tr w:rsidR="00F04549" w:rsidRPr="00F04549" w:rsidTr="00677FC7">
        <w:trPr>
          <w:gridAfter w:val="1"/>
          <w:wAfter w:w="2184" w:type="dxa"/>
          <w:trHeight w:val="300"/>
        </w:trPr>
        <w:tc>
          <w:tcPr>
            <w:tcW w:w="7916" w:type="dxa"/>
            <w:gridSpan w:val="10"/>
            <w:tcBorders>
              <w:top w:val="single" w:sz="8" w:space="0" w:color="000000"/>
              <w:left w:val="nil"/>
              <w:bottom w:val="nil"/>
              <w:right w:val="nil"/>
            </w:tcBorders>
            <w:shd w:val="clear" w:color="auto" w:fill="auto"/>
            <w:vAlign w:val="center"/>
            <w:hideMark/>
          </w:tcPr>
          <w:p w:rsidR="00F04549" w:rsidRPr="00F04549" w:rsidRDefault="00F04549" w:rsidP="00F04549">
            <w:pPr>
              <w:spacing w:after="0" w:line="240" w:lineRule="auto"/>
              <w:jc w:val="right"/>
              <w:rPr>
                <w:rFonts w:ascii="StobiSerif Regular" w:eastAsia="Times New Roman" w:hAnsi="StobiSerif Regular" w:cs="Times New Roman"/>
                <w:i/>
                <w:iCs/>
                <w:sz w:val="16"/>
                <w:szCs w:val="16"/>
                <w:lang w:eastAsia="mk-MK"/>
              </w:rPr>
            </w:pPr>
            <w:r w:rsidRPr="00F04549">
              <w:rPr>
                <w:rFonts w:ascii="StobiSerif Regular" w:eastAsia="Times New Roman" w:hAnsi="StobiSerif Regular" w:cs="Times New Roman"/>
                <w:i/>
                <w:iCs/>
                <w:sz w:val="16"/>
                <w:szCs w:val="16"/>
                <w:lang w:eastAsia="mk-MK"/>
              </w:rPr>
              <w:t xml:space="preserve">(Податоците се во евра и се однесуваат на вкупните јавни трошоци) </w:t>
            </w:r>
          </w:p>
        </w:tc>
      </w:tr>
      <w:tr w:rsidR="00F04549" w:rsidRPr="00F04549" w:rsidTr="00677FC7">
        <w:trPr>
          <w:trHeight w:val="810"/>
        </w:trPr>
        <w:tc>
          <w:tcPr>
            <w:tcW w:w="10100" w:type="dxa"/>
            <w:gridSpan w:val="11"/>
            <w:tcBorders>
              <w:top w:val="nil"/>
              <w:left w:val="nil"/>
              <w:bottom w:val="nil"/>
              <w:right w:val="nil"/>
            </w:tcBorders>
            <w:shd w:val="clear" w:color="auto" w:fill="auto"/>
            <w:vAlign w:val="bottom"/>
            <w:hideMark/>
          </w:tcPr>
          <w:p w:rsidR="00F04549" w:rsidRPr="00F04549" w:rsidRDefault="00F04549" w:rsidP="00F04549">
            <w:pPr>
              <w:spacing w:after="0" w:line="240" w:lineRule="auto"/>
              <w:jc w:val="center"/>
              <w:rPr>
                <w:rFonts w:ascii="StobiSerif Regular" w:eastAsia="Times New Roman" w:hAnsi="StobiSerif Regular" w:cs="Times New Roman"/>
                <w:b/>
                <w:bCs/>
                <w:color w:val="000000"/>
                <w:sz w:val="16"/>
                <w:szCs w:val="16"/>
                <w:lang w:eastAsia="mk-MK"/>
              </w:rPr>
            </w:pPr>
            <w:r w:rsidRPr="00F04549">
              <w:rPr>
                <w:rFonts w:ascii="StobiSerif Regular" w:eastAsia="Times New Roman" w:hAnsi="StobiSerif Regular" w:cs="Times New Roman"/>
                <w:b/>
                <w:bCs/>
                <w:color w:val="000000"/>
                <w:sz w:val="16"/>
                <w:szCs w:val="16"/>
                <w:lang w:eastAsia="mk-MK"/>
              </w:rPr>
              <w:t>Стапка на грешки за тековната и за претходната година (се пресметува во согласност со наодите од страна на НАО/MS)</w:t>
            </w:r>
          </w:p>
        </w:tc>
      </w:tr>
      <w:tr w:rsidR="00F04549" w:rsidRPr="00F04549" w:rsidTr="00677FC7">
        <w:trPr>
          <w:trHeight w:val="480"/>
        </w:trPr>
        <w:tc>
          <w:tcPr>
            <w:tcW w:w="4980" w:type="dxa"/>
            <w:gridSpan w:val="6"/>
            <w:tcBorders>
              <w:top w:val="single" w:sz="8" w:space="0" w:color="000000"/>
              <w:left w:val="single" w:sz="8" w:space="0" w:color="000000"/>
              <w:bottom w:val="single" w:sz="8"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Стапка на грешки за тековната 2016</w:t>
            </w:r>
          </w:p>
        </w:tc>
        <w:tc>
          <w:tcPr>
            <w:tcW w:w="5120" w:type="dxa"/>
            <w:gridSpan w:val="5"/>
            <w:tcBorders>
              <w:top w:val="single" w:sz="8" w:space="0" w:color="000000"/>
              <w:left w:val="nil"/>
              <w:bottom w:val="single" w:sz="8" w:space="0" w:color="000000"/>
              <w:right w:val="single" w:sz="8"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Стапка на грешки за 2015</w:t>
            </w:r>
          </w:p>
        </w:tc>
      </w:tr>
      <w:tr w:rsidR="00F04549" w:rsidRPr="00F04549" w:rsidTr="00677FC7">
        <w:trPr>
          <w:trHeight w:val="1417"/>
        </w:trPr>
        <w:tc>
          <w:tcPr>
            <w:tcW w:w="1580" w:type="dxa"/>
            <w:gridSpan w:val="2"/>
            <w:tcBorders>
              <w:top w:val="nil"/>
              <w:left w:val="single" w:sz="8" w:space="0" w:color="000000"/>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Авторизиран</w:t>
            </w:r>
          </w:p>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  износ на крајниот корисник од страна на ИПАРД Агенцијата за 2016</w:t>
            </w:r>
          </w:p>
        </w:tc>
        <w:tc>
          <w:tcPr>
            <w:tcW w:w="1620"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Намалувања од страна на NAO/MS</w:t>
            </w:r>
          </w:p>
        </w:tc>
        <w:tc>
          <w:tcPr>
            <w:tcW w:w="1780"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Стапка на грешки за 2016</w:t>
            </w:r>
          </w:p>
        </w:tc>
        <w:tc>
          <w:tcPr>
            <w:tcW w:w="1460"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Авторизиран</w:t>
            </w:r>
          </w:p>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 xml:space="preserve">  износ на крајниот корисник од страна на ИПАРД Агенцијата за 2015</w:t>
            </w:r>
          </w:p>
        </w:tc>
        <w:tc>
          <w:tcPr>
            <w:tcW w:w="1460" w:type="dxa"/>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Намалувања од страна на NAO/MS</w:t>
            </w:r>
          </w:p>
        </w:tc>
        <w:tc>
          <w:tcPr>
            <w:tcW w:w="2200" w:type="dxa"/>
            <w:gridSpan w:val="2"/>
            <w:tcBorders>
              <w:top w:val="nil"/>
              <w:left w:val="nil"/>
              <w:bottom w:val="single" w:sz="4" w:space="0" w:color="000000"/>
              <w:right w:val="single" w:sz="8"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Стапка на грешки за 2015</w:t>
            </w:r>
          </w:p>
        </w:tc>
      </w:tr>
      <w:tr w:rsidR="00F04549" w:rsidRPr="00F04549" w:rsidTr="00677FC7">
        <w:trPr>
          <w:trHeight w:val="360"/>
        </w:trPr>
        <w:tc>
          <w:tcPr>
            <w:tcW w:w="1580" w:type="dxa"/>
            <w:gridSpan w:val="2"/>
            <w:tcBorders>
              <w:top w:val="nil"/>
              <w:left w:val="single" w:sz="8" w:space="0" w:color="000000"/>
              <w:bottom w:val="nil"/>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1</w:t>
            </w:r>
          </w:p>
        </w:tc>
        <w:tc>
          <w:tcPr>
            <w:tcW w:w="1620"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2</w:t>
            </w:r>
          </w:p>
        </w:tc>
        <w:tc>
          <w:tcPr>
            <w:tcW w:w="1780"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3=2/1</w:t>
            </w:r>
          </w:p>
        </w:tc>
        <w:tc>
          <w:tcPr>
            <w:tcW w:w="1460" w:type="dxa"/>
            <w:gridSpan w:val="2"/>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 </w:t>
            </w:r>
          </w:p>
        </w:tc>
        <w:tc>
          <w:tcPr>
            <w:tcW w:w="1460" w:type="dxa"/>
            <w:tcBorders>
              <w:top w:val="nil"/>
              <w:left w:val="nil"/>
              <w:bottom w:val="single" w:sz="4" w:space="0" w:color="000000"/>
              <w:right w:val="single" w:sz="4"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 </w:t>
            </w:r>
          </w:p>
        </w:tc>
        <w:tc>
          <w:tcPr>
            <w:tcW w:w="2200" w:type="dxa"/>
            <w:gridSpan w:val="2"/>
            <w:tcBorders>
              <w:top w:val="nil"/>
              <w:left w:val="nil"/>
              <w:bottom w:val="nil"/>
              <w:right w:val="single" w:sz="8" w:space="0" w:color="000000"/>
            </w:tcBorders>
            <w:shd w:val="clear" w:color="808080" w:fill="969696"/>
            <w:vAlign w:val="center"/>
            <w:hideMark/>
          </w:tcPr>
          <w:p w:rsidR="00F04549" w:rsidRPr="00F04549" w:rsidRDefault="00F04549" w:rsidP="00F04549">
            <w:pPr>
              <w:spacing w:after="0" w:line="240" w:lineRule="auto"/>
              <w:jc w:val="center"/>
              <w:rPr>
                <w:rFonts w:ascii="StobiSerif Regular" w:eastAsia="Times New Roman" w:hAnsi="StobiSerif Regular" w:cs="Times New Roman"/>
                <w:sz w:val="16"/>
                <w:szCs w:val="16"/>
                <w:lang w:eastAsia="mk-MK"/>
              </w:rPr>
            </w:pPr>
            <w:r w:rsidRPr="00F04549">
              <w:rPr>
                <w:rFonts w:ascii="StobiSerif Regular" w:eastAsia="Times New Roman" w:hAnsi="StobiSerif Regular" w:cs="Times New Roman"/>
                <w:sz w:val="16"/>
                <w:szCs w:val="16"/>
                <w:lang w:eastAsia="mk-MK"/>
              </w:rPr>
              <w:t> </w:t>
            </w:r>
          </w:p>
        </w:tc>
      </w:tr>
      <w:tr w:rsidR="00F04549" w:rsidRPr="00F04549" w:rsidTr="00677FC7">
        <w:trPr>
          <w:trHeight w:val="390"/>
        </w:trPr>
        <w:tc>
          <w:tcPr>
            <w:tcW w:w="158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04549" w:rsidRPr="00F04549" w:rsidRDefault="00F04549" w:rsidP="00F04549">
            <w:pPr>
              <w:spacing w:after="0" w:line="240" w:lineRule="auto"/>
              <w:jc w:val="center"/>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4,117,444 €</w:t>
            </w:r>
          </w:p>
        </w:tc>
        <w:tc>
          <w:tcPr>
            <w:tcW w:w="1620" w:type="dxa"/>
            <w:gridSpan w:val="2"/>
            <w:tcBorders>
              <w:top w:val="nil"/>
              <w:left w:val="nil"/>
              <w:bottom w:val="single" w:sz="8" w:space="0" w:color="000000"/>
              <w:right w:val="single" w:sz="4" w:space="0" w:color="000000"/>
            </w:tcBorders>
            <w:shd w:val="clear" w:color="auto" w:fill="auto"/>
            <w:noWrap/>
            <w:vAlign w:val="bottom"/>
            <w:hideMark/>
          </w:tcPr>
          <w:p w:rsidR="00F04549" w:rsidRPr="00F04549" w:rsidRDefault="00F04549" w:rsidP="00F04549">
            <w:pPr>
              <w:spacing w:after="0" w:line="240" w:lineRule="auto"/>
              <w:jc w:val="center"/>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0 €</w:t>
            </w:r>
          </w:p>
        </w:tc>
        <w:tc>
          <w:tcPr>
            <w:tcW w:w="1780" w:type="dxa"/>
            <w:gridSpan w:val="2"/>
            <w:tcBorders>
              <w:top w:val="nil"/>
              <w:left w:val="nil"/>
              <w:bottom w:val="single" w:sz="8" w:space="0" w:color="000000"/>
              <w:right w:val="single" w:sz="4" w:space="0" w:color="000000"/>
            </w:tcBorders>
            <w:shd w:val="clear" w:color="auto" w:fill="auto"/>
            <w:noWrap/>
            <w:vAlign w:val="bottom"/>
            <w:hideMark/>
          </w:tcPr>
          <w:p w:rsidR="00F04549" w:rsidRPr="00F04549" w:rsidRDefault="00F04549" w:rsidP="00F04549">
            <w:pPr>
              <w:spacing w:after="0" w:line="240" w:lineRule="auto"/>
              <w:jc w:val="center"/>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0.00%</w:t>
            </w:r>
          </w:p>
        </w:tc>
        <w:tc>
          <w:tcPr>
            <w:tcW w:w="1460" w:type="dxa"/>
            <w:gridSpan w:val="2"/>
            <w:tcBorders>
              <w:top w:val="nil"/>
              <w:left w:val="single" w:sz="8" w:space="0" w:color="auto"/>
              <w:bottom w:val="single" w:sz="8" w:space="0" w:color="auto"/>
              <w:right w:val="single" w:sz="4" w:space="0" w:color="auto"/>
            </w:tcBorders>
            <w:shd w:val="clear" w:color="auto" w:fill="auto"/>
            <w:noWrap/>
            <w:vAlign w:val="bottom"/>
            <w:hideMark/>
          </w:tcPr>
          <w:p w:rsidR="00F04549" w:rsidRPr="00F04549" w:rsidRDefault="00F04549" w:rsidP="00F04549">
            <w:pPr>
              <w:spacing w:after="0" w:line="240" w:lineRule="auto"/>
              <w:jc w:val="center"/>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2,397,295 €</w:t>
            </w:r>
          </w:p>
        </w:tc>
        <w:tc>
          <w:tcPr>
            <w:tcW w:w="1460" w:type="dxa"/>
            <w:tcBorders>
              <w:top w:val="nil"/>
              <w:left w:val="nil"/>
              <w:bottom w:val="single" w:sz="8" w:space="0" w:color="000000"/>
              <w:right w:val="single" w:sz="4" w:space="0" w:color="000000"/>
            </w:tcBorders>
            <w:shd w:val="clear" w:color="auto" w:fill="auto"/>
            <w:noWrap/>
            <w:vAlign w:val="bottom"/>
            <w:hideMark/>
          </w:tcPr>
          <w:p w:rsidR="00F04549" w:rsidRPr="00F04549" w:rsidRDefault="00F04549" w:rsidP="00F04549">
            <w:pPr>
              <w:spacing w:after="0" w:line="240" w:lineRule="auto"/>
              <w:jc w:val="center"/>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0 €</w:t>
            </w:r>
          </w:p>
        </w:tc>
        <w:tc>
          <w:tcPr>
            <w:tcW w:w="220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04549" w:rsidRPr="00F04549" w:rsidRDefault="00F04549" w:rsidP="00F04549">
            <w:pPr>
              <w:spacing w:after="0" w:line="240" w:lineRule="auto"/>
              <w:jc w:val="center"/>
              <w:rPr>
                <w:rFonts w:ascii="StobiSerif Regular" w:eastAsia="Times New Roman" w:hAnsi="StobiSerif Regular" w:cs="Times New Roman"/>
                <w:color w:val="000000"/>
                <w:sz w:val="16"/>
                <w:szCs w:val="16"/>
                <w:lang w:eastAsia="mk-MK"/>
              </w:rPr>
            </w:pPr>
            <w:r w:rsidRPr="00F04549">
              <w:rPr>
                <w:rFonts w:ascii="StobiSerif Regular" w:eastAsia="Times New Roman" w:hAnsi="StobiSerif Regular" w:cs="Times New Roman"/>
                <w:color w:val="000000"/>
                <w:sz w:val="16"/>
                <w:szCs w:val="16"/>
                <w:lang w:eastAsia="mk-MK"/>
              </w:rPr>
              <w:t>0.00%</w:t>
            </w:r>
          </w:p>
        </w:tc>
      </w:tr>
    </w:tbl>
    <w:p w:rsidR="00F05752" w:rsidRPr="00F04549" w:rsidRDefault="00F05752" w:rsidP="00F04549">
      <w:pPr>
        <w:spacing w:before="120" w:after="120"/>
        <w:rPr>
          <w:rFonts w:ascii="StobiSerif Regular" w:hAnsi="StobiSerif Regular"/>
          <w:lang w:eastAsia="mk-MK"/>
        </w:rPr>
      </w:pPr>
    </w:p>
    <w:sectPr w:rsidR="00F05752" w:rsidRPr="00F04549" w:rsidSect="00F04549">
      <w:headerReference w:type="first" r:id="rId20"/>
      <w:pgSz w:w="16834" w:h="11904" w:orient="landscape"/>
      <w:pgMar w:top="993" w:right="1094" w:bottom="1361"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162" w:rsidRDefault="00762162" w:rsidP="00590304">
      <w:pPr>
        <w:spacing w:after="0" w:line="240" w:lineRule="auto"/>
      </w:pPr>
      <w:r>
        <w:separator/>
      </w:r>
    </w:p>
  </w:endnote>
  <w:endnote w:type="continuationSeparator" w:id="0">
    <w:p w:rsidR="00762162" w:rsidRDefault="00762162" w:rsidP="0059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
    <w:altName w:val="Times New Roman"/>
    <w:panose1 w:val="00000000000000000000"/>
    <w:charset w:val="CC"/>
    <w:family w:val="auto"/>
    <w:notTrueType/>
    <w:pitch w:val="default"/>
    <w:sig w:usb0="00000201" w:usb1="00000000" w:usb2="00000000" w:usb3="00000000" w:csb0="00000004"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ItalicMT">
    <w:altName w:val="Matura MT Script Capitals"/>
    <w:charset w:val="CC"/>
    <w:family w:val="script"/>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090602"/>
      <w:docPartObj>
        <w:docPartGallery w:val="Page Numbers (Bottom of Page)"/>
        <w:docPartUnique/>
      </w:docPartObj>
    </w:sdtPr>
    <w:sdtEndPr>
      <w:rPr>
        <w:noProof/>
      </w:rPr>
    </w:sdtEndPr>
    <w:sdtContent>
      <w:p w:rsidR="00E51D25" w:rsidRDefault="00E51D25">
        <w:pPr>
          <w:pStyle w:val="Footer"/>
          <w:jc w:val="right"/>
        </w:pPr>
        <w:r>
          <w:fldChar w:fldCharType="begin"/>
        </w:r>
        <w:r>
          <w:instrText xml:space="preserve"> PAGE   \* MERGEFORMAT </w:instrText>
        </w:r>
        <w:r>
          <w:fldChar w:fldCharType="separate"/>
        </w:r>
        <w:r w:rsidR="00811CD9">
          <w:rPr>
            <w:noProof/>
          </w:rPr>
          <w:t>12</w:t>
        </w:r>
        <w:r>
          <w:rPr>
            <w:noProof/>
          </w:rPr>
          <w:fldChar w:fldCharType="end"/>
        </w:r>
      </w:p>
    </w:sdtContent>
  </w:sdt>
  <w:p w:rsidR="00E51D25" w:rsidRDefault="00E51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162" w:rsidRDefault="00762162" w:rsidP="00590304">
      <w:pPr>
        <w:spacing w:after="0" w:line="240" w:lineRule="auto"/>
      </w:pPr>
      <w:r>
        <w:separator/>
      </w:r>
    </w:p>
  </w:footnote>
  <w:footnote w:type="continuationSeparator" w:id="0">
    <w:p w:rsidR="00762162" w:rsidRDefault="00762162" w:rsidP="00590304">
      <w:pPr>
        <w:spacing w:after="0" w:line="240" w:lineRule="auto"/>
      </w:pPr>
      <w:r>
        <w:continuationSeparator/>
      </w:r>
    </w:p>
  </w:footnote>
  <w:footnote w:id="1">
    <w:p w:rsidR="00E51D25" w:rsidRPr="00180861" w:rsidRDefault="00E51D25" w:rsidP="00E75E28">
      <w:pPr>
        <w:pStyle w:val="FootnoteText"/>
        <w:rPr>
          <w:rFonts w:ascii="StobiSerif Regular" w:hAnsi="StobiSerif Regular"/>
          <w:sz w:val="16"/>
          <w:szCs w:val="16"/>
        </w:rPr>
      </w:pPr>
      <w:r>
        <w:rPr>
          <w:rStyle w:val="FootnoteReference"/>
        </w:rPr>
        <w:footnoteRef/>
      </w:r>
      <w:r>
        <w:rPr>
          <w:rStyle w:val="shorttext"/>
          <w:rFonts w:ascii="StobiSerif Regular" w:hAnsi="StobiSerif Regular"/>
          <w:sz w:val="16"/>
          <w:szCs w:val="16"/>
          <w:lang w:val="mk-MK"/>
        </w:rPr>
        <w:t>Податоците се проценети врз основ на реални податоци</w:t>
      </w:r>
    </w:p>
  </w:footnote>
  <w:footnote w:id="2">
    <w:p w:rsidR="00E51D25" w:rsidRPr="003F533B" w:rsidRDefault="00E51D25" w:rsidP="00194389">
      <w:pPr>
        <w:pStyle w:val="FootnoteText"/>
        <w:rPr>
          <w:rFonts w:ascii="StobiSerif Regular" w:hAnsi="StobiSerif Regular"/>
          <w:sz w:val="18"/>
          <w:szCs w:val="18"/>
        </w:rPr>
      </w:pPr>
      <w:r w:rsidRPr="005A2BEF">
        <w:rPr>
          <w:rStyle w:val="FootnoteReference"/>
          <w:rFonts w:ascii="StobiSerif Regular" w:hAnsi="StobiSerif Regular"/>
          <w:sz w:val="18"/>
          <w:szCs w:val="18"/>
        </w:rPr>
        <w:footnoteRef/>
      </w:r>
      <w:r w:rsidRPr="005A2BEF">
        <w:rPr>
          <w:rFonts w:ascii="StobiSerif Regular" w:hAnsi="StobiSerif Regular"/>
          <w:sz w:val="18"/>
          <w:szCs w:val="18"/>
        </w:rPr>
        <w:t xml:space="preserve"> </w:t>
      </w:r>
      <w:r w:rsidRPr="007C2528">
        <w:rPr>
          <w:rFonts w:ascii="StobiSerif Regular" w:hAnsi="StobiSerif Regular"/>
          <w:sz w:val="18"/>
          <w:szCs w:val="18"/>
        </w:rPr>
        <w:t xml:space="preserve">По поднесената </w:t>
      </w:r>
      <w:r>
        <w:rPr>
          <w:rFonts w:ascii="StobiSerif Regular" w:hAnsi="StobiSerif Regular"/>
          <w:sz w:val="18"/>
          <w:szCs w:val="18"/>
          <w:lang w:val="mk-MK"/>
        </w:rPr>
        <w:t xml:space="preserve">АОР, </w:t>
      </w:r>
      <w:r w:rsidRPr="007C2528">
        <w:rPr>
          <w:rFonts w:ascii="StobiSerif Regular" w:hAnsi="StobiSerif Regular"/>
          <w:sz w:val="18"/>
          <w:szCs w:val="18"/>
        </w:rPr>
        <w:t xml:space="preserve"> Агенцијата поднесе корекција на статусот на вработените во Агенцијата</w:t>
      </w:r>
    </w:p>
  </w:footnote>
  <w:footnote w:id="3">
    <w:p w:rsidR="00E51D25" w:rsidRDefault="00E51D25" w:rsidP="00194389">
      <w:pPr>
        <w:pStyle w:val="FootnoteText"/>
      </w:pPr>
      <w:r>
        <w:rPr>
          <w:rStyle w:val="FootnoteReference"/>
        </w:rPr>
        <w:footnoteRef/>
      </w:r>
      <w:r>
        <w:t xml:space="preserve">Податоците во табелата се заклучно со 31.12.2016 </w:t>
      </w:r>
    </w:p>
  </w:footnote>
  <w:footnote w:id="4">
    <w:p w:rsidR="00E51D25" w:rsidRDefault="00E51D25" w:rsidP="00894447">
      <w:pPr>
        <w:suppressAutoHyphens/>
        <w:spacing w:after="0" w:line="240" w:lineRule="auto"/>
        <w:jc w:val="both"/>
      </w:pPr>
      <w:r>
        <w:rPr>
          <w:rFonts w:ascii="StobiSerif Regular" w:eastAsia="Times New Roman" w:hAnsi="StobiSerif Regular"/>
          <w:sz w:val="16"/>
          <w:szCs w:val="16"/>
          <w:lang w:val="en-US" w:eastAsia="mk-MK"/>
        </w:rPr>
        <w:footnoteRef/>
      </w:r>
      <w:r>
        <w:rPr>
          <w:rFonts w:ascii="StobiSerif Regular" w:eastAsia="Times New Roman" w:hAnsi="StobiSerif Regular"/>
          <w:sz w:val="16"/>
          <w:szCs w:val="16"/>
          <w:lang w:val="en-US" w:eastAsia="mk-MK"/>
        </w:rPr>
        <w:t xml:space="preserve"> </w:t>
      </w:r>
      <w:r>
        <w:rPr>
          <w:rFonts w:ascii="StobiSerif Regular" w:eastAsia="Times New Roman" w:hAnsi="StobiSerif Regular"/>
          <w:sz w:val="16"/>
          <w:szCs w:val="16"/>
          <w:lang w:eastAsia="mk-MK"/>
        </w:rPr>
        <w:t>С</w:t>
      </w:r>
      <w:r w:rsidRPr="00894447">
        <w:rPr>
          <w:rFonts w:ascii="StobiSerif Regular" w:eastAsia="Times New Roman" w:hAnsi="StobiSerif Regular"/>
          <w:sz w:val="16"/>
          <w:szCs w:val="16"/>
          <w:lang w:val="en-US" w:eastAsia="mk-MK"/>
        </w:rPr>
        <w:t>лужби</w:t>
      </w:r>
      <w:r>
        <w:rPr>
          <w:rFonts w:ascii="StobiSerif Regular" w:eastAsia="Times New Roman" w:hAnsi="StobiSerif Regular"/>
          <w:sz w:val="16"/>
          <w:szCs w:val="16"/>
          <w:lang w:eastAsia="mk-MK"/>
        </w:rPr>
        <w:t>те на</w:t>
      </w:r>
      <w:r w:rsidRPr="00894447">
        <w:rPr>
          <w:rFonts w:ascii="StobiSerif Regular" w:eastAsia="Times New Roman" w:hAnsi="StobiSerif Regular"/>
          <w:sz w:val="16"/>
          <w:szCs w:val="16"/>
          <w:lang w:val="en-US" w:eastAsia="mk-MK"/>
        </w:rPr>
        <w:t xml:space="preserve"> НФ и ГД Агр</w:t>
      </w:r>
      <w:r>
        <w:rPr>
          <w:rFonts w:ascii="StobiSerif Regular" w:eastAsia="Times New Roman" w:hAnsi="StobiSerif Regular"/>
          <w:sz w:val="16"/>
          <w:szCs w:val="16"/>
          <w:lang w:eastAsia="mk-MK"/>
        </w:rPr>
        <w:t>и</w:t>
      </w:r>
      <w:r w:rsidRPr="00894447">
        <w:rPr>
          <w:rFonts w:ascii="StobiSerif Regular" w:eastAsia="Times New Roman" w:hAnsi="StobiSerif Regular"/>
          <w:sz w:val="16"/>
          <w:szCs w:val="16"/>
          <w:lang w:val="en-US" w:eastAsia="mk-MK"/>
        </w:rPr>
        <w:t xml:space="preserve"> разговараа за различна стапка (85% ИПА и 15% НКФ) </w:t>
      </w:r>
      <w:r>
        <w:rPr>
          <w:rFonts w:ascii="StobiSerif Regular" w:eastAsia="Times New Roman" w:hAnsi="StobiSerif Regular"/>
          <w:sz w:val="16"/>
          <w:szCs w:val="16"/>
          <w:lang w:eastAsia="mk-MK"/>
        </w:rPr>
        <w:t>предвидена</w:t>
      </w:r>
      <w:r w:rsidRPr="00894447">
        <w:rPr>
          <w:rFonts w:ascii="StobiSerif Regular" w:eastAsia="Times New Roman" w:hAnsi="StobiSerif Regular"/>
          <w:sz w:val="16"/>
          <w:szCs w:val="16"/>
          <w:lang w:val="en-US" w:eastAsia="mk-MK"/>
        </w:rPr>
        <w:t xml:space="preserve"> за проекти во согласност со ИПАРД Програмата и Секторскиот договор кои се поврзани со инвестициските проекти спроведени во регионите погодени од природни катастрофи - поплава за Апликации Q2 / 2016, Q3 / 2016 и Q4 / 2016. Беше одлучено дека разликата помеѓу стапката на кофинансирање која автоматски ќе се пресмета од страна на SFC системот (75%) и вистинската стапка на кофинансирање што ќе се применува од 85% ќе биде вклучена во колоната за корекција на формула D1 (кол</w:t>
      </w:r>
      <w:r>
        <w:rPr>
          <w:rFonts w:ascii="StobiSerif Regular" w:eastAsia="Times New Roman" w:hAnsi="StobiSerif Regular"/>
          <w:sz w:val="16"/>
          <w:szCs w:val="16"/>
          <w:lang w:val="en-US" w:eastAsia="mk-MK"/>
        </w:rPr>
        <w:t xml:space="preserve">она 4) </w:t>
      </w:r>
      <w:r>
        <w:rPr>
          <w:rFonts w:ascii="StobiSerif Regular" w:eastAsia="Times New Roman" w:hAnsi="StobiSerif Regular"/>
          <w:sz w:val="16"/>
          <w:szCs w:val="16"/>
          <w:lang w:eastAsia="mk-MK"/>
        </w:rPr>
        <w:t>к</w:t>
      </w:r>
      <w:r w:rsidRPr="00894447">
        <w:rPr>
          <w:rFonts w:ascii="StobiSerif Regular" w:eastAsia="Times New Roman" w:hAnsi="StobiSerif Regular"/>
          <w:sz w:val="16"/>
          <w:szCs w:val="16"/>
          <w:lang w:val="en-US" w:eastAsia="mk-MK"/>
        </w:rPr>
        <w:t>ако позитивна корекција</w:t>
      </w:r>
      <w:r>
        <w:rPr>
          <w:rFonts w:ascii="StobiSerif Regular" w:eastAsia="Times New Roman" w:hAnsi="StobiSerif Regular"/>
          <w:sz w:val="16"/>
          <w:szCs w:val="16"/>
          <w:lang w:val="en-US" w:eastAsia="mk-MK"/>
        </w:rPr>
        <w:t>.</w:t>
      </w:r>
    </w:p>
  </w:footnote>
  <w:footnote w:id="5">
    <w:p w:rsidR="00E51D25" w:rsidRDefault="00E51D25" w:rsidP="00B04816">
      <w:pPr>
        <w:pStyle w:val="FootnoteText"/>
      </w:pPr>
      <w:r>
        <w:rPr>
          <w:rStyle w:val="FootnoteReference"/>
        </w:rPr>
        <w:footnoteRef/>
      </w:r>
      <w:r>
        <w:rPr>
          <w:sz w:val="16"/>
          <w:szCs w:val="16"/>
        </w:rPr>
        <w:t xml:space="preserve">Еx-post контроли се извршени на инвестиции исплатени во приод од </w:t>
      </w:r>
      <w:r w:rsidRPr="00A4075A">
        <w:rPr>
          <w:sz w:val="16"/>
          <w:szCs w:val="16"/>
        </w:rPr>
        <w:t xml:space="preserve"> 2011, 2012, 2013</w:t>
      </w:r>
      <w:r>
        <w:rPr>
          <w:sz w:val="16"/>
          <w:szCs w:val="16"/>
        </w:rPr>
        <w:t>,</w:t>
      </w:r>
      <w:r w:rsidRPr="00A4075A">
        <w:rPr>
          <w:sz w:val="16"/>
          <w:szCs w:val="16"/>
        </w:rPr>
        <w:t xml:space="preserve"> 2014</w:t>
      </w:r>
      <w:r w:rsidRPr="00953969">
        <w:rPr>
          <w:sz w:val="16"/>
          <w:szCs w:val="16"/>
        </w:rPr>
        <w:t xml:space="preserve"> </w:t>
      </w:r>
      <w:r>
        <w:rPr>
          <w:sz w:val="16"/>
          <w:szCs w:val="16"/>
        </w:rPr>
        <w:t>и 2015</w:t>
      </w:r>
    </w:p>
  </w:footnote>
  <w:footnote w:id="6">
    <w:p w:rsidR="00E51D25" w:rsidRPr="00FF651B" w:rsidRDefault="00E51D25" w:rsidP="00B04816">
      <w:pPr>
        <w:pStyle w:val="FootnoteText"/>
        <w:rPr>
          <w:rFonts w:ascii="StobiSerif Regular" w:hAnsi="StobiSerif Regular"/>
        </w:rPr>
      </w:pPr>
      <w:r w:rsidRPr="00FF651B">
        <w:rPr>
          <w:rStyle w:val="FootnoteReference"/>
          <w:rFonts w:ascii="StobiSerif Regular" w:hAnsi="StobiSerif Regular"/>
        </w:rPr>
        <w:footnoteRef/>
      </w:r>
      <w:r w:rsidRPr="00FF651B">
        <w:rPr>
          <w:rFonts w:ascii="StobiSerif Regular" w:hAnsi="StobiSerif Regular"/>
        </w:rPr>
        <w:t xml:space="preserve"> </w:t>
      </w:r>
      <w:r w:rsidRPr="003F5A46">
        <w:rPr>
          <w:rFonts w:ascii="StobiSerif Regular" w:hAnsi="StobiSerif Regular"/>
          <w:sz w:val="16"/>
          <w:szCs w:val="16"/>
        </w:rPr>
        <w:t>Намалувањата се однесуваат на вкупната сума побарана од подносителот на барањето и одобрениот износ (потпишан договор) од страна на ИПАРД Агенцијата. Податоците наведени во статистички</w:t>
      </w:r>
      <w:r w:rsidRPr="003F5A46">
        <w:rPr>
          <w:rFonts w:ascii="StobiSerif Regular" w:hAnsi="StobiSerif Regular"/>
          <w:sz w:val="16"/>
          <w:szCs w:val="16"/>
          <w:lang w:val="mk-MK"/>
        </w:rPr>
        <w:t>те</w:t>
      </w:r>
      <w:r w:rsidRPr="003F5A46">
        <w:rPr>
          <w:rFonts w:ascii="StobiSerif Regular" w:hAnsi="StobiSerif Regular"/>
          <w:sz w:val="16"/>
          <w:szCs w:val="16"/>
        </w:rPr>
        <w:t xml:space="preserve"> информации од ИПАРД Агенцијата се изразуваат во денарска противвредност, за пресметување на износот на еврото се користи девизниот курс </w:t>
      </w:r>
      <w:r w:rsidRPr="003F5A46">
        <w:rPr>
          <w:rFonts w:ascii="StobiSerif Regular" w:hAnsi="StobiSerif Regular"/>
          <w:sz w:val="16"/>
          <w:szCs w:val="16"/>
          <w:lang w:val="mk-MK"/>
        </w:rPr>
        <w:t>од</w:t>
      </w:r>
      <w:r w:rsidRPr="003F5A46">
        <w:rPr>
          <w:rFonts w:ascii="StobiSerif Regular" w:hAnsi="StobiSerif Regular"/>
          <w:sz w:val="16"/>
          <w:szCs w:val="16"/>
        </w:rPr>
        <w:t xml:space="preserve"> декември 2016 година.</w:t>
      </w:r>
    </w:p>
  </w:footnote>
  <w:footnote w:id="7">
    <w:p w:rsidR="00E51D25" w:rsidRPr="00533C38" w:rsidRDefault="00E51D25" w:rsidP="003F5A46">
      <w:pPr>
        <w:pStyle w:val="FootnoteText"/>
        <w:rPr>
          <w:rFonts w:ascii="StobiSerif Regular" w:hAnsi="StobiSerif Regular"/>
          <w:sz w:val="16"/>
          <w:szCs w:val="16"/>
        </w:rPr>
      </w:pPr>
      <w:r w:rsidRPr="00533C38">
        <w:rPr>
          <w:rStyle w:val="FootnoteReference"/>
          <w:rFonts w:ascii="StobiSerif Regular" w:hAnsi="StobiSerif Regular"/>
          <w:sz w:val="16"/>
          <w:szCs w:val="16"/>
        </w:rPr>
        <w:footnoteRef/>
      </w:r>
      <w:r w:rsidRPr="00533C38">
        <w:rPr>
          <w:rFonts w:ascii="StobiSerif Regular" w:hAnsi="StobiSerif Regular"/>
          <w:sz w:val="16"/>
          <w:szCs w:val="16"/>
        </w:rPr>
        <w:t xml:space="preserve"> Стручната проверка на барањета за исплата од страна на ИПАРД Агенцијата вклучува побарувањата за исплата кои беа добиени во 2015 година, но административната проверка е направена во 2016 година.</w:t>
      </w:r>
    </w:p>
  </w:footnote>
  <w:footnote w:id="8">
    <w:p w:rsidR="00E51D25" w:rsidRPr="00533C38" w:rsidRDefault="00E51D25" w:rsidP="003F5A46">
      <w:pPr>
        <w:pStyle w:val="FootnoteText"/>
        <w:rPr>
          <w:rFonts w:ascii="StobiSerif Regular" w:hAnsi="StobiSerif Regular"/>
          <w:sz w:val="16"/>
          <w:szCs w:val="16"/>
        </w:rPr>
      </w:pPr>
      <w:r w:rsidRPr="00533C38">
        <w:rPr>
          <w:rStyle w:val="FootnoteReference"/>
          <w:rFonts w:ascii="StobiSerif Regular" w:hAnsi="StobiSerif Regular"/>
          <w:sz w:val="16"/>
          <w:szCs w:val="16"/>
        </w:rPr>
        <w:footnoteRef/>
      </w:r>
      <w:r w:rsidRPr="00533C38">
        <w:rPr>
          <w:rFonts w:ascii="StobiSerif Regular" w:hAnsi="StobiSerif Regular"/>
          <w:sz w:val="16"/>
          <w:szCs w:val="16"/>
        </w:rPr>
        <w:t xml:space="preserve">   Во прилог на редовни контроли</w:t>
      </w:r>
      <w:r w:rsidRPr="00533C38">
        <w:rPr>
          <w:rFonts w:ascii="StobiSerif Regular" w:hAnsi="StobiSerif Regular"/>
          <w:sz w:val="16"/>
          <w:szCs w:val="16"/>
          <w:lang w:val="mk-MK"/>
        </w:rPr>
        <w:t>, постојат</w:t>
      </w:r>
      <w:r w:rsidRPr="00533C38">
        <w:rPr>
          <w:rFonts w:ascii="StobiSerif Regular" w:hAnsi="StobiSerif Regular"/>
          <w:sz w:val="16"/>
          <w:szCs w:val="16"/>
        </w:rPr>
        <w:t xml:space="preserve"> и контроли што се вршат од страна на ИПАРД Агенцијата, кои се однесуваат на скриените дела.</w:t>
      </w:r>
    </w:p>
  </w:footnote>
  <w:footnote w:id="9">
    <w:p w:rsidR="00E51D25" w:rsidRPr="00196F8E" w:rsidRDefault="00E51D25" w:rsidP="003F5A46">
      <w:pPr>
        <w:pStyle w:val="FootnoteText"/>
        <w:rPr>
          <w:rFonts w:ascii="StobiSerif Regular" w:hAnsi="StobiSerif Regular"/>
          <w:sz w:val="16"/>
          <w:szCs w:val="16"/>
        </w:rPr>
      </w:pPr>
      <w:r w:rsidRPr="00533C38">
        <w:rPr>
          <w:rStyle w:val="FootnoteReference"/>
          <w:rFonts w:ascii="StobiSerif Regular" w:hAnsi="StobiSerif Regular"/>
          <w:sz w:val="16"/>
          <w:szCs w:val="16"/>
        </w:rPr>
        <w:footnoteRef/>
      </w:r>
      <w:r w:rsidRPr="00533C38">
        <w:rPr>
          <w:rFonts w:ascii="StobiSerif Regular" w:hAnsi="StobiSerif Regular"/>
          <w:sz w:val="16"/>
          <w:szCs w:val="16"/>
        </w:rPr>
        <w:t xml:space="preserve"> Намалувањата се однесуваат на вкупната сума побарана од подносителот на пријавата со барање за исплата и одобрениот износ (овластени) од страна на ИПАРД Агенцијата.</w:t>
      </w:r>
    </w:p>
  </w:footnote>
  <w:footnote w:id="10">
    <w:p w:rsidR="00E51D25" w:rsidRPr="00F04549" w:rsidRDefault="00E51D25" w:rsidP="00F04549">
      <w:pPr>
        <w:pStyle w:val="FootnoteText"/>
        <w:rPr>
          <w:rFonts w:ascii="StobiSerif Regular" w:hAnsi="StobiSerif Regular"/>
          <w:sz w:val="16"/>
          <w:szCs w:val="16"/>
        </w:rPr>
      </w:pPr>
      <w:r w:rsidRPr="00F04549">
        <w:rPr>
          <w:rStyle w:val="FootnoteReference"/>
          <w:rFonts w:ascii="StobiSerif Regular" w:hAnsi="StobiSerif Regular"/>
          <w:sz w:val="16"/>
          <w:szCs w:val="16"/>
        </w:rPr>
        <w:footnoteRef/>
      </w:r>
      <w:r w:rsidRPr="00F04549">
        <w:rPr>
          <w:rFonts w:ascii="StobiSerif Regular" w:hAnsi="StobiSerif Regular"/>
          <w:sz w:val="16"/>
          <w:szCs w:val="16"/>
        </w:rPr>
        <w:t xml:space="preserve"> Се однесува</w:t>
      </w:r>
      <w:r w:rsidRPr="00F04549">
        <w:rPr>
          <w:rFonts w:ascii="StobiSerif Regular" w:hAnsi="StobiSerif Regular"/>
          <w:sz w:val="16"/>
          <w:szCs w:val="16"/>
          <w:lang w:val="mk-MK"/>
        </w:rPr>
        <w:t xml:space="preserve"> </w:t>
      </w:r>
      <w:r w:rsidRPr="00F04549">
        <w:rPr>
          <w:rFonts w:ascii="StobiSerif Regular" w:hAnsi="StobiSerif Regular"/>
          <w:sz w:val="16"/>
          <w:szCs w:val="16"/>
        </w:rPr>
        <w:t>на износот</w:t>
      </w:r>
      <w:r w:rsidRPr="00F04549">
        <w:rPr>
          <w:rFonts w:ascii="StobiSerif Regular" w:hAnsi="StobiSerif Regular"/>
          <w:sz w:val="16"/>
          <w:szCs w:val="16"/>
          <w:lang w:val="mk-MK"/>
        </w:rPr>
        <w:t xml:space="preserve"> </w:t>
      </w:r>
      <w:r w:rsidRPr="00F04549">
        <w:rPr>
          <w:rFonts w:ascii="StobiSerif Regular" w:hAnsi="StobiSerif Regular"/>
          <w:sz w:val="16"/>
          <w:szCs w:val="16"/>
        </w:rPr>
        <w:t>контролиран од страна на MS за време на верификациските посети во врска со Изјавата за трошоци за третиот квартал</w:t>
      </w:r>
    </w:p>
    <w:p w:rsidR="00E51D25" w:rsidRPr="00F05752" w:rsidRDefault="00E51D25" w:rsidP="00F04549">
      <w:pPr>
        <w:pStyle w:val="FootnoteText"/>
        <w:rPr>
          <w:rFonts w:ascii="StobiSerif Regular" w:hAnsi="StobiSerif Regular"/>
          <w:sz w:val="16"/>
          <w:szCs w:val="16"/>
        </w:rPr>
      </w:pPr>
      <w:r w:rsidRPr="00F04549">
        <w:rPr>
          <w:rFonts w:ascii="StobiSerif Regular" w:hAnsi="StobiSerif Regular"/>
          <w:sz w:val="16"/>
          <w:szCs w:val="16"/>
        </w:rPr>
        <w:t>  (Проекти со ID бр: 1402101110032, 1402101110016, 1501101320327 1301103220002 и 1501101210026 ) и верификациски посети во Телото за управува</w:t>
      </w:r>
      <w:r w:rsidRPr="00F04549">
        <w:rPr>
          <w:rFonts w:ascii="StobiSerif Regular" w:hAnsi="StobiSerif Regular"/>
          <w:sz w:val="16"/>
          <w:szCs w:val="16"/>
          <w:lang w:val="mk-MK"/>
        </w:rPr>
        <w:t>ње</w:t>
      </w:r>
      <w:r w:rsidRPr="00F04549">
        <w:rPr>
          <w:rFonts w:ascii="StobiSerif Regular" w:hAnsi="StobiSerif Regular"/>
          <w:sz w:val="16"/>
          <w:szCs w:val="16"/>
        </w:rPr>
        <w:t xml:space="preserve"> </w:t>
      </w:r>
      <w:r w:rsidRPr="00F04549">
        <w:rPr>
          <w:rFonts w:ascii="StobiSerif Regular" w:hAnsi="StobiSerif Regular"/>
          <w:sz w:val="16"/>
          <w:szCs w:val="16"/>
          <w:lang w:val="mk-MK"/>
        </w:rPr>
        <w:t>опфаќајки го проектот во рамки на мерката Техничка помош</w:t>
      </w:r>
      <w:r w:rsidRPr="00F04549">
        <w:rPr>
          <w:rFonts w:ascii="StobiSerif Regular" w:hAnsi="StobiSerif Regular"/>
          <w:sz w:val="16"/>
          <w:szCs w:val="16"/>
        </w:rPr>
        <w:t xml:space="preserve"> (Проект со ID бр. 011650111).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25" w:rsidRPr="007339EA" w:rsidRDefault="00E51D25" w:rsidP="007339EA">
    <w:pPr>
      <w:tabs>
        <w:tab w:val="center" w:pos="4513"/>
        <w:tab w:val="right" w:pos="9026"/>
      </w:tabs>
      <w:spacing w:after="0" w:line="240" w:lineRule="auto"/>
      <w:jc w:val="center"/>
      <w:rPr>
        <w:rFonts w:ascii="StobiSerif Regular" w:hAnsi="StobiSerif Regular"/>
        <w:b/>
        <w:sz w:val="28"/>
        <w:szCs w:val="28"/>
        <w:lang w:val="en-US"/>
      </w:rPr>
    </w:pPr>
    <w:r w:rsidRPr="007339EA">
      <w:rPr>
        <w:rFonts w:ascii="StobiSerif Regular" w:hAnsi="StobiSerif Regular"/>
        <w:b/>
        <w:noProof/>
        <w:color w:val="7F7F7F"/>
        <w:spacing w:val="60"/>
        <w:sz w:val="28"/>
        <w:szCs w:val="28"/>
        <w:lang w:val="en-US"/>
      </w:rPr>
      <w:drawing>
        <wp:anchor distT="0" distB="0" distL="114300" distR="114300" simplePos="0" relativeHeight="251659264" behindDoc="0" locked="0" layoutInCell="1" allowOverlap="1" wp14:anchorId="59E259D5" wp14:editId="5B9D368A">
          <wp:simplePos x="0" y="0"/>
          <wp:positionH relativeFrom="column">
            <wp:posOffset>7393940</wp:posOffset>
          </wp:positionH>
          <wp:positionV relativeFrom="paragraph">
            <wp:posOffset>-153035</wp:posOffset>
          </wp:positionV>
          <wp:extent cx="457200" cy="4191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20000"/>
                    <a:grayscl/>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anchor>
      </w:drawing>
    </w:r>
    <w:r w:rsidRPr="007339EA">
      <w:rPr>
        <w:rFonts w:ascii="StobiSerif Regular" w:hAnsi="StobiSerif Regular"/>
        <w:b/>
        <w:noProof/>
        <w:color w:val="7F7F7F"/>
        <w:spacing w:val="60"/>
        <w:sz w:val="28"/>
        <w:szCs w:val="28"/>
        <w:lang w:eastAsia="mk-MK"/>
      </w:rPr>
      <w:t>ИПАРД  Годишен извештај 2016</w:t>
    </w:r>
  </w:p>
  <w:p w:rsidR="00E51D25" w:rsidRPr="00590304" w:rsidRDefault="00E51D25" w:rsidP="00590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25" w:rsidRPr="00590304" w:rsidRDefault="00E51D25" w:rsidP="00590304">
    <w:pPr>
      <w:tabs>
        <w:tab w:val="center" w:pos="4513"/>
        <w:tab w:val="right" w:pos="9026"/>
      </w:tabs>
      <w:spacing w:after="0" w:line="240" w:lineRule="auto"/>
      <w:jc w:val="center"/>
      <w:rPr>
        <w:rFonts w:ascii="StobiSerif Regular" w:hAnsi="StobiSerif Regular"/>
        <w:caps/>
        <w:lang w:val="en-US"/>
      </w:rPr>
    </w:pPr>
    <w:r w:rsidRPr="00590304">
      <w:rPr>
        <w:noProof/>
        <w:lang w:val="en-US"/>
      </w:rPr>
      <w:drawing>
        <wp:inline distT="0" distB="0" distL="0" distR="0" wp14:anchorId="6412BE29" wp14:editId="3E162208">
          <wp:extent cx="619125" cy="6762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pic:spPr>
              </pic:pic>
            </a:graphicData>
          </a:graphic>
        </wp:inline>
      </w:drawing>
    </w:r>
  </w:p>
  <w:p w:rsidR="00E51D25" w:rsidRPr="006566AC" w:rsidRDefault="00E51D25" w:rsidP="00590304">
    <w:pPr>
      <w:pStyle w:val="Header"/>
      <w:jc w:val="center"/>
      <w:rPr>
        <w:rFonts w:ascii="StobiSerif Regular" w:hAnsi="StobiSerif Regular"/>
      </w:rPr>
    </w:pPr>
    <w:r w:rsidRPr="006566AC">
      <w:rPr>
        <w:rFonts w:ascii="StobiSerif Regular" w:hAnsi="StobiSerif Regular"/>
      </w:rPr>
      <w:t>ВЛАДА НА РЕПУБЛИКА МАКЕДОНИЈА</w:t>
    </w:r>
  </w:p>
  <w:p w:rsidR="00E51D25" w:rsidRPr="006566AC" w:rsidRDefault="00E51D25" w:rsidP="00590304">
    <w:pPr>
      <w:pStyle w:val="Header"/>
      <w:jc w:val="center"/>
      <w:rPr>
        <w:rFonts w:ascii="StobiSerif Regular" w:hAnsi="StobiSerif Regular"/>
      </w:rPr>
    </w:pPr>
    <w:r w:rsidRPr="006566AC">
      <w:rPr>
        <w:rFonts w:ascii="StobiSerif Regular" w:hAnsi="StobiSerif Regular"/>
      </w:rPr>
      <w:t>МИНИСТЕРСТВО ЗА ЗЕМЈОДЕЛСТВО,ШУМАРСТВО И ВОДОСТОПАНСТВО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25" w:rsidRPr="00746E36" w:rsidRDefault="00E51D25" w:rsidP="00703C25">
    <w:pPr>
      <w:tabs>
        <w:tab w:val="center" w:pos="4513"/>
        <w:tab w:val="right" w:pos="9026"/>
      </w:tabs>
      <w:spacing w:after="0" w:line="240" w:lineRule="auto"/>
      <w:jc w:val="center"/>
      <w:rPr>
        <w:rFonts w:ascii="StobiSerif Regular" w:hAnsi="StobiSerif Regular"/>
        <w:lang w:val="en-US"/>
      </w:rPr>
    </w:pPr>
    <w:r w:rsidRPr="00746E36">
      <w:rPr>
        <w:rFonts w:ascii="StobiSerif Regular" w:hAnsi="StobiSerif Regular"/>
        <w:noProof/>
        <w:color w:val="7F7F7F"/>
        <w:spacing w:val="60"/>
        <w:lang w:val="en-US"/>
      </w:rPr>
      <w:drawing>
        <wp:anchor distT="0" distB="0" distL="114300" distR="114300" simplePos="0" relativeHeight="251661312" behindDoc="0" locked="0" layoutInCell="1" allowOverlap="1" wp14:anchorId="5AD69E22" wp14:editId="767D6CB8">
          <wp:simplePos x="0" y="0"/>
          <wp:positionH relativeFrom="column">
            <wp:posOffset>7393940</wp:posOffset>
          </wp:positionH>
          <wp:positionV relativeFrom="paragraph">
            <wp:posOffset>-153035</wp:posOffset>
          </wp:positionV>
          <wp:extent cx="457200" cy="4191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20000"/>
                    <a:grayscl/>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anchor>
      </w:drawing>
    </w:r>
    <w:r w:rsidRPr="00746E36">
      <w:rPr>
        <w:rFonts w:ascii="StobiSerif Regular" w:hAnsi="StobiSerif Regular"/>
        <w:noProof/>
        <w:color w:val="7F7F7F"/>
        <w:spacing w:val="60"/>
        <w:lang w:val="en-US" w:eastAsia="mk-MK"/>
      </w:rPr>
      <w:t xml:space="preserve">IPARD </w:t>
    </w:r>
    <w:r w:rsidRPr="00746E36">
      <w:rPr>
        <w:rFonts w:ascii="StobiSerif Regular" w:hAnsi="StobiSerif Regular"/>
        <w:noProof/>
        <w:color w:val="7F7F7F"/>
        <w:spacing w:val="60"/>
        <w:lang w:eastAsia="mk-MK"/>
      </w:rPr>
      <w:t>ANNUAL IMPLEMENTATION REPORT FOR 201</w:t>
    </w:r>
    <w:r>
      <w:rPr>
        <w:rFonts w:ascii="StobiSerif Regular" w:hAnsi="StobiSerif Regular"/>
        <w:noProof/>
        <w:color w:val="7F7F7F"/>
        <w:spacing w:val="60"/>
        <w:lang w:val="en-US" w:eastAsia="mk-MK"/>
      </w:rPr>
      <w:t>6</w:t>
    </w:r>
  </w:p>
  <w:p w:rsidR="00E51D25" w:rsidRPr="00590304" w:rsidRDefault="00E51D25" w:rsidP="00703C25">
    <w:pPr>
      <w:tabs>
        <w:tab w:val="center" w:pos="4513"/>
        <w:tab w:val="right" w:pos="9026"/>
      </w:tabs>
      <w:spacing w:after="0" w:line="240" w:lineRule="auto"/>
      <w:jc w:val="center"/>
      <w:rPr>
        <w:rFonts w:ascii="StobiSerif Regular" w:hAnsi="StobiSerif Regular"/>
        <w:caps/>
        <w:lang w:val="en-US"/>
      </w:rPr>
    </w:pPr>
  </w:p>
  <w:p w:rsidR="00E51D25" w:rsidRDefault="00E51D25" w:rsidP="0059030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63A4"/>
    <w:multiLevelType w:val="hybridMultilevel"/>
    <w:tmpl w:val="B1A2047E"/>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19563D4"/>
    <w:multiLevelType w:val="hybridMultilevel"/>
    <w:tmpl w:val="B2DAE240"/>
    <w:lvl w:ilvl="0" w:tplc="46800270">
      <w:numFmt w:val="bullet"/>
      <w:lvlText w:val="•"/>
      <w:lvlJc w:val="left"/>
      <w:pPr>
        <w:ind w:left="1340" w:hanging="360"/>
      </w:pPr>
      <w:rPr>
        <w:rFonts w:ascii="SegoeUI" w:eastAsia="Times New Roman" w:hAnsi="SegoeUI" w:cs="SegoeUI" w:hint="default"/>
      </w:rPr>
    </w:lvl>
    <w:lvl w:ilvl="1" w:tplc="042F0003" w:tentative="1">
      <w:start w:val="1"/>
      <w:numFmt w:val="bullet"/>
      <w:lvlText w:val="o"/>
      <w:lvlJc w:val="left"/>
      <w:pPr>
        <w:ind w:left="2060" w:hanging="360"/>
      </w:pPr>
      <w:rPr>
        <w:rFonts w:ascii="Courier New" w:hAnsi="Courier New" w:cs="Courier New" w:hint="default"/>
      </w:rPr>
    </w:lvl>
    <w:lvl w:ilvl="2" w:tplc="042F0005" w:tentative="1">
      <w:start w:val="1"/>
      <w:numFmt w:val="bullet"/>
      <w:lvlText w:val=""/>
      <w:lvlJc w:val="left"/>
      <w:pPr>
        <w:ind w:left="2780" w:hanging="360"/>
      </w:pPr>
      <w:rPr>
        <w:rFonts w:ascii="Wingdings" w:hAnsi="Wingdings" w:hint="default"/>
      </w:rPr>
    </w:lvl>
    <w:lvl w:ilvl="3" w:tplc="042F0001" w:tentative="1">
      <w:start w:val="1"/>
      <w:numFmt w:val="bullet"/>
      <w:lvlText w:val=""/>
      <w:lvlJc w:val="left"/>
      <w:pPr>
        <w:ind w:left="3500" w:hanging="360"/>
      </w:pPr>
      <w:rPr>
        <w:rFonts w:ascii="Symbol" w:hAnsi="Symbol" w:hint="default"/>
      </w:rPr>
    </w:lvl>
    <w:lvl w:ilvl="4" w:tplc="042F0003" w:tentative="1">
      <w:start w:val="1"/>
      <w:numFmt w:val="bullet"/>
      <w:lvlText w:val="o"/>
      <w:lvlJc w:val="left"/>
      <w:pPr>
        <w:ind w:left="4220" w:hanging="360"/>
      </w:pPr>
      <w:rPr>
        <w:rFonts w:ascii="Courier New" w:hAnsi="Courier New" w:cs="Courier New" w:hint="default"/>
      </w:rPr>
    </w:lvl>
    <w:lvl w:ilvl="5" w:tplc="042F0005" w:tentative="1">
      <w:start w:val="1"/>
      <w:numFmt w:val="bullet"/>
      <w:lvlText w:val=""/>
      <w:lvlJc w:val="left"/>
      <w:pPr>
        <w:ind w:left="4940" w:hanging="360"/>
      </w:pPr>
      <w:rPr>
        <w:rFonts w:ascii="Wingdings" w:hAnsi="Wingdings" w:hint="default"/>
      </w:rPr>
    </w:lvl>
    <w:lvl w:ilvl="6" w:tplc="042F0001" w:tentative="1">
      <w:start w:val="1"/>
      <w:numFmt w:val="bullet"/>
      <w:lvlText w:val=""/>
      <w:lvlJc w:val="left"/>
      <w:pPr>
        <w:ind w:left="5660" w:hanging="360"/>
      </w:pPr>
      <w:rPr>
        <w:rFonts w:ascii="Symbol" w:hAnsi="Symbol" w:hint="default"/>
      </w:rPr>
    </w:lvl>
    <w:lvl w:ilvl="7" w:tplc="042F0003" w:tentative="1">
      <w:start w:val="1"/>
      <w:numFmt w:val="bullet"/>
      <w:lvlText w:val="o"/>
      <w:lvlJc w:val="left"/>
      <w:pPr>
        <w:ind w:left="6380" w:hanging="360"/>
      </w:pPr>
      <w:rPr>
        <w:rFonts w:ascii="Courier New" w:hAnsi="Courier New" w:cs="Courier New" w:hint="default"/>
      </w:rPr>
    </w:lvl>
    <w:lvl w:ilvl="8" w:tplc="042F0005" w:tentative="1">
      <w:start w:val="1"/>
      <w:numFmt w:val="bullet"/>
      <w:lvlText w:val=""/>
      <w:lvlJc w:val="left"/>
      <w:pPr>
        <w:ind w:left="7100" w:hanging="360"/>
      </w:pPr>
      <w:rPr>
        <w:rFonts w:ascii="Wingdings" w:hAnsi="Wingdings" w:hint="default"/>
      </w:rPr>
    </w:lvl>
  </w:abstractNum>
  <w:abstractNum w:abstractNumId="2" w15:restartNumberingAfterBreak="0">
    <w:nsid w:val="04206E25"/>
    <w:multiLevelType w:val="hybridMultilevel"/>
    <w:tmpl w:val="F710E1AC"/>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8B067AA"/>
    <w:multiLevelType w:val="hybridMultilevel"/>
    <w:tmpl w:val="5554FDA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9675B7C"/>
    <w:multiLevelType w:val="hybridMultilevel"/>
    <w:tmpl w:val="832823FE"/>
    <w:lvl w:ilvl="0" w:tplc="AE34B202">
      <w:start w:val="1"/>
      <w:numFmt w:val="lowerLetter"/>
      <w:lvlText w:val="%1."/>
      <w:lvlJc w:val="left"/>
      <w:pPr>
        <w:ind w:left="720" w:hanging="360"/>
      </w:pPr>
      <w:rPr>
        <w:rFonts w:ascii="StobiSerif Regular" w:hAnsi="StobiSerif Regular"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0A336544"/>
    <w:multiLevelType w:val="hybridMultilevel"/>
    <w:tmpl w:val="35345F64"/>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0D355180"/>
    <w:multiLevelType w:val="hybridMultilevel"/>
    <w:tmpl w:val="BF54A004"/>
    <w:lvl w:ilvl="0" w:tplc="AE34B202">
      <w:start w:val="1"/>
      <w:numFmt w:val="lowerLetter"/>
      <w:lvlText w:val="%1."/>
      <w:lvlJc w:val="left"/>
      <w:pPr>
        <w:ind w:left="720" w:hanging="360"/>
      </w:pPr>
      <w:rPr>
        <w:rFonts w:ascii="StobiSerif Regular" w:hAnsi="StobiSerif Regular"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0D7E3CED"/>
    <w:multiLevelType w:val="hybridMultilevel"/>
    <w:tmpl w:val="A2066020"/>
    <w:lvl w:ilvl="0" w:tplc="9B467BF4">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8" w15:restartNumberingAfterBreak="0">
    <w:nsid w:val="11EF275A"/>
    <w:multiLevelType w:val="hybridMultilevel"/>
    <w:tmpl w:val="EF82D534"/>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1313781F"/>
    <w:multiLevelType w:val="hybridMultilevel"/>
    <w:tmpl w:val="2214B006"/>
    <w:lvl w:ilvl="0" w:tplc="9B467BF4">
      <w:start w:val="1"/>
      <w:numFmt w:val="bullet"/>
      <w:lvlText w:val=""/>
      <w:lvlJc w:val="left"/>
      <w:pPr>
        <w:ind w:left="1451" w:hanging="360"/>
      </w:pPr>
      <w:rPr>
        <w:rFonts w:ascii="Symbol" w:hAnsi="Symbol" w:hint="default"/>
      </w:rPr>
    </w:lvl>
    <w:lvl w:ilvl="1" w:tplc="042F0003" w:tentative="1">
      <w:start w:val="1"/>
      <w:numFmt w:val="bullet"/>
      <w:lvlText w:val="o"/>
      <w:lvlJc w:val="left"/>
      <w:pPr>
        <w:ind w:left="2171" w:hanging="360"/>
      </w:pPr>
      <w:rPr>
        <w:rFonts w:ascii="Courier New" w:hAnsi="Courier New" w:cs="Courier New" w:hint="default"/>
      </w:rPr>
    </w:lvl>
    <w:lvl w:ilvl="2" w:tplc="042F0005" w:tentative="1">
      <w:start w:val="1"/>
      <w:numFmt w:val="bullet"/>
      <w:lvlText w:val=""/>
      <w:lvlJc w:val="left"/>
      <w:pPr>
        <w:ind w:left="2891" w:hanging="360"/>
      </w:pPr>
      <w:rPr>
        <w:rFonts w:ascii="Wingdings" w:hAnsi="Wingdings" w:hint="default"/>
      </w:rPr>
    </w:lvl>
    <w:lvl w:ilvl="3" w:tplc="042F0001" w:tentative="1">
      <w:start w:val="1"/>
      <w:numFmt w:val="bullet"/>
      <w:lvlText w:val=""/>
      <w:lvlJc w:val="left"/>
      <w:pPr>
        <w:ind w:left="3611" w:hanging="360"/>
      </w:pPr>
      <w:rPr>
        <w:rFonts w:ascii="Symbol" w:hAnsi="Symbol" w:hint="default"/>
      </w:rPr>
    </w:lvl>
    <w:lvl w:ilvl="4" w:tplc="042F0003" w:tentative="1">
      <w:start w:val="1"/>
      <w:numFmt w:val="bullet"/>
      <w:lvlText w:val="o"/>
      <w:lvlJc w:val="left"/>
      <w:pPr>
        <w:ind w:left="4331" w:hanging="360"/>
      </w:pPr>
      <w:rPr>
        <w:rFonts w:ascii="Courier New" w:hAnsi="Courier New" w:cs="Courier New" w:hint="default"/>
      </w:rPr>
    </w:lvl>
    <w:lvl w:ilvl="5" w:tplc="042F0005" w:tentative="1">
      <w:start w:val="1"/>
      <w:numFmt w:val="bullet"/>
      <w:lvlText w:val=""/>
      <w:lvlJc w:val="left"/>
      <w:pPr>
        <w:ind w:left="5051" w:hanging="360"/>
      </w:pPr>
      <w:rPr>
        <w:rFonts w:ascii="Wingdings" w:hAnsi="Wingdings" w:hint="default"/>
      </w:rPr>
    </w:lvl>
    <w:lvl w:ilvl="6" w:tplc="042F0001" w:tentative="1">
      <w:start w:val="1"/>
      <w:numFmt w:val="bullet"/>
      <w:lvlText w:val=""/>
      <w:lvlJc w:val="left"/>
      <w:pPr>
        <w:ind w:left="5771" w:hanging="360"/>
      </w:pPr>
      <w:rPr>
        <w:rFonts w:ascii="Symbol" w:hAnsi="Symbol" w:hint="default"/>
      </w:rPr>
    </w:lvl>
    <w:lvl w:ilvl="7" w:tplc="042F0003" w:tentative="1">
      <w:start w:val="1"/>
      <w:numFmt w:val="bullet"/>
      <w:lvlText w:val="o"/>
      <w:lvlJc w:val="left"/>
      <w:pPr>
        <w:ind w:left="6491" w:hanging="360"/>
      </w:pPr>
      <w:rPr>
        <w:rFonts w:ascii="Courier New" w:hAnsi="Courier New" w:cs="Courier New" w:hint="default"/>
      </w:rPr>
    </w:lvl>
    <w:lvl w:ilvl="8" w:tplc="042F0005" w:tentative="1">
      <w:start w:val="1"/>
      <w:numFmt w:val="bullet"/>
      <w:lvlText w:val=""/>
      <w:lvlJc w:val="left"/>
      <w:pPr>
        <w:ind w:left="7211" w:hanging="360"/>
      </w:pPr>
      <w:rPr>
        <w:rFonts w:ascii="Wingdings" w:hAnsi="Wingdings" w:hint="default"/>
      </w:rPr>
    </w:lvl>
  </w:abstractNum>
  <w:abstractNum w:abstractNumId="10" w15:restartNumberingAfterBreak="0">
    <w:nsid w:val="15BD392A"/>
    <w:multiLevelType w:val="hybridMultilevel"/>
    <w:tmpl w:val="91A61914"/>
    <w:lvl w:ilvl="0" w:tplc="08090001">
      <w:start w:val="1"/>
      <w:numFmt w:val="bullet"/>
      <w:lvlText w:val=""/>
      <w:lvlJc w:val="left"/>
      <w:pPr>
        <w:tabs>
          <w:tab w:val="num" w:pos="360"/>
        </w:tabs>
        <w:ind w:left="360" w:hanging="360"/>
      </w:pPr>
      <w:rPr>
        <w:rFonts w:ascii="Symbol" w:hAnsi="Symbol" w:hint="default"/>
      </w:rPr>
    </w:lvl>
    <w:lvl w:ilvl="1" w:tplc="99027432">
      <w:numFmt w:val="bullet"/>
      <w:lvlText w:val="•"/>
      <w:lvlJc w:val="left"/>
      <w:pPr>
        <w:ind w:left="1290" w:hanging="570"/>
      </w:pPr>
      <w:rPr>
        <w:rFonts w:ascii="StobiSerif Regular" w:eastAsiaTheme="minorHAnsi" w:hAnsi="StobiSerif Regular" w:cstheme="minorBidi"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8314847"/>
    <w:multiLevelType w:val="hybridMultilevel"/>
    <w:tmpl w:val="FC4C7658"/>
    <w:lvl w:ilvl="0" w:tplc="08090001">
      <w:start w:val="1"/>
      <w:numFmt w:val="bullet"/>
      <w:lvlText w:val=""/>
      <w:lvlJc w:val="left"/>
      <w:pPr>
        <w:ind w:left="1340" w:hanging="360"/>
      </w:pPr>
      <w:rPr>
        <w:rFonts w:ascii="Symbol" w:hAnsi="Symbol" w:hint="default"/>
      </w:rPr>
    </w:lvl>
    <w:lvl w:ilvl="1" w:tplc="042F0003" w:tentative="1">
      <w:start w:val="1"/>
      <w:numFmt w:val="bullet"/>
      <w:lvlText w:val="o"/>
      <w:lvlJc w:val="left"/>
      <w:pPr>
        <w:ind w:left="2060" w:hanging="360"/>
      </w:pPr>
      <w:rPr>
        <w:rFonts w:ascii="Courier New" w:hAnsi="Courier New" w:cs="Courier New" w:hint="default"/>
      </w:rPr>
    </w:lvl>
    <w:lvl w:ilvl="2" w:tplc="042F0005" w:tentative="1">
      <w:start w:val="1"/>
      <w:numFmt w:val="bullet"/>
      <w:lvlText w:val=""/>
      <w:lvlJc w:val="left"/>
      <w:pPr>
        <w:ind w:left="2780" w:hanging="360"/>
      </w:pPr>
      <w:rPr>
        <w:rFonts w:ascii="Wingdings" w:hAnsi="Wingdings" w:hint="default"/>
      </w:rPr>
    </w:lvl>
    <w:lvl w:ilvl="3" w:tplc="042F0001" w:tentative="1">
      <w:start w:val="1"/>
      <w:numFmt w:val="bullet"/>
      <w:lvlText w:val=""/>
      <w:lvlJc w:val="left"/>
      <w:pPr>
        <w:ind w:left="3500" w:hanging="360"/>
      </w:pPr>
      <w:rPr>
        <w:rFonts w:ascii="Symbol" w:hAnsi="Symbol" w:hint="default"/>
      </w:rPr>
    </w:lvl>
    <w:lvl w:ilvl="4" w:tplc="042F0003" w:tentative="1">
      <w:start w:val="1"/>
      <w:numFmt w:val="bullet"/>
      <w:lvlText w:val="o"/>
      <w:lvlJc w:val="left"/>
      <w:pPr>
        <w:ind w:left="4220" w:hanging="360"/>
      </w:pPr>
      <w:rPr>
        <w:rFonts w:ascii="Courier New" w:hAnsi="Courier New" w:cs="Courier New" w:hint="default"/>
      </w:rPr>
    </w:lvl>
    <w:lvl w:ilvl="5" w:tplc="042F0005" w:tentative="1">
      <w:start w:val="1"/>
      <w:numFmt w:val="bullet"/>
      <w:lvlText w:val=""/>
      <w:lvlJc w:val="left"/>
      <w:pPr>
        <w:ind w:left="4940" w:hanging="360"/>
      </w:pPr>
      <w:rPr>
        <w:rFonts w:ascii="Wingdings" w:hAnsi="Wingdings" w:hint="default"/>
      </w:rPr>
    </w:lvl>
    <w:lvl w:ilvl="6" w:tplc="042F0001" w:tentative="1">
      <w:start w:val="1"/>
      <w:numFmt w:val="bullet"/>
      <w:lvlText w:val=""/>
      <w:lvlJc w:val="left"/>
      <w:pPr>
        <w:ind w:left="5660" w:hanging="360"/>
      </w:pPr>
      <w:rPr>
        <w:rFonts w:ascii="Symbol" w:hAnsi="Symbol" w:hint="default"/>
      </w:rPr>
    </w:lvl>
    <w:lvl w:ilvl="7" w:tplc="042F0003" w:tentative="1">
      <w:start w:val="1"/>
      <w:numFmt w:val="bullet"/>
      <w:lvlText w:val="o"/>
      <w:lvlJc w:val="left"/>
      <w:pPr>
        <w:ind w:left="6380" w:hanging="360"/>
      </w:pPr>
      <w:rPr>
        <w:rFonts w:ascii="Courier New" w:hAnsi="Courier New" w:cs="Courier New" w:hint="default"/>
      </w:rPr>
    </w:lvl>
    <w:lvl w:ilvl="8" w:tplc="042F0005" w:tentative="1">
      <w:start w:val="1"/>
      <w:numFmt w:val="bullet"/>
      <w:lvlText w:val=""/>
      <w:lvlJc w:val="left"/>
      <w:pPr>
        <w:ind w:left="7100" w:hanging="360"/>
      </w:pPr>
      <w:rPr>
        <w:rFonts w:ascii="Wingdings" w:hAnsi="Wingdings" w:hint="default"/>
      </w:rPr>
    </w:lvl>
  </w:abstractNum>
  <w:abstractNum w:abstractNumId="12" w15:restartNumberingAfterBreak="0">
    <w:nsid w:val="1A9E66AE"/>
    <w:multiLevelType w:val="hybridMultilevel"/>
    <w:tmpl w:val="89B8C72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1C8F5FC5"/>
    <w:multiLevelType w:val="hybridMultilevel"/>
    <w:tmpl w:val="B79C7484"/>
    <w:lvl w:ilvl="0" w:tplc="609E15A0">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FE50F7"/>
    <w:multiLevelType w:val="hybridMultilevel"/>
    <w:tmpl w:val="9F3E748A"/>
    <w:lvl w:ilvl="0" w:tplc="08090001">
      <w:start w:val="1"/>
      <w:numFmt w:val="bullet"/>
      <w:lvlText w:val=""/>
      <w:lvlJc w:val="left"/>
      <w:pPr>
        <w:tabs>
          <w:tab w:val="num" w:pos="644"/>
        </w:tabs>
        <w:ind w:left="64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5" w15:restartNumberingAfterBreak="0">
    <w:nsid w:val="1FCF7F3C"/>
    <w:multiLevelType w:val="hybridMultilevel"/>
    <w:tmpl w:val="C442B668"/>
    <w:lvl w:ilvl="0" w:tplc="ED14D30E">
      <w:start w:val="6"/>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21C955AB"/>
    <w:multiLevelType w:val="hybridMultilevel"/>
    <w:tmpl w:val="7452F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730844"/>
    <w:multiLevelType w:val="hybridMultilevel"/>
    <w:tmpl w:val="3C3ACC9A"/>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252A7B55"/>
    <w:multiLevelType w:val="hybridMultilevel"/>
    <w:tmpl w:val="1826EC36"/>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25F971A3"/>
    <w:multiLevelType w:val="hybridMultilevel"/>
    <w:tmpl w:val="7B7A8926"/>
    <w:lvl w:ilvl="0" w:tplc="ED14D30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094911"/>
    <w:multiLevelType w:val="hybridMultilevel"/>
    <w:tmpl w:val="663A356A"/>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28EA5DEC"/>
    <w:multiLevelType w:val="hybridMultilevel"/>
    <w:tmpl w:val="E37EE25A"/>
    <w:lvl w:ilvl="0" w:tplc="609E15A0">
      <w:start w:val="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DE44A1"/>
    <w:multiLevelType w:val="hybridMultilevel"/>
    <w:tmpl w:val="11E626F2"/>
    <w:lvl w:ilvl="0" w:tplc="609E15A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3704D"/>
    <w:multiLevelType w:val="hybridMultilevel"/>
    <w:tmpl w:val="228A56B8"/>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2EC8796E"/>
    <w:multiLevelType w:val="hybridMultilevel"/>
    <w:tmpl w:val="8490107C"/>
    <w:lvl w:ilvl="0" w:tplc="AE34B202">
      <w:start w:val="1"/>
      <w:numFmt w:val="lowerLetter"/>
      <w:lvlText w:val="%1."/>
      <w:lvlJc w:val="left"/>
      <w:pPr>
        <w:ind w:left="1375" w:hanging="360"/>
      </w:pPr>
      <w:rPr>
        <w:rFonts w:ascii="StobiSerif Regular" w:hAnsi="StobiSerif Regular" w:hint="default"/>
      </w:rPr>
    </w:lvl>
    <w:lvl w:ilvl="1" w:tplc="042F0019">
      <w:start w:val="1"/>
      <w:numFmt w:val="lowerLetter"/>
      <w:lvlText w:val="%2."/>
      <w:lvlJc w:val="left"/>
      <w:pPr>
        <w:ind w:left="2095" w:hanging="360"/>
      </w:pPr>
    </w:lvl>
    <w:lvl w:ilvl="2" w:tplc="042F001B" w:tentative="1">
      <w:start w:val="1"/>
      <w:numFmt w:val="lowerRoman"/>
      <w:lvlText w:val="%3."/>
      <w:lvlJc w:val="right"/>
      <w:pPr>
        <w:ind w:left="2815" w:hanging="180"/>
      </w:pPr>
    </w:lvl>
    <w:lvl w:ilvl="3" w:tplc="042F000F" w:tentative="1">
      <w:start w:val="1"/>
      <w:numFmt w:val="decimal"/>
      <w:lvlText w:val="%4."/>
      <w:lvlJc w:val="left"/>
      <w:pPr>
        <w:ind w:left="3535" w:hanging="360"/>
      </w:pPr>
    </w:lvl>
    <w:lvl w:ilvl="4" w:tplc="042F0019" w:tentative="1">
      <w:start w:val="1"/>
      <w:numFmt w:val="lowerLetter"/>
      <w:lvlText w:val="%5."/>
      <w:lvlJc w:val="left"/>
      <w:pPr>
        <w:ind w:left="4255" w:hanging="360"/>
      </w:pPr>
    </w:lvl>
    <w:lvl w:ilvl="5" w:tplc="042F001B" w:tentative="1">
      <w:start w:val="1"/>
      <w:numFmt w:val="lowerRoman"/>
      <w:lvlText w:val="%6."/>
      <w:lvlJc w:val="right"/>
      <w:pPr>
        <w:ind w:left="4975" w:hanging="180"/>
      </w:pPr>
    </w:lvl>
    <w:lvl w:ilvl="6" w:tplc="042F000F" w:tentative="1">
      <w:start w:val="1"/>
      <w:numFmt w:val="decimal"/>
      <w:lvlText w:val="%7."/>
      <w:lvlJc w:val="left"/>
      <w:pPr>
        <w:ind w:left="5695" w:hanging="360"/>
      </w:pPr>
    </w:lvl>
    <w:lvl w:ilvl="7" w:tplc="042F0019" w:tentative="1">
      <w:start w:val="1"/>
      <w:numFmt w:val="lowerLetter"/>
      <w:lvlText w:val="%8."/>
      <w:lvlJc w:val="left"/>
      <w:pPr>
        <w:ind w:left="6415" w:hanging="360"/>
      </w:pPr>
    </w:lvl>
    <w:lvl w:ilvl="8" w:tplc="042F001B" w:tentative="1">
      <w:start w:val="1"/>
      <w:numFmt w:val="lowerRoman"/>
      <w:lvlText w:val="%9."/>
      <w:lvlJc w:val="right"/>
      <w:pPr>
        <w:ind w:left="7135" w:hanging="180"/>
      </w:pPr>
    </w:lvl>
  </w:abstractNum>
  <w:abstractNum w:abstractNumId="25" w15:restartNumberingAfterBreak="0">
    <w:nsid w:val="31570293"/>
    <w:multiLevelType w:val="hybridMultilevel"/>
    <w:tmpl w:val="EA64A2D2"/>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342A623A"/>
    <w:multiLevelType w:val="hybridMultilevel"/>
    <w:tmpl w:val="1EF05EB8"/>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35AE1DC0"/>
    <w:multiLevelType w:val="hybridMultilevel"/>
    <w:tmpl w:val="1D0257D2"/>
    <w:lvl w:ilvl="0" w:tplc="042F000B">
      <w:start w:val="1"/>
      <w:numFmt w:val="bullet"/>
      <w:lvlText w:val=""/>
      <w:lvlJc w:val="left"/>
      <w:pPr>
        <w:ind w:left="1004" w:hanging="360"/>
      </w:pPr>
      <w:rPr>
        <w:rFonts w:ascii="Wingdings" w:hAnsi="Wingdings"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28" w15:restartNumberingAfterBreak="0">
    <w:nsid w:val="36A5099A"/>
    <w:multiLevelType w:val="hybridMultilevel"/>
    <w:tmpl w:val="7B1A148A"/>
    <w:lvl w:ilvl="0" w:tplc="08B09610">
      <w:start w:val="2"/>
      <w:numFmt w:val="bullet"/>
      <w:lvlText w:val="-"/>
      <w:lvlJc w:val="left"/>
      <w:pPr>
        <w:ind w:left="720" w:hanging="360"/>
      </w:pPr>
      <w:rPr>
        <w:rFonts w:ascii="StobiSerif Regular" w:eastAsia="SimSun" w:hAnsi="StobiSerif Regular" w:cs="StobiSerif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36AE7D9A"/>
    <w:multiLevelType w:val="hybridMultilevel"/>
    <w:tmpl w:val="978201E4"/>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37667CDF"/>
    <w:multiLevelType w:val="hybridMultilevel"/>
    <w:tmpl w:val="1A800DF6"/>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390E14D6"/>
    <w:multiLevelType w:val="hybridMultilevel"/>
    <w:tmpl w:val="3892A1DE"/>
    <w:lvl w:ilvl="0" w:tplc="08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3C5C523C"/>
    <w:multiLevelType w:val="hybridMultilevel"/>
    <w:tmpl w:val="36328F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BA51E8"/>
    <w:multiLevelType w:val="hybridMultilevel"/>
    <w:tmpl w:val="CDA83A48"/>
    <w:lvl w:ilvl="0" w:tplc="609E15A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074100"/>
    <w:multiLevelType w:val="hybridMultilevel"/>
    <w:tmpl w:val="9A32F0B8"/>
    <w:lvl w:ilvl="0" w:tplc="08090001">
      <w:start w:val="1"/>
      <w:numFmt w:val="bullet"/>
      <w:lvlText w:val=""/>
      <w:lvlJc w:val="left"/>
      <w:pPr>
        <w:tabs>
          <w:tab w:val="num" w:pos="1080"/>
        </w:tabs>
        <w:ind w:left="108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5" w15:restartNumberingAfterBreak="0">
    <w:nsid w:val="3E951F4D"/>
    <w:multiLevelType w:val="hybridMultilevel"/>
    <w:tmpl w:val="57968668"/>
    <w:lvl w:ilvl="0" w:tplc="7EB8FFE4">
      <w:numFmt w:val="bullet"/>
      <w:lvlText w:val="-"/>
      <w:lvlJc w:val="left"/>
      <w:pPr>
        <w:ind w:left="644" w:hanging="360"/>
      </w:pPr>
      <w:rPr>
        <w:rFonts w:ascii="Arial" w:eastAsia="Times New Roman" w:hAnsi="Arial" w:hint="default"/>
      </w:rPr>
    </w:lvl>
    <w:lvl w:ilvl="1" w:tplc="042F0003" w:tentative="1">
      <w:start w:val="1"/>
      <w:numFmt w:val="bullet"/>
      <w:lvlText w:val="o"/>
      <w:lvlJc w:val="left"/>
      <w:pPr>
        <w:ind w:left="1364" w:hanging="360"/>
      </w:pPr>
      <w:rPr>
        <w:rFonts w:ascii="Courier New" w:hAnsi="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36" w15:restartNumberingAfterBreak="0">
    <w:nsid w:val="40134972"/>
    <w:multiLevelType w:val="hybridMultilevel"/>
    <w:tmpl w:val="4906C9D8"/>
    <w:lvl w:ilvl="0" w:tplc="08090001">
      <w:start w:val="1"/>
      <w:numFmt w:val="bullet"/>
      <w:lvlText w:val=""/>
      <w:lvlJc w:val="left"/>
      <w:pPr>
        <w:tabs>
          <w:tab w:val="num" w:pos="1364"/>
        </w:tabs>
        <w:ind w:left="1364" w:hanging="360"/>
      </w:pPr>
      <w:rPr>
        <w:rFonts w:ascii="Symbol" w:hAnsi="Symbol" w:hint="default"/>
      </w:rPr>
    </w:lvl>
    <w:lvl w:ilvl="1" w:tplc="042F0003" w:tentative="1">
      <w:start w:val="1"/>
      <w:numFmt w:val="bullet"/>
      <w:lvlText w:val="o"/>
      <w:lvlJc w:val="left"/>
      <w:pPr>
        <w:ind w:left="2444" w:hanging="360"/>
      </w:pPr>
      <w:rPr>
        <w:rFonts w:ascii="Courier New" w:hAnsi="Courier New" w:cs="Courier New" w:hint="default"/>
      </w:rPr>
    </w:lvl>
    <w:lvl w:ilvl="2" w:tplc="042F0005" w:tentative="1">
      <w:start w:val="1"/>
      <w:numFmt w:val="bullet"/>
      <w:lvlText w:val=""/>
      <w:lvlJc w:val="left"/>
      <w:pPr>
        <w:ind w:left="3164" w:hanging="360"/>
      </w:pPr>
      <w:rPr>
        <w:rFonts w:ascii="Wingdings" w:hAnsi="Wingdings" w:hint="default"/>
      </w:rPr>
    </w:lvl>
    <w:lvl w:ilvl="3" w:tplc="042F0001" w:tentative="1">
      <w:start w:val="1"/>
      <w:numFmt w:val="bullet"/>
      <w:lvlText w:val=""/>
      <w:lvlJc w:val="left"/>
      <w:pPr>
        <w:ind w:left="3884" w:hanging="360"/>
      </w:pPr>
      <w:rPr>
        <w:rFonts w:ascii="Symbol" w:hAnsi="Symbol" w:hint="default"/>
      </w:rPr>
    </w:lvl>
    <w:lvl w:ilvl="4" w:tplc="042F0003" w:tentative="1">
      <w:start w:val="1"/>
      <w:numFmt w:val="bullet"/>
      <w:lvlText w:val="o"/>
      <w:lvlJc w:val="left"/>
      <w:pPr>
        <w:ind w:left="4604" w:hanging="360"/>
      </w:pPr>
      <w:rPr>
        <w:rFonts w:ascii="Courier New" w:hAnsi="Courier New" w:cs="Courier New" w:hint="default"/>
      </w:rPr>
    </w:lvl>
    <w:lvl w:ilvl="5" w:tplc="042F0005" w:tentative="1">
      <w:start w:val="1"/>
      <w:numFmt w:val="bullet"/>
      <w:lvlText w:val=""/>
      <w:lvlJc w:val="left"/>
      <w:pPr>
        <w:ind w:left="5324" w:hanging="360"/>
      </w:pPr>
      <w:rPr>
        <w:rFonts w:ascii="Wingdings" w:hAnsi="Wingdings" w:hint="default"/>
      </w:rPr>
    </w:lvl>
    <w:lvl w:ilvl="6" w:tplc="042F0001" w:tentative="1">
      <w:start w:val="1"/>
      <w:numFmt w:val="bullet"/>
      <w:lvlText w:val=""/>
      <w:lvlJc w:val="left"/>
      <w:pPr>
        <w:ind w:left="6044" w:hanging="360"/>
      </w:pPr>
      <w:rPr>
        <w:rFonts w:ascii="Symbol" w:hAnsi="Symbol" w:hint="default"/>
      </w:rPr>
    </w:lvl>
    <w:lvl w:ilvl="7" w:tplc="042F0003" w:tentative="1">
      <w:start w:val="1"/>
      <w:numFmt w:val="bullet"/>
      <w:lvlText w:val="o"/>
      <w:lvlJc w:val="left"/>
      <w:pPr>
        <w:ind w:left="6764" w:hanging="360"/>
      </w:pPr>
      <w:rPr>
        <w:rFonts w:ascii="Courier New" w:hAnsi="Courier New" w:cs="Courier New" w:hint="default"/>
      </w:rPr>
    </w:lvl>
    <w:lvl w:ilvl="8" w:tplc="042F0005" w:tentative="1">
      <w:start w:val="1"/>
      <w:numFmt w:val="bullet"/>
      <w:lvlText w:val=""/>
      <w:lvlJc w:val="left"/>
      <w:pPr>
        <w:ind w:left="7484" w:hanging="360"/>
      </w:pPr>
      <w:rPr>
        <w:rFonts w:ascii="Wingdings" w:hAnsi="Wingdings" w:hint="default"/>
      </w:rPr>
    </w:lvl>
  </w:abstractNum>
  <w:abstractNum w:abstractNumId="37" w15:restartNumberingAfterBreak="0">
    <w:nsid w:val="46CC3CAE"/>
    <w:multiLevelType w:val="hybridMultilevel"/>
    <w:tmpl w:val="071863E0"/>
    <w:lvl w:ilvl="0" w:tplc="042F001B">
      <w:start w:val="1"/>
      <w:numFmt w:val="lowerRoman"/>
      <w:lvlText w:val="%1."/>
      <w:lvlJc w:val="right"/>
      <w:pPr>
        <w:ind w:left="720" w:hanging="360"/>
      </w:pPr>
    </w:lvl>
    <w:lvl w:ilvl="1" w:tplc="76B0B01C">
      <w:start w:val="1"/>
      <w:numFmt w:val="lowerLetter"/>
      <w:lvlText w:val="%2)"/>
      <w:lvlJc w:val="left"/>
      <w:pPr>
        <w:ind w:left="1440" w:hanging="360"/>
      </w:pPr>
      <w:rPr>
        <w:rFonts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8" w15:restartNumberingAfterBreak="0">
    <w:nsid w:val="52177452"/>
    <w:multiLevelType w:val="hybridMultilevel"/>
    <w:tmpl w:val="E982BBCA"/>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5D7C1976"/>
    <w:multiLevelType w:val="hybridMultilevel"/>
    <w:tmpl w:val="0150A152"/>
    <w:lvl w:ilvl="0" w:tplc="609E15A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D15A5C"/>
    <w:multiLevelType w:val="hybridMultilevel"/>
    <w:tmpl w:val="9922137C"/>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62BC15C9"/>
    <w:multiLevelType w:val="hybridMultilevel"/>
    <w:tmpl w:val="02C6C29A"/>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632F586D"/>
    <w:multiLevelType w:val="hybridMultilevel"/>
    <w:tmpl w:val="13E6A086"/>
    <w:lvl w:ilvl="0" w:tplc="9B467B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70194A"/>
    <w:multiLevelType w:val="hybridMultilevel"/>
    <w:tmpl w:val="C07CD6CC"/>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4" w15:restartNumberingAfterBreak="0">
    <w:nsid w:val="68210169"/>
    <w:multiLevelType w:val="hybridMultilevel"/>
    <w:tmpl w:val="D2405AB4"/>
    <w:lvl w:ilvl="0" w:tplc="042F000D">
      <w:start w:val="1"/>
      <w:numFmt w:val="bullet"/>
      <w:lvlText w:val=""/>
      <w:lvlJc w:val="left"/>
      <w:pPr>
        <w:ind w:left="720" w:hanging="360"/>
      </w:pPr>
      <w:rPr>
        <w:rFonts w:ascii="Wingdings" w:hAnsi="Wingdings" w:hint="default"/>
      </w:rPr>
    </w:lvl>
    <w:lvl w:ilvl="1" w:tplc="042F0001">
      <w:start w:val="1"/>
      <w:numFmt w:val="bullet"/>
      <w:lvlText w:val=""/>
      <w:lvlJc w:val="left"/>
      <w:pPr>
        <w:ind w:left="1440" w:hanging="360"/>
      </w:pPr>
      <w:rPr>
        <w:rFonts w:ascii="Symbol" w:hAnsi="Symbol" w:hint="default"/>
      </w:rPr>
    </w:lvl>
    <w:lvl w:ilvl="2" w:tplc="D51E7C32">
      <w:numFmt w:val="bullet"/>
      <w:lvlText w:val="•"/>
      <w:lvlJc w:val="left"/>
      <w:pPr>
        <w:ind w:left="2520" w:hanging="720"/>
      </w:pPr>
      <w:rPr>
        <w:rFonts w:ascii="StobiSerif Regular" w:eastAsiaTheme="minorHAnsi" w:hAnsi="StobiSerif Regular" w:cstheme="minorBidi"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15:restartNumberingAfterBreak="0">
    <w:nsid w:val="68F13263"/>
    <w:multiLevelType w:val="hybridMultilevel"/>
    <w:tmpl w:val="691E327A"/>
    <w:lvl w:ilvl="0" w:tplc="042F000B">
      <w:start w:val="1"/>
      <w:numFmt w:val="bullet"/>
      <w:lvlText w:val=""/>
      <w:lvlJc w:val="left"/>
      <w:pPr>
        <w:ind w:left="1004" w:hanging="360"/>
      </w:pPr>
      <w:rPr>
        <w:rFonts w:ascii="Wingdings" w:hAnsi="Wingdings" w:hint="default"/>
      </w:rPr>
    </w:lvl>
    <w:lvl w:ilvl="1" w:tplc="042F0003">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6" w15:restartNumberingAfterBreak="0">
    <w:nsid w:val="699A76AC"/>
    <w:multiLevelType w:val="hybridMultilevel"/>
    <w:tmpl w:val="914A5C8C"/>
    <w:lvl w:ilvl="0" w:tplc="042F0001">
      <w:start w:val="1"/>
      <w:numFmt w:val="bullet"/>
      <w:lvlText w:val=""/>
      <w:lvlJc w:val="left"/>
      <w:pPr>
        <w:ind w:left="720" w:hanging="360"/>
      </w:pPr>
      <w:rPr>
        <w:rFonts w:ascii="Symbol" w:hAnsi="Symbol" w:hint="default"/>
      </w:rPr>
    </w:lvl>
    <w:lvl w:ilvl="1" w:tplc="CCC684B0">
      <w:numFmt w:val="bullet"/>
      <w:lvlText w:val="•"/>
      <w:lvlJc w:val="left"/>
      <w:pPr>
        <w:ind w:left="1800" w:hanging="720"/>
      </w:pPr>
      <w:rPr>
        <w:rFonts w:ascii="Times New Roman" w:eastAsia="Calibri" w:hAnsi="Times New Roman" w:cs="Times New Roman"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7" w15:restartNumberingAfterBreak="0">
    <w:nsid w:val="6A6F76EF"/>
    <w:multiLevelType w:val="hybridMultilevel"/>
    <w:tmpl w:val="4EFA51C8"/>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8" w15:restartNumberingAfterBreak="0">
    <w:nsid w:val="6A800708"/>
    <w:multiLevelType w:val="hybridMultilevel"/>
    <w:tmpl w:val="357094EA"/>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9" w15:restartNumberingAfterBreak="0">
    <w:nsid w:val="6ADD76F6"/>
    <w:multiLevelType w:val="hybridMultilevel"/>
    <w:tmpl w:val="401A7C30"/>
    <w:lvl w:ilvl="0" w:tplc="9B467B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F15F96"/>
    <w:multiLevelType w:val="hybridMultilevel"/>
    <w:tmpl w:val="AB7A1AF2"/>
    <w:lvl w:ilvl="0" w:tplc="9B467B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3A4505"/>
    <w:multiLevelType w:val="hybridMultilevel"/>
    <w:tmpl w:val="2022423E"/>
    <w:lvl w:ilvl="0" w:tplc="609E15A0">
      <w:start w:val="2"/>
      <w:numFmt w:val="bullet"/>
      <w:lvlText w:val="-"/>
      <w:lvlJc w:val="left"/>
      <w:pPr>
        <w:ind w:left="1004" w:hanging="360"/>
      </w:pPr>
      <w:rPr>
        <w:rFonts w:ascii="Calibri" w:eastAsiaTheme="minorHAnsi" w:hAnsi="Calibri" w:cstheme="minorBid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6D4674E6"/>
    <w:multiLevelType w:val="hybridMultilevel"/>
    <w:tmpl w:val="BCFC8354"/>
    <w:lvl w:ilvl="0" w:tplc="042F0013">
      <w:start w:val="1"/>
      <w:numFmt w:val="upperRoman"/>
      <w:lvlText w:val="%1."/>
      <w:lvlJc w:val="right"/>
      <w:pPr>
        <w:ind w:left="720"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53" w15:restartNumberingAfterBreak="0">
    <w:nsid w:val="6F8A457E"/>
    <w:multiLevelType w:val="hybridMultilevel"/>
    <w:tmpl w:val="810E86D2"/>
    <w:lvl w:ilvl="0" w:tplc="042F000B">
      <w:start w:val="1"/>
      <w:numFmt w:val="bullet"/>
      <w:lvlText w:val=""/>
      <w:lvlJc w:val="left"/>
      <w:pPr>
        <w:ind w:left="1004" w:hanging="360"/>
      </w:pPr>
      <w:rPr>
        <w:rFonts w:ascii="Wingdings" w:hAnsi="Wingdings"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54" w15:restartNumberingAfterBreak="0">
    <w:nsid w:val="717F6974"/>
    <w:multiLevelType w:val="hybridMultilevel"/>
    <w:tmpl w:val="D1E24FFE"/>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5" w15:restartNumberingAfterBreak="0">
    <w:nsid w:val="72C530E3"/>
    <w:multiLevelType w:val="hybridMultilevel"/>
    <w:tmpl w:val="52F86CD4"/>
    <w:lvl w:ilvl="0" w:tplc="609E15A0">
      <w:start w:val="2"/>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6" w15:restartNumberingAfterBreak="0">
    <w:nsid w:val="737D6385"/>
    <w:multiLevelType w:val="hybridMultilevel"/>
    <w:tmpl w:val="CD745098"/>
    <w:lvl w:ilvl="0" w:tplc="2C4CA4AA">
      <w:start w:val="1"/>
      <w:numFmt w:val="lowerLetter"/>
      <w:pStyle w:val="ListNumberLevel2"/>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7" w15:restartNumberingAfterBreak="0">
    <w:nsid w:val="75DD757C"/>
    <w:multiLevelType w:val="hybridMultilevel"/>
    <w:tmpl w:val="7A0C8952"/>
    <w:lvl w:ilvl="0" w:tplc="9B467BF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4"/>
  </w:num>
  <w:num w:numId="2">
    <w:abstractNumId w:val="41"/>
  </w:num>
  <w:num w:numId="3">
    <w:abstractNumId w:val="44"/>
  </w:num>
  <w:num w:numId="4">
    <w:abstractNumId w:val="40"/>
  </w:num>
  <w:num w:numId="5">
    <w:abstractNumId w:val="56"/>
  </w:num>
  <w:num w:numId="6">
    <w:abstractNumId w:val="26"/>
  </w:num>
  <w:num w:numId="7">
    <w:abstractNumId w:val="23"/>
  </w:num>
  <w:num w:numId="8">
    <w:abstractNumId w:val="55"/>
  </w:num>
  <w:num w:numId="9">
    <w:abstractNumId w:val="9"/>
  </w:num>
  <w:num w:numId="10">
    <w:abstractNumId w:val="57"/>
  </w:num>
  <w:num w:numId="11">
    <w:abstractNumId w:val="8"/>
  </w:num>
  <w:num w:numId="12">
    <w:abstractNumId w:val="0"/>
  </w:num>
  <w:num w:numId="13">
    <w:abstractNumId w:val="2"/>
  </w:num>
  <w:num w:numId="14">
    <w:abstractNumId w:val="1"/>
  </w:num>
  <w:num w:numId="15">
    <w:abstractNumId w:val="54"/>
  </w:num>
  <w:num w:numId="16">
    <w:abstractNumId w:val="17"/>
  </w:num>
  <w:num w:numId="17">
    <w:abstractNumId w:val="30"/>
  </w:num>
  <w:num w:numId="18">
    <w:abstractNumId w:val="29"/>
  </w:num>
  <w:num w:numId="19">
    <w:abstractNumId w:val="48"/>
  </w:num>
  <w:num w:numId="20">
    <w:abstractNumId w:val="47"/>
  </w:num>
  <w:num w:numId="21">
    <w:abstractNumId w:val="20"/>
  </w:num>
  <w:num w:numId="22">
    <w:abstractNumId w:val="38"/>
  </w:num>
  <w:num w:numId="23">
    <w:abstractNumId w:val="18"/>
  </w:num>
  <w:num w:numId="24">
    <w:abstractNumId w:val="5"/>
  </w:num>
  <w:num w:numId="25">
    <w:abstractNumId w:val="25"/>
  </w:num>
  <w:num w:numId="26">
    <w:abstractNumId w:val="43"/>
  </w:num>
  <w:num w:numId="27">
    <w:abstractNumId w:val="52"/>
  </w:num>
  <w:num w:numId="28">
    <w:abstractNumId w:val="35"/>
  </w:num>
  <w:num w:numId="29">
    <w:abstractNumId w:val="11"/>
  </w:num>
  <w:num w:numId="30">
    <w:abstractNumId w:val="37"/>
  </w:num>
  <w:num w:numId="31">
    <w:abstractNumId w:val="6"/>
  </w:num>
  <w:num w:numId="32">
    <w:abstractNumId w:val="24"/>
  </w:num>
  <w:num w:numId="33">
    <w:abstractNumId w:val="12"/>
  </w:num>
  <w:num w:numId="34">
    <w:abstractNumId w:val="46"/>
  </w:num>
  <w:num w:numId="35">
    <w:abstractNumId w:val="3"/>
  </w:num>
  <w:num w:numId="36">
    <w:abstractNumId w:val="15"/>
  </w:num>
  <w:num w:numId="37">
    <w:abstractNumId w:val="53"/>
  </w:num>
  <w:num w:numId="38">
    <w:abstractNumId w:val="16"/>
  </w:num>
  <w:num w:numId="39">
    <w:abstractNumId w:val="10"/>
  </w:num>
  <w:num w:numId="40">
    <w:abstractNumId w:val="32"/>
  </w:num>
  <w:num w:numId="41">
    <w:abstractNumId w:val="13"/>
  </w:num>
  <w:num w:numId="42">
    <w:abstractNumId w:val="33"/>
  </w:num>
  <w:num w:numId="43">
    <w:abstractNumId w:val="51"/>
  </w:num>
  <w:num w:numId="44">
    <w:abstractNumId w:val="21"/>
  </w:num>
  <w:num w:numId="45">
    <w:abstractNumId w:val="22"/>
  </w:num>
  <w:num w:numId="46">
    <w:abstractNumId w:val="39"/>
  </w:num>
  <w:num w:numId="47">
    <w:abstractNumId w:val="50"/>
  </w:num>
  <w:num w:numId="48">
    <w:abstractNumId w:val="49"/>
  </w:num>
  <w:num w:numId="49">
    <w:abstractNumId w:val="42"/>
  </w:num>
  <w:num w:numId="50">
    <w:abstractNumId w:val="19"/>
  </w:num>
  <w:num w:numId="51">
    <w:abstractNumId w:val="27"/>
  </w:num>
  <w:num w:numId="52">
    <w:abstractNumId w:val="45"/>
  </w:num>
  <w:num w:numId="53">
    <w:abstractNumId w:val="36"/>
  </w:num>
  <w:num w:numId="54">
    <w:abstractNumId w:val="14"/>
  </w:num>
  <w:num w:numId="55">
    <w:abstractNumId w:val="34"/>
  </w:num>
  <w:num w:numId="56">
    <w:abstractNumId w:val="31"/>
  </w:num>
  <w:num w:numId="57">
    <w:abstractNumId w:val="28"/>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04"/>
    <w:rsid w:val="00000328"/>
    <w:rsid w:val="00000B21"/>
    <w:rsid w:val="0000283D"/>
    <w:rsid w:val="00005A23"/>
    <w:rsid w:val="00012162"/>
    <w:rsid w:val="000158CB"/>
    <w:rsid w:val="00016AEA"/>
    <w:rsid w:val="00021F1A"/>
    <w:rsid w:val="00021F7E"/>
    <w:rsid w:val="000220E1"/>
    <w:rsid w:val="00025807"/>
    <w:rsid w:val="00026462"/>
    <w:rsid w:val="00030674"/>
    <w:rsid w:val="00034E81"/>
    <w:rsid w:val="000359E3"/>
    <w:rsid w:val="00037DE6"/>
    <w:rsid w:val="00042355"/>
    <w:rsid w:val="00045E7F"/>
    <w:rsid w:val="00050260"/>
    <w:rsid w:val="00051E02"/>
    <w:rsid w:val="00052483"/>
    <w:rsid w:val="00053A96"/>
    <w:rsid w:val="00057B58"/>
    <w:rsid w:val="000621F7"/>
    <w:rsid w:val="000627F9"/>
    <w:rsid w:val="00066375"/>
    <w:rsid w:val="00067529"/>
    <w:rsid w:val="00067F8B"/>
    <w:rsid w:val="000703F3"/>
    <w:rsid w:val="000728DA"/>
    <w:rsid w:val="00073D7E"/>
    <w:rsid w:val="0007516D"/>
    <w:rsid w:val="00077736"/>
    <w:rsid w:val="000805C7"/>
    <w:rsid w:val="000835B4"/>
    <w:rsid w:val="00084720"/>
    <w:rsid w:val="0008513D"/>
    <w:rsid w:val="0009100A"/>
    <w:rsid w:val="0009228A"/>
    <w:rsid w:val="000928B1"/>
    <w:rsid w:val="00095E6F"/>
    <w:rsid w:val="000962F1"/>
    <w:rsid w:val="000A19EE"/>
    <w:rsid w:val="000A2071"/>
    <w:rsid w:val="000A369A"/>
    <w:rsid w:val="000A3D56"/>
    <w:rsid w:val="000A3FFD"/>
    <w:rsid w:val="000A6871"/>
    <w:rsid w:val="000B067F"/>
    <w:rsid w:val="000B2A48"/>
    <w:rsid w:val="000B3681"/>
    <w:rsid w:val="000B5E5D"/>
    <w:rsid w:val="000B6634"/>
    <w:rsid w:val="000B6D0A"/>
    <w:rsid w:val="000C27E3"/>
    <w:rsid w:val="000C5A4B"/>
    <w:rsid w:val="000D0555"/>
    <w:rsid w:val="000D40A6"/>
    <w:rsid w:val="000D47E0"/>
    <w:rsid w:val="000D6D34"/>
    <w:rsid w:val="000D70A2"/>
    <w:rsid w:val="000E27A9"/>
    <w:rsid w:val="000E31A4"/>
    <w:rsid w:val="000E7F35"/>
    <w:rsid w:val="000F5A6A"/>
    <w:rsid w:val="000F6173"/>
    <w:rsid w:val="00103652"/>
    <w:rsid w:val="001057BC"/>
    <w:rsid w:val="00110C79"/>
    <w:rsid w:val="00110E8D"/>
    <w:rsid w:val="00111DBF"/>
    <w:rsid w:val="0011364C"/>
    <w:rsid w:val="001149E2"/>
    <w:rsid w:val="001216EE"/>
    <w:rsid w:val="0012248C"/>
    <w:rsid w:val="001246DA"/>
    <w:rsid w:val="001261BD"/>
    <w:rsid w:val="0012628C"/>
    <w:rsid w:val="00130856"/>
    <w:rsid w:val="00131D75"/>
    <w:rsid w:val="00132122"/>
    <w:rsid w:val="00132B87"/>
    <w:rsid w:val="001338BD"/>
    <w:rsid w:val="00134F99"/>
    <w:rsid w:val="001359FE"/>
    <w:rsid w:val="00135D27"/>
    <w:rsid w:val="00135E07"/>
    <w:rsid w:val="001411B8"/>
    <w:rsid w:val="001414DB"/>
    <w:rsid w:val="00143E1C"/>
    <w:rsid w:val="0015487B"/>
    <w:rsid w:val="001564C7"/>
    <w:rsid w:val="00156A6B"/>
    <w:rsid w:val="00157F8B"/>
    <w:rsid w:val="00160ECE"/>
    <w:rsid w:val="001614DE"/>
    <w:rsid w:val="00166F40"/>
    <w:rsid w:val="00170529"/>
    <w:rsid w:val="00172699"/>
    <w:rsid w:val="00173EFE"/>
    <w:rsid w:val="00177678"/>
    <w:rsid w:val="00180D6E"/>
    <w:rsid w:val="00181541"/>
    <w:rsid w:val="00183A67"/>
    <w:rsid w:val="001851ED"/>
    <w:rsid w:val="001912EC"/>
    <w:rsid w:val="00191FD9"/>
    <w:rsid w:val="00193285"/>
    <w:rsid w:val="00194389"/>
    <w:rsid w:val="001948B3"/>
    <w:rsid w:val="00196696"/>
    <w:rsid w:val="00196F1E"/>
    <w:rsid w:val="00196F8E"/>
    <w:rsid w:val="001972BE"/>
    <w:rsid w:val="00197BB9"/>
    <w:rsid w:val="001A0452"/>
    <w:rsid w:val="001A0D81"/>
    <w:rsid w:val="001A5726"/>
    <w:rsid w:val="001A69BA"/>
    <w:rsid w:val="001A7B7A"/>
    <w:rsid w:val="001B0F30"/>
    <w:rsid w:val="001B2322"/>
    <w:rsid w:val="001B24F1"/>
    <w:rsid w:val="001B32FA"/>
    <w:rsid w:val="001C1049"/>
    <w:rsid w:val="001C1244"/>
    <w:rsid w:val="001C22FB"/>
    <w:rsid w:val="001C417D"/>
    <w:rsid w:val="001C4252"/>
    <w:rsid w:val="001C58EB"/>
    <w:rsid w:val="001D1A48"/>
    <w:rsid w:val="001D21ED"/>
    <w:rsid w:val="001D24C1"/>
    <w:rsid w:val="001D3F37"/>
    <w:rsid w:val="001D673B"/>
    <w:rsid w:val="001E0C70"/>
    <w:rsid w:val="001E1D59"/>
    <w:rsid w:val="001E2FAB"/>
    <w:rsid w:val="001E74A6"/>
    <w:rsid w:val="001F1EAF"/>
    <w:rsid w:val="001F51BD"/>
    <w:rsid w:val="001F71E9"/>
    <w:rsid w:val="00200C6C"/>
    <w:rsid w:val="00204006"/>
    <w:rsid w:val="00207545"/>
    <w:rsid w:val="00213A9D"/>
    <w:rsid w:val="002158FA"/>
    <w:rsid w:val="00222276"/>
    <w:rsid w:val="0022679F"/>
    <w:rsid w:val="00230AA8"/>
    <w:rsid w:val="00230B9C"/>
    <w:rsid w:val="00230ECF"/>
    <w:rsid w:val="002314BE"/>
    <w:rsid w:val="0023327C"/>
    <w:rsid w:val="00240B60"/>
    <w:rsid w:val="00241CA5"/>
    <w:rsid w:val="00241F24"/>
    <w:rsid w:val="0024434D"/>
    <w:rsid w:val="00244550"/>
    <w:rsid w:val="0024580C"/>
    <w:rsid w:val="002519A5"/>
    <w:rsid w:val="00254543"/>
    <w:rsid w:val="00254DE9"/>
    <w:rsid w:val="00260CFC"/>
    <w:rsid w:val="00261E0C"/>
    <w:rsid w:val="00262095"/>
    <w:rsid w:val="00263962"/>
    <w:rsid w:val="00275996"/>
    <w:rsid w:val="0027606B"/>
    <w:rsid w:val="00276A15"/>
    <w:rsid w:val="002775C4"/>
    <w:rsid w:val="00281775"/>
    <w:rsid w:val="00285835"/>
    <w:rsid w:val="00287CC9"/>
    <w:rsid w:val="0029021A"/>
    <w:rsid w:val="002957FC"/>
    <w:rsid w:val="00295A9B"/>
    <w:rsid w:val="002A27DE"/>
    <w:rsid w:val="002A327F"/>
    <w:rsid w:val="002A346F"/>
    <w:rsid w:val="002A35D2"/>
    <w:rsid w:val="002A54B0"/>
    <w:rsid w:val="002A5FD9"/>
    <w:rsid w:val="002B52CD"/>
    <w:rsid w:val="002B57CF"/>
    <w:rsid w:val="002B5D9B"/>
    <w:rsid w:val="002C190E"/>
    <w:rsid w:val="002C5926"/>
    <w:rsid w:val="002C64DC"/>
    <w:rsid w:val="002C7FA3"/>
    <w:rsid w:val="002D0044"/>
    <w:rsid w:val="002D0C02"/>
    <w:rsid w:val="002D30D3"/>
    <w:rsid w:val="002D3498"/>
    <w:rsid w:val="002D48E5"/>
    <w:rsid w:val="002D4B6A"/>
    <w:rsid w:val="002D5400"/>
    <w:rsid w:val="002D7488"/>
    <w:rsid w:val="002E34A8"/>
    <w:rsid w:val="002E3D44"/>
    <w:rsid w:val="002E424F"/>
    <w:rsid w:val="002E5187"/>
    <w:rsid w:val="002E5B28"/>
    <w:rsid w:val="002F3418"/>
    <w:rsid w:val="002F6CD1"/>
    <w:rsid w:val="003036F4"/>
    <w:rsid w:val="003132C0"/>
    <w:rsid w:val="0032075F"/>
    <w:rsid w:val="0032440D"/>
    <w:rsid w:val="0032460A"/>
    <w:rsid w:val="00325DFD"/>
    <w:rsid w:val="003265CB"/>
    <w:rsid w:val="0033265C"/>
    <w:rsid w:val="00332E3B"/>
    <w:rsid w:val="00333EC0"/>
    <w:rsid w:val="00337424"/>
    <w:rsid w:val="003427BE"/>
    <w:rsid w:val="00342B8C"/>
    <w:rsid w:val="00346F19"/>
    <w:rsid w:val="00350C39"/>
    <w:rsid w:val="0035362E"/>
    <w:rsid w:val="00361B26"/>
    <w:rsid w:val="00362FC5"/>
    <w:rsid w:val="00366393"/>
    <w:rsid w:val="00367879"/>
    <w:rsid w:val="00371127"/>
    <w:rsid w:val="00373092"/>
    <w:rsid w:val="00373E21"/>
    <w:rsid w:val="00374406"/>
    <w:rsid w:val="00375B75"/>
    <w:rsid w:val="003825BF"/>
    <w:rsid w:val="00386A09"/>
    <w:rsid w:val="00391225"/>
    <w:rsid w:val="0039347F"/>
    <w:rsid w:val="00394B69"/>
    <w:rsid w:val="003A01E2"/>
    <w:rsid w:val="003A4BCF"/>
    <w:rsid w:val="003A533D"/>
    <w:rsid w:val="003A70A0"/>
    <w:rsid w:val="003A7198"/>
    <w:rsid w:val="003B1DDE"/>
    <w:rsid w:val="003B1E1C"/>
    <w:rsid w:val="003B7F7D"/>
    <w:rsid w:val="003C1F20"/>
    <w:rsid w:val="003C28D3"/>
    <w:rsid w:val="003C592B"/>
    <w:rsid w:val="003C5997"/>
    <w:rsid w:val="003C68F4"/>
    <w:rsid w:val="003D3B43"/>
    <w:rsid w:val="003D3D92"/>
    <w:rsid w:val="003D6B78"/>
    <w:rsid w:val="003E2856"/>
    <w:rsid w:val="003E2AB3"/>
    <w:rsid w:val="003E7639"/>
    <w:rsid w:val="003F0125"/>
    <w:rsid w:val="003F10CB"/>
    <w:rsid w:val="003F19F0"/>
    <w:rsid w:val="003F3A18"/>
    <w:rsid w:val="003F5A46"/>
    <w:rsid w:val="00403067"/>
    <w:rsid w:val="0040443A"/>
    <w:rsid w:val="00406324"/>
    <w:rsid w:val="00413201"/>
    <w:rsid w:val="00416E25"/>
    <w:rsid w:val="0042065A"/>
    <w:rsid w:val="00422DDB"/>
    <w:rsid w:val="004270C8"/>
    <w:rsid w:val="00431873"/>
    <w:rsid w:val="004323FB"/>
    <w:rsid w:val="00441F9B"/>
    <w:rsid w:val="00445A72"/>
    <w:rsid w:val="00445B20"/>
    <w:rsid w:val="00451F52"/>
    <w:rsid w:val="0046169C"/>
    <w:rsid w:val="00461E79"/>
    <w:rsid w:val="00462A2D"/>
    <w:rsid w:val="00463854"/>
    <w:rsid w:val="00464AD1"/>
    <w:rsid w:val="004725F8"/>
    <w:rsid w:val="00475FB8"/>
    <w:rsid w:val="00484DE7"/>
    <w:rsid w:val="00486012"/>
    <w:rsid w:val="004926AC"/>
    <w:rsid w:val="004959C2"/>
    <w:rsid w:val="004A0714"/>
    <w:rsid w:val="004A1245"/>
    <w:rsid w:val="004A4AED"/>
    <w:rsid w:val="004A5F25"/>
    <w:rsid w:val="004B0AFE"/>
    <w:rsid w:val="004B17A1"/>
    <w:rsid w:val="004B1E15"/>
    <w:rsid w:val="004B2F6C"/>
    <w:rsid w:val="004B4126"/>
    <w:rsid w:val="004B61DD"/>
    <w:rsid w:val="004C12B4"/>
    <w:rsid w:val="004C1954"/>
    <w:rsid w:val="004C24AE"/>
    <w:rsid w:val="004C34D7"/>
    <w:rsid w:val="004C3CF8"/>
    <w:rsid w:val="004C790E"/>
    <w:rsid w:val="004D00C5"/>
    <w:rsid w:val="004D1248"/>
    <w:rsid w:val="004D4B4B"/>
    <w:rsid w:val="004D7E6F"/>
    <w:rsid w:val="004E2607"/>
    <w:rsid w:val="004E6F9E"/>
    <w:rsid w:val="004F02C2"/>
    <w:rsid w:val="004F25BD"/>
    <w:rsid w:val="004F3C23"/>
    <w:rsid w:val="00500EF1"/>
    <w:rsid w:val="00503802"/>
    <w:rsid w:val="00507A63"/>
    <w:rsid w:val="00510377"/>
    <w:rsid w:val="00513AAA"/>
    <w:rsid w:val="00514E56"/>
    <w:rsid w:val="0051727A"/>
    <w:rsid w:val="00524EC5"/>
    <w:rsid w:val="00530ECD"/>
    <w:rsid w:val="00531EF3"/>
    <w:rsid w:val="00532199"/>
    <w:rsid w:val="00532412"/>
    <w:rsid w:val="00534281"/>
    <w:rsid w:val="00537B74"/>
    <w:rsid w:val="005404C9"/>
    <w:rsid w:val="005448E5"/>
    <w:rsid w:val="00545567"/>
    <w:rsid w:val="00546F5D"/>
    <w:rsid w:val="00547B20"/>
    <w:rsid w:val="0055305B"/>
    <w:rsid w:val="00553902"/>
    <w:rsid w:val="00560D8B"/>
    <w:rsid w:val="005672B3"/>
    <w:rsid w:val="00575137"/>
    <w:rsid w:val="00576763"/>
    <w:rsid w:val="005801FF"/>
    <w:rsid w:val="00581F48"/>
    <w:rsid w:val="00590304"/>
    <w:rsid w:val="00591EEE"/>
    <w:rsid w:val="005A3395"/>
    <w:rsid w:val="005A3AB8"/>
    <w:rsid w:val="005A6A04"/>
    <w:rsid w:val="005B1E3B"/>
    <w:rsid w:val="005B72EE"/>
    <w:rsid w:val="005C2F25"/>
    <w:rsid w:val="005C3795"/>
    <w:rsid w:val="005C658D"/>
    <w:rsid w:val="005C7E4B"/>
    <w:rsid w:val="005D01F0"/>
    <w:rsid w:val="005D36AB"/>
    <w:rsid w:val="005D498A"/>
    <w:rsid w:val="005E056F"/>
    <w:rsid w:val="005E13B7"/>
    <w:rsid w:val="005E3E0C"/>
    <w:rsid w:val="005E5853"/>
    <w:rsid w:val="005F283A"/>
    <w:rsid w:val="005F48B0"/>
    <w:rsid w:val="005F70EF"/>
    <w:rsid w:val="00600699"/>
    <w:rsid w:val="0060209F"/>
    <w:rsid w:val="00612E05"/>
    <w:rsid w:val="00620135"/>
    <w:rsid w:val="00621392"/>
    <w:rsid w:val="00623DE9"/>
    <w:rsid w:val="006278AA"/>
    <w:rsid w:val="006309A1"/>
    <w:rsid w:val="00632925"/>
    <w:rsid w:val="0063366A"/>
    <w:rsid w:val="00633CB9"/>
    <w:rsid w:val="006347EB"/>
    <w:rsid w:val="00634E3A"/>
    <w:rsid w:val="006446AB"/>
    <w:rsid w:val="00645558"/>
    <w:rsid w:val="00650CC3"/>
    <w:rsid w:val="00655A28"/>
    <w:rsid w:val="006566AC"/>
    <w:rsid w:val="006619E2"/>
    <w:rsid w:val="00661BCA"/>
    <w:rsid w:val="00661E9A"/>
    <w:rsid w:val="00663982"/>
    <w:rsid w:val="00670531"/>
    <w:rsid w:val="006767D6"/>
    <w:rsid w:val="00676C58"/>
    <w:rsid w:val="00676E1E"/>
    <w:rsid w:val="00677FC7"/>
    <w:rsid w:val="0068054B"/>
    <w:rsid w:val="00682FEE"/>
    <w:rsid w:val="00683B15"/>
    <w:rsid w:val="00690065"/>
    <w:rsid w:val="00690375"/>
    <w:rsid w:val="00690390"/>
    <w:rsid w:val="00690E74"/>
    <w:rsid w:val="0069290D"/>
    <w:rsid w:val="00693105"/>
    <w:rsid w:val="006934F6"/>
    <w:rsid w:val="006941AB"/>
    <w:rsid w:val="006964E7"/>
    <w:rsid w:val="006A0272"/>
    <w:rsid w:val="006A4C8E"/>
    <w:rsid w:val="006B1620"/>
    <w:rsid w:val="006B1865"/>
    <w:rsid w:val="006B205B"/>
    <w:rsid w:val="006B2909"/>
    <w:rsid w:val="006B2B4D"/>
    <w:rsid w:val="006B3C59"/>
    <w:rsid w:val="006B7A5F"/>
    <w:rsid w:val="006C08FF"/>
    <w:rsid w:val="006C4B01"/>
    <w:rsid w:val="006C4BBC"/>
    <w:rsid w:val="006C55E6"/>
    <w:rsid w:val="006D06E0"/>
    <w:rsid w:val="006D34C8"/>
    <w:rsid w:val="006D5504"/>
    <w:rsid w:val="006D607B"/>
    <w:rsid w:val="006F1433"/>
    <w:rsid w:val="006F174B"/>
    <w:rsid w:val="006F6724"/>
    <w:rsid w:val="00703C01"/>
    <w:rsid w:val="00703C25"/>
    <w:rsid w:val="00704BF8"/>
    <w:rsid w:val="00706384"/>
    <w:rsid w:val="00706C12"/>
    <w:rsid w:val="007135D8"/>
    <w:rsid w:val="00713A6F"/>
    <w:rsid w:val="00714305"/>
    <w:rsid w:val="00716CFD"/>
    <w:rsid w:val="00716E0D"/>
    <w:rsid w:val="00717107"/>
    <w:rsid w:val="00717BD8"/>
    <w:rsid w:val="00721C77"/>
    <w:rsid w:val="00726D66"/>
    <w:rsid w:val="007275DF"/>
    <w:rsid w:val="0073156A"/>
    <w:rsid w:val="007339EA"/>
    <w:rsid w:val="00734B0B"/>
    <w:rsid w:val="00737709"/>
    <w:rsid w:val="00737980"/>
    <w:rsid w:val="0074035B"/>
    <w:rsid w:val="007423C3"/>
    <w:rsid w:val="0074242E"/>
    <w:rsid w:val="00743653"/>
    <w:rsid w:val="00745F9B"/>
    <w:rsid w:val="00746E36"/>
    <w:rsid w:val="00750EB1"/>
    <w:rsid w:val="007517B8"/>
    <w:rsid w:val="0075281F"/>
    <w:rsid w:val="00762162"/>
    <w:rsid w:val="007705C0"/>
    <w:rsid w:val="00775BE4"/>
    <w:rsid w:val="00780509"/>
    <w:rsid w:val="0078269B"/>
    <w:rsid w:val="00782BF7"/>
    <w:rsid w:val="00784B4F"/>
    <w:rsid w:val="00784CD1"/>
    <w:rsid w:val="00790382"/>
    <w:rsid w:val="007932AE"/>
    <w:rsid w:val="00793B97"/>
    <w:rsid w:val="007A24AF"/>
    <w:rsid w:val="007A5558"/>
    <w:rsid w:val="007A76C5"/>
    <w:rsid w:val="007A7C25"/>
    <w:rsid w:val="007B18B8"/>
    <w:rsid w:val="007B230F"/>
    <w:rsid w:val="007B25CD"/>
    <w:rsid w:val="007C094F"/>
    <w:rsid w:val="007C2528"/>
    <w:rsid w:val="007C51BF"/>
    <w:rsid w:val="007C601A"/>
    <w:rsid w:val="007C6A64"/>
    <w:rsid w:val="007C77D5"/>
    <w:rsid w:val="007D2555"/>
    <w:rsid w:val="007D3C36"/>
    <w:rsid w:val="007E049C"/>
    <w:rsid w:val="007E0DCB"/>
    <w:rsid w:val="007E14C2"/>
    <w:rsid w:val="007E234D"/>
    <w:rsid w:val="007E5461"/>
    <w:rsid w:val="007E6639"/>
    <w:rsid w:val="007E7A4B"/>
    <w:rsid w:val="007F210A"/>
    <w:rsid w:val="007F46C6"/>
    <w:rsid w:val="008001C8"/>
    <w:rsid w:val="00801173"/>
    <w:rsid w:val="00805F0C"/>
    <w:rsid w:val="0080641A"/>
    <w:rsid w:val="0080760C"/>
    <w:rsid w:val="00810FCE"/>
    <w:rsid w:val="00811CD9"/>
    <w:rsid w:val="00811E6A"/>
    <w:rsid w:val="00811E9C"/>
    <w:rsid w:val="00814EA4"/>
    <w:rsid w:val="00816AD4"/>
    <w:rsid w:val="00817366"/>
    <w:rsid w:val="00820775"/>
    <w:rsid w:val="00822973"/>
    <w:rsid w:val="0082394D"/>
    <w:rsid w:val="008334B5"/>
    <w:rsid w:val="00833CD9"/>
    <w:rsid w:val="008352B3"/>
    <w:rsid w:val="00843933"/>
    <w:rsid w:val="00844DD7"/>
    <w:rsid w:val="00844F35"/>
    <w:rsid w:val="00845156"/>
    <w:rsid w:val="00847BE5"/>
    <w:rsid w:val="00856B6A"/>
    <w:rsid w:val="00860305"/>
    <w:rsid w:val="008603FA"/>
    <w:rsid w:val="00862595"/>
    <w:rsid w:val="00866E4D"/>
    <w:rsid w:val="008670B6"/>
    <w:rsid w:val="00867DEB"/>
    <w:rsid w:val="00871493"/>
    <w:rsid w:val="00872186"/>
    <w:rsid w:val="00873870"/>
    <w:rsid w:val="008759BA"/>
    <w:rsid w:val="00875D75"/>
    <w:rsid w:val="00880997"/>
    <w:rsid w:val="00883D6A"/>
    <w:rsid w:val="0088570F"/>
    <w:rsid w:val="00890CC4"/>
    <w:rsid w:val="008920F2"/>
    <w:rsid w:val="00894447"/>
    <w:rsid w:val="008A4251"/>
    <w:rsid w:val="008A4258"/>
    <w:rsid w:val="008A5AFB"/>
    <w:rsid w:val="008B0FB7"/>
    <w:rsid w:val="008B3322"/>
    <w:rsid w:val="008B6779"/>
    <w:rsid w:val="008B7A30"/>
    <w:rsid w:val="008C3DF7"/>
    <w:rsid w:val="008C468F"/>
    <w:rsid w:val="008C4966"/>
    <w:rsid w:val="008C4E26"/>
    <w:rsid w:val="008C650D"/>
    <w:rsid w:val="008C70EE"/>
    <w:rsid w:val="008D1F40"/>
    <w:rsid w:val="008E3C2A"/>
    <w:rsid w:val="008E58F8"/>
    <w:rsid w:val="008E7673"/>
    <w:rsid w:val="008F3432"/>
    <w:rsid w:val="008F78B9"/>
    <w:rsid w:val="00903BA4"/>
    <w:rsid w:val="00904BAB"/>
    <w:rsid w:val="0090735E"/>
    <w:rsid w:val="009108B7"/>
    <w:rsid w:val="00910D95"/>
    <w:rsid w:val="00913586"/>
    <w:rsid w:val="00913F70"/>
    <w:rsid w:val="009140F1"/>
    <w:rsid w:val="009159B0"/>
    <w:rsid w:val="00924951"/>
    <w:rsid w:val="00926651"/>
    <w:rsid w:val="00927536"/>
    <w:rsid w:val="0092786C"/>
    <w:rsid w:val="0093353F"/>
    <w:rsid w:val="009347AF"/>
    <w:rsid w:val="00936F2A"/>
    <w:rsid w:val="00936FBA"/>
    <w:rsid w:val="009379B5"/>
    <w:rsid w:val="00940B03"/>
    <w:rsid w:val="00945B86"/>
    <w:rsid w:val="00947805"/>
    <w:rsid w:val="00951C9F"/>
    <w:rsid w:val="00952F50"/>
    <w:rsid w:val="00953969"/>
    <w:rsid w:val="00955E09"/>
    <w:rsid w:val="00956315"/>
    <w:rsid w:val="009615C6"/>
    <w:rsid w:val="00962B0E"/>
    <w:rsid w:val="00962EF4"/>
    <w:rsid w:val="00965686"/>
    <w:rsid w:val="00966F4B"/>
    <w:rsid w:val="00967761"/>
    <w:rsid w:val="00973296"/>
    <w:rsid w:val="00980F55"/>
    <w:rsid w:val="0098757E"/>
    <w:rsid w:val="0099026D"/>
    <w:rsid w:val="00991E8F"/>
    <w:rsid w:val="009929F8"/>
    <w:rsid w:val="009A11D8"/>
    <w:rsid w:val="009A568D"/>
    <w:rsid w:val="009A6CBA"/>
    <w:rsid w:val="009B2929"/>
    <w:rsid w:val="009B2B00"/>
    <w:rsid w:val="009B5DD0"/>
    <w:rsid w:val="009B67B7"/>
    <w:rsid w:val="009C09C2"/>
    <w:rsid w:val="009C238F"/>
    <w:rsid w:val="009C2D1D"/>
    <w:rsid w:val="009C4F6C"/>
    <w:rsid w:val="009C52A9"/>
    <w:rsid w:val="009D2D7D"/>
    <w:rsid w:val="009D3291"/>
    <w:rsid w:val="009D4578"/>
    <w:rsid w:val="009D5C75"/>
    <w:rsid w:val="009E2553"/>
    <w:rsid w:val="009E2E19"/>
    <w:rsid w:val="009E79D6"/>
    <w:rsid w:val="009F2C3A"/>
    <w:rsid w:val="009F574E"/>
    <w:rsid w:val="009F57BE"/>
    <w:rsid w:val="00A026B8"/>
    <w:rsid w:val="00A04A06"/>
    <w:rsid w:val="00A07B6D"/>
    <w:rsid w:val="00A10160"/>
    <w:rsid w:val="00A1329B"/>
    <w:rsid w:val="00A207CB"/>
    <w:rsid w:val="00A210A3"/>
    <w:rsid w:val="00A2169E"/>
    <w:rsid w:val="00A236FE"/>
    <w:rsid w:val="00A300B2"/>
    <w:rsid w:val="00A301DA"/>
    <w:rsid w:val="00A43068"/>
    <w:rsid w:val="00A45833"/>
    <w:rsid w:val="00A46154"/>
    <w:rsid w:val="00A50092"/>
    <w:rsid w:val="00A52D4D"/>
    <w:rsid w:val="00A52EF6"/>
    <w:rsid w:val="00A54C4F"/>
    <w:rsid w:val="00A57A72"/>
    <w:rsid w:val="00A60EA9"/>
    <w:rsid w:val="00A612A9"/>
    <w:rsid w:val="00A622CB"/>
    <w:rsid w:val="00A63D46"/>
    <w:rsid w:val="00A67472"/>
    <w:rsid w:val="00A6764D"/>
    <w:rsid w:val="00A714AB"/>
    <w:rsid w:val="00A714CF"/>
    <w:rsid w:val="00A72E93"/>
    <w:rsid w:val="00A7623C"/>
    <w:rsid w:val="00A82FDA"/>
    <w:rsid w:val="00A8490F"/>
    <w:rsid w:val="00A8557D"/>
    <w:rsid w:val="00A87A8F"/>
    <w:rsid w:val="00AA4CF3"/>
    <w:rsid w:val="00AA57EC"/>
    <w:rsid w:val="00AA7330"/>
    <w:rsid w:val="00AB3CEF"/>
    <w:rsid w:val="00AB4215"/>
    <w:rsid w:val="00AB6CF2"/>
    <w:rsid w:val="00AB6F9E"/>
    <w:rsid w:val="00AC26A8"/>
    <w:rsid w:val="00AC6426"/>
    <w:rsid w:val="00AC7494"/>
    <w:rsid w:val="00AD3BA6"/>
    <w:rsid w:val="00AD43F5"/>
    <w:rsid w:val="00AD6EF3"/>
    <w:rsid w:val="00AE1F85"/>
    <w:rsid w:val="00AE2021"/>
    <w:rsid w:val="00AE5153"/>
    <w:rsid w:val="00AF010A"/>
    <w:rsid w:val="00AF2B02"/>
    <w:rsid w:val="00AF4B06"/>
    <w:rsid w:val="00AF5445"/>
    <w:rsid w:val="00AF7C8C"/>
    <w:rsid w:val="00B037A4"/>
    <w:rsid w:val="00B03805"/>
    <w:rsid w:val="00B04816"/>
    <w:rsid w:val="00B05029"/>
    <w:rsid w:val="00B05865"/>
    <w:rsid w:val="00B0791F"/>
    <w:rsid w:val="00B07A8D"/>
    <w:rsid w:val="00B12535"/>
    <w:rsid w:val="00B14AE9"/>
    <w:rsid w:val="00B15469"/>
    <w:rsid w:val="00B20E23"/>
    <w:rsid w:val="00B264B5"/>
    <w:rsid w:val="00B30358"/>
    <w:rsid w:val="00B31054"/>
    <w:rsid w:val="00B3694D"/>
    <w:rsid w:val="00B37D9E"/>
    <w:rsid w:val="00B407C8"/>
    <w:rsid w:val="00B417E8"/>
    <w:rsid w:val="00B4255A"/>
    <w:rsid w:val="00B4395D"/>
    <w:rsid w:val="00B47C42"/>
    <w:rsid w:val="00B50FA3"/>
    <w:rsid w:val="00B518DD"/>
    <w:rsid w:val="00B53496"/>
    <w:rsid w:val="00B54400"/>
    <w:rsid w:val="00B62374"/>
    <w:rsid w:val="00B63054"/>
    <w:rsid w:val="00B633FD"/>
    <w:rsid w:val="00B64A08"/>
    <w:rsid w:val="00B67C75"/>
    <w:rsid w:val="00B73887"/>
    <w:rsid w:val="00B762EA"/>
    <w:rsid w:val="00B76B33"/>
    <w:rsid w:val="00B76FCE"/>
    <w:rsid w:val="00B7715C"/>
    <w:rsid w:val="00B772AC"/>
    <w:rsid w:val="00B80BE7"/>
    <w:rsid w:val="00B81C90"/>
    <w:rsid w:val="00B85D77"/>
    <w:rsid w:val="00B8701E"/>
    <w:rsid w:val="00B90AC2"/>
    <w:rsid w:val="00B94C42"/>
    <w:rsid w:val="00BA1CE8"/>
    <w:rsid w:val="00BA36C1"/>
    <w:rsid w:val="00BA66A7"/>
    <w:rsid w:val="00BB4992"/>
    <w:rsid w:val="00BB5873"/>
    <w:rsid w:val="00BB7EF1"/>
    <w:rsid w:val="00BC15CF"/>
    <w:rsid w:val="00BC377D"/>
    <w:rsid w:val="00BC433D"/>
    <w:rsid w:val="00BC4568"/>
    <w:rsid w:val="00BC5CEB"/>
    <w:rsid w:val="00BD24E8"/>
    <w:rsid w:val="00BD6EC1"/>
    <w:rsid w:val="00BD7899"/>
    <w:rsid w:val="00BE0D98"/>
    <w:rsid w:val="00BE534C"/>
    <w:rsid w:val="00BE5D1B"/>
    <w:rsid w:val="00BF04B4"/>
    <w:rsid w:val="00BF3390"/>
    <w:rsid w:val="00BF6F80"/>
    <w:rsid w:val="00BF7C3A"/>
    <w:rsid w:val="00C100C0"/>
    <w:rsid w:val="00C11701"/>
    <w:rsid w:val="00C124A8"/>
    <w:rsid w:val="00C17E3F"/>
    <w:rsid w:val="00C20A23"/>
    <w:rsid w:val="00C23AE7"/>
    <w:rsid w:val="00C24510"/>
    <w:rsid w:val="00C24D84"/>
    <w:rsid w:val="00C33F85"/>
    <w:rsid w:val="00C35FF2"/>
    <w:rsid w:val="00C40A5B"/>
    <w:rsid w:val="00C45B7A"/>
    <w:rsid w:val="00C45DD1"/>
    <w:rsid w:val="00C50AB5"/>
    <w:rsid w:val="00C53FDB"/>
    <w:rsid w:val="00C60B5C"/>
    <w:rsid w:val="00C624B5"/>
    <w:rsid w:val="00C6324D"/>
    <w:rsid w:val="00C63B88"/>
    <w:rsid w:val="00C64753"/>
    <w:rsid w:val="00C662D2"/>
    <w:rsid w:val="00C71248"/>
    <w:rsid w:val="00C73CD1"/>
    <w:rsid w:val="00C779A0"/>
    <w:rsid w:val="00C809C9"/>
    <w:rsid w:val="00C95D19"/>
    <w:rsid w:val="00C95D3B"/>
    <w:rsid w:val="00C95F2B"/>
    <w:rsid w:val="00C97F8B"/>
    <w:rsid w:val="00CA47F3"/>
    <w:rsid w:val="00CA5508"/>
    <w:rsid w:val="00CA5E8B"/>
    <w:rsid w:val="00CA7ABA"/>
    <w:rsid w:val="00CB0938"/>
    <w:rsid w:val="00CB182C"/>
    <w:rsid w:val="00CB1856"/>
    <w:rsid w:val="00CB493D"/>
    <w:rsid w:val="00CB4A74"/>
    <w:rsid w:val="00CB5D4D"/>
    <w:rsid w:val="00CB7625"/>
    <w:rsid w:val="00CC3430"/>
    <w:rsid w:val="00CC43C9"/>
    <w:rsid w:val="00CD3827"/>
    <w:rsid w:val="00CD596D"/>
    <w:rsid w:val="00CD5E34"/>
    <w:rsid w:val="00CD608D"/>
    <w:rsid w:val="00CE0BB2"/>
    <w:rsid w:val="00CE0FA7"/>
    <w:rsid w:val="00CE299E"/>
    <w:rsid w:val="00CE55C9"/>
    <w:rsid w:val="00CE6912"/>
    <w:rsid w:val="00CE7802"/>
    <w:rsid w:val="00CF0BD1"/>
    <w:rsid w:val="00CF113F"/>
    <w:rsid w:val="00CF132D"/>
    <w:rsid w:val="00CF253C"/>
    <w:rsid w:val="00CF55D1"/>
    <w:rsid w:val="00D03789"/>
    <w:rsid w:val="00D0475E"/>
    <w:rsid w:val="00D05813"/>
    <w:rsid w:val="00D14310"/>
    <w:rsid w:val="00D24B9B"/>
    <w:rsid w:val="00D26B5E"/>
    <w:rsid w:val="00D26F5A"/>
    <w:rsid w:val="00D3004F"/>
    <w:rsid w:val="00D32565"/>
    <w:rsid w:val="00D332E6"/>
    <w:rsid w:val="00D34613"/>
    <w:rsid w:val="00D34877"/>
    <w:rsid w:val="00D37187"/>
    <w:rsid w:val="00D379B3"/>
    <w:rsid w:val="00D4018F"/>
    <w:rsid w:val="00D46A39"/>
    <w:rsid w:val="00D54678"/>
    <w:rsid w:val="00D54C03"/>
    <w:rsid w:val="00D54E42"/>
    <w:rsid w:val="00D5675B"/>
    <w:rsid w:val="00D615B4"/>
    <w:rsid w:val="00D65E15"/>
    <w:rsid w:val="00D66B68"/>
    <w:rsid w:val="00D6750A"/>
    <w:rsid w:val="00D679F6"/>
    <w:rsid w:val="00D700F4"/>
    <w:rsid w:val="00D70777"/>
    <w:rsid w:val="00D71875"/>
    <w:rsid w:val="00D730F9"/>
    <w:rsid w:val="00D752A2"/>
    <w:rsid w:val="00D761BB"/>
    <w:rsid w:val="00D8187D"/>
    <w:rsid w:val="00D84D46"/>
    <w:rsid w:val="00D84E6E"/>
    <w:rsid w:val="00D915BD"/>
    <w:rsid w:val="00D915CF"/>
    <w:rsid w:val="00D957AA"/>
    <w:rsid w:val="00D96BE2"/>
    <w:rsid w:val="00DA0D5D"/>
    <w:rsid w:val="00DA28F5"/>
    <w:rsid w:val="00DA33DD"/>
    <w:rsid w:val="00DA355A"/>
    <w:rsid w:val="00DB13BC"/>
    <w:rsid w:val="00DB42AE"/>
    <w:rsid w:val="00DB4FFF"/>
    <w:rsid w:val="00DC3790"/>
    <w:rsid w:val="00DC60D8"/>
    <w:rsid w:val="00DC639E"/>
    <w:rsid w:val="00DD2663"/>
    <w:rsid w:val="00DD5F35"/>
    <w:rsid w:val="00DD7635"/>
    <w:rsid w:val="00DD7B76"/>
    <w:rsid w:val="00DE3179"/>
    <w:rsid w:val="00DE592C"/>
    <w:rsid w:val="00DF01CB"/>
    <w:rsid w:val="00DF23CA"/>
    <w:rsid w:val="00DF43A2"/>
    <w:rsid w:val="00DF47B2"/>
    <w:rsid w:val="00DF69E1"/>
    <w:rsid w:val="00DF75BD"/>
    <w:rsid w:val="00DF7F91"/>
    <w:rsid w:val="00E0053B"/>
    <w:rsid w:val="00E014B5"/>
    <w:rsid w:val="00E02888"/>
    <w:rsid w:val="00E02935"/>
    <w:rsid w:val="00E037C0"/>
    <w:rsid w:val="00E04969"/>
    <w:rsid w:val="00E05A16"/>
    <w:rsid w:val="00E07625"/>
    <w:rsid w:val="00E07B3A"/>
    <w:rsid w:val="00E1029D"/>
    <w:rsid w:val="00E12592"/>
    <w:rsid w:val="00E13C51"/>
    <w:rsid w:val="00E17D6A"/>
    <w:rsid w:val="00E21B5D"/>
    <w:rsid w:val="00E21DCD"/>
    <w:rsid w:val="00E23E9D"/>
    <w:rsid w:val="00E25004"/>
    <w:rsid w:val="00E30774"/>
    <w:rsid w:val="00E308DB"/>
    <w:rsid w:val="00E30E81"/>
    <w:rsid w:val="00E30F74"/>
    <w:rsid w:val="00E350F8"/>
    <w:rsid w:val="00E370D1"/>
    <w:rsid w:val="00E413C7"/>
    <w:rsid w:val="00E442FF"/>
    <w:rsid w:val="00E45516"/>
    <w:rsid w:val="00E502EE"/>
    <w:rsid w:val="00E50C49"/>
    <w:rsid w:val="00E51D25"/>
    <w:rsid w:val="00E53655"/>
    <w:rsid w:val="00E55C77"/>
    <w:rsid w:val="00E55FFE"/>
    <w:rsid w:val="00E57CF5"/>
    <w:rsid w:val="00E60673"/>
    <w:rsid w:val="00E627B7"/>
    <w:rsid w:val="00E63149"/>
    <w:rsid w:val="00E64F7E"/>
    <w:rsid w:val="00E65DFA"/>
    <w:rsid w:val="00E66CF9"/>
    <w:rsid w:val="00E67789"/>
    <w:rsid w:val="00E72BED"/>
    <w:rsid w:val="00E74FB7"/>
    <w:rsid w:val="00E75E28"/>
    <w:rsid w:val="00E77713"/>
    <w:rsid w:val="00E82C2F"/>
    <w:rsid w:val="00E8391C"/>
    <w:rsid w:val="00E840F4"/>
    <w:rsid w:val="00E84205"/>
    <w:rsid w:val="00E90366"/>
    <w:rsid w:val="00E925C6"/>
    <w:rsid w:val="00E9584C"/>
    <w:rsid w:val="00E95C9E"/>
    <w:rsid w:val="00E96406"/>
    <w:rsid w:val="00E96D04"/>
    <w:rsid w:val="00EA087B"/>
    <w:rsid w:val="00EA41B5"/>
    <w:rsid w:val="00EA59E1"/>
    <w:rsid w:val="00EA64DB"/>
    <w:rsid w:val="00EB2544"/>
    <w:rsid w:val="00EB2BEE"/>
    <w:rsid w:val="00EB46D3"/>
    <w:rsid w:val="00EB4B3E"/>
    <w:rsid w:val="00EB78D6"/>
    <w:rsid w:val="00EC0FC5"/>
    <w:rsid w:val="00EC1053"/>
    <w:rsid w:val="00EC10C6"/>
    <w:rsid w:val="00EC154B"/>
    <w:rsid w:val="00EC17A6"/>
    <w:rsid w:val="00EC4A81"/>
    <w:rsid w:val="00EC7167"/>
    <w:rsid w:val="00ED1CB1"/>
    <w:rsid w:val="00ED21BC"/>
    <w:rsid w:val="00ED5F63"/>
    <w:rsid w:val="00EE3BC1"/>
    <w:rsid w:val="00EE4883"/>
    <w:rsid w:val="00EE5E4C"/>
    <w:rsid w:val="00EE6686"/>
    <w:rsid w:val="00EF0575"/>
    <w:rsid w:val="00EF201C"/>
    <w:rsid w:val="00EF29CC"/>
    <w:rsid w:val="00EF3E65"/>
    <w:rsid w:val="00EF6C9C"/>
    <w:rsid w:val="00EF6CA9"/>
    <w:rsid w:val="00EF6EA3"/>
    <w:rsid w:val="00EF70E1"/>
    <w:rsid w:val="00F00CB2"/>
    <w:rsid w:val="00F021B2"/>
    <w:rsid w:val="00F03CC9"/>
    <w:rsid w:val="00F0409A"/>
    <w:rsid w:val="00F04549"/>
    <w:rsid w:val="00F05752"/>
    <w:rsid w:val="00F113EC"/>
    <w:rsid w:val="00F12221"/>
    <w:rsid w:val="00F1380C"/>
    <w:rsid w:val="00F2234E"/>
    <w:rsid w:val="00F24BBC"/>
    <w:rsid w:val="00F254EB"/>
    <w:rsid w:val="00F264DA"/>
    <w:rsid w:val="00F26BFB"/>
    <w:rsid w:val="00F30B7C"/>
    <w:rsid w:val="00F32A99"/>
    <w:rsid w:val="00F336FE"/>
    <w:rsid w:val="00F34CBD"/>
    <w:rsid w:val="00F36567"/>
    <w:rsid w:val="00F37B9B"/>
    <w:rsid w:val="00F401B1"/>
    <w:rsid w:val="00F4431D"/>
    <w:rsid w:val="00F4475C"/>
    <w:rsid w:val="00F4625C"/>
    <w:rsid w:val="00F47D8C"/>
    <w:rsid w:val="00F501C0"/>
    <w:rsid w:val="00F52450"/>
    <w:rsid w:val="00F5693A"/>
    <w:rsid w:val="00F608F9"/>
    <w:rsid w:val="00F67CC9"/>
    <w:rsid w:val="00F67DF6"/>
    <w:rsid w:val="00F83B21"/>
    <w:rsid w:val="00F9032E"/>
    <w:rsid w:val="00F9112B"/>
    <w:rsid w:val="00FA1B5E"/>
    <w:rsid w:val="00FA1C78"/>
    <w:rsid w:val="00FA5E29"/>
    <w:rsid w:val="00FA5F64"/>
    <w:rsid w:val="00FB4EAC"/>
    <w:rsid w:val="00FC10FA"/>
    <w:rsid w:val="00FC26D2"/>
    <w:rsid w:val="00FC2FA8"/>
    <w:rsid w:val="00FC5AA7"/>
    <w:rsid w:val="00FE3142"/>
    <w:rsid w:val="00FE5932"/>
    <w:rsid w:val="00FF3D81"/>
    <w:rsid w:val="00FF4B20"/>
    <w:rsid w:val="00FF651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2DB318-A1AC-42F3-9DD3-483C7F00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E5"/>
  </w:style>
  <w:style w:type="paragraph" w:styleId="Heading1">
    <w:name w:val="heading 1"/>
    <w:basedOn w:val="Normal"/>
    <w:next w:val="Normal"/>
    <w:link w:val="Heading1Char"/>
    <w:uiPriority w:val="9"/>
    <w:qFormat/>
    <w:rsid w:val="00590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304"/>
  </w:style>
  <w:style w:type="paragraph" w:styleId="Footer">
    <w:name w:val="footer"/>
    <w:basedOn w:val="Normal"/>
    <w:link w:val="FooterChar"/>
    <w:uiPriority w:val="99"/>
    <w:unhideWhenUsed/>
    <w:rsid w:val="00590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304"/>
  </w:style>
  <w:style w:type="paragraph" w:styleId="BalloonText">
    <w:name w:val="Balloon Text"/>
    <w:basedOn w:val="Normal"/>
    <w:link w:val="BalloonTextChar"/>
    <w:uiPriority w:val="99"/>
    <w:semiHidden/>
    <w:unhideWhenUsed/>
    <w:rsid w:val="00590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304"/>
    <w:rPr>
      <w:rFonts w:ascii="Tahoma" w:hAnsi="Tahoma" w:cs="Tahoma"/>
      <w:sz w:val="16"/>
      <w:szCs w:val="16"/>
    </w:rPr>
  </w:style>
  <w:style w:type="character" w:customStyle="1" w:styleId="Heading1Char">
    <w:name w:val="Heading 1 Char"/>
    <w:basedOn w:val="DefaultParagraphFont"/>
    <w:link w:val="Heading1"/>
    <w:uiPriority w:val="9"/>
    <w:rsid w:val="0059030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90304"/>
    <w:pPr>
      <w:outlineLvl w:val="9"/>
    </w:pPr>
    <w:rPr>
      <w:lang w:val="en-US" w:eastAsia="ja-JP"/>
    </w:rPr>
  </w:style>
  <w:style w:type="paragraph" w:styleId="TOC2">
    <w:name w:val="toc 2"/>
    <w:basedOn w:val="Normal"/>
    <w:next w:val="Normal"/>
    <w:autoRedefine/>
    <w:uiPriority w:val="39"/>
    <w:unhideWhenUsed/>
    <w:qFormat/>
    <w:rsid w:val="00F5693A"/>
    <w:pPr>
      <w:pBdr>
        <w:between w:val="double" w:sz="6" w:space="0" w:color="auto"/>
      </w:pBdr>
      <w:tabs>
        <w:tab w:val="right" w:pos="9016"/>
      </w:tabs>
      <w:spacing w:before="120" w:after="120"/>
    </w:pPr>
    <w:rPr>
      <w:i/>
      <w:iCs/>
      <w:sz w:val="20"/>
      <w:szCs w:val="20"/>
    </w:rPr>
  </w:style>
  <w:style w:type="paragraph" w:styleId="TOC1">
    <w:name w:val="toc 1"/>
    <w:basedOn w:val="Normal"/>
    <w:next w:val="Normal"/>
    <w:autoRedefine/>
    <w:uiPriority w:val="39"/>
    <w:unhideWhenUsed/>
    <w:qFormat/>
    <w:rsid w:val="00F5693A"/>
    <w:pPr>
      <w:pBdr>
        <w:between w:val="double" w:sz="6" w:space="0" w:color="auto"/>
      </w:pBdr>
      <w:tabs>
        <w:tab w:val="right" w:pos="9016"/>
      </w:tabs>
      <w:spacing w:before="120" w:after="120"/>
      <w:jc w:val="center"/>
    </w:pPr>
    <w:rPr>
      <w:b/>
      <w:bCs/>
      <w:i/>
      <w:iCs/>
      <w:sz w:val="24"/>
      <w:szCs w:val="24"/>
    </w:rPr>
  </w:style>
  <w:style w:type="paragraph" w:styleId="TOC3">
    <w:name w:val="toc 3"/>
    <w:basedOn w:val="Normal"/>
    <w:next w:val="Normal"/>
    <w:autoRedefine/>
    <w:uiPriority w:val="39"/>
    <w:unhideWhenUsed/>
    <w:qFormat/>
    <w:rsid w:val="00590304"/>
    <w:pPr>
      <w:pBdr>
        <w:between w:val="double" w:sz="6" w:space="0" w:color="auto"/>
      </w:pBdr>
      <w:spacing w:before="120" w:after="120"/>
      <w:ind w:left="220"/>
      <w:jc w:val="center"/>
    </w:pPr>
    <w:rPr>
      <w:sz w:val="20"/>
      <w:szCs w:val="20"/>
    </w:rPr>
  </w:style>
  <w:style w:type="paragraph" w:styleId="TOC4">
    <w:name w:val="toc 4"/>
    <w:basedOn w:val="Normal"/>
    <w:next w:val="Normal"/>
    <w:autoRedefine/>
    <w:uiPriority w:val="39"/>
    <w:unhideWhenUsed/>
    <w:rsid w:val="00590304"/>
    <w:pPr>
      <w:pBdr>
        <w:between w:val="double" w:sz="6" w:space="0" w:color="auto"/>
      </w:pBdr>
      <w:spacing w:before="120" w:after="120"/>
      <w:ind w:left="440"/>
      <w:jc w:val="center"/>
    </w:pPr>
    <w:rPr>
      <w:sz w:val="20"/>
      <w:szCs w:val="20"/>
    </w:rPr>
  </w:style>
  <w:style w:type="paragraph" w:styleId="TOC5">
    <w:name w:val="toc 5"/>
    <w:basedOn w:val="Normal"/>
    <w:next w:val="Normal"/>
    <w:autoRedefine/>
    <w:uiPriority w:val="39"/>
    <w:unhideWhenUsed/>
    <w:rsid w:val="00590304"/>
    <w:pPr>
      <w:pBdr>
        <w:between w:val="double" w:sz="6" w:space="0" w:color="auto"/>
      </w:pBdr>
      <w:spacing w:before="120" w:after="120"/>
      <w:ind w:left="660"/>
      <w:jc w:val="center"/>
    </w:pPr>
    <w:rPr>
      <w:sz w:val="20"/>
      <w:szCs w:val="20"/>
    </w:rPr>
  </w:style>
  <w:style w:type="paragraph" w:styleId="TOC6">
    <w:name w:val="toc 6"/>
    <w:basedOn w:val="Normal"/>
    <w:next w:val="Normal"/>
    <w:autoRedefine/>
    <w:uiPriority w:val="39"/>
    <w:unhideWhenUsed/>
    <w:rsid w:val="00590304"/>
    <w:pPr>
      <w:pBdr>
        <w:between w:val="double" w:sz="6" w:space="0" w:color="auto"/>
      </w:pBdr>
      <w:spacing w:before="120" w:after="120"/>
      <w:ind w:left="880"/>
      <w:jc w:val="center"/>
    </w:pPr>
    <w:rPr>
      <w:sz w:val="20"/>
      <w:szCs w:val="20"/>
    </w:rPr>
  </w:style>
  <w:style w:type="paragraph" w:styleId="TOC7">
    <w:name w:val="toc 7"/>
    <w:basedOn w:val="Normal"/>
    <w:next w:val="Normal"/>
    <w:autoRedefine/>
    <w:uiPriority w:val="39"/>
    <w:unhideWhenUsed/>
    <w:rsid w:val="00590304"/>
    <w:pPr>
      <w:pBdr>
        <w:between w:val="double" w:sz="6" w:space="0" w:color="auto"/>
      </w:pBdr>
      <w:spacing w:before="120" w:after="120"/>
      <w:ind w:left="1100"/>
      <w:jc w:val="center"/>
    </w:pPr>
    <w:rPr>
      <w:sz w:val="20"/>
      <w:szCs w:val="20"/>
    </w:rPr>
  </w:style>
  <w:style w:type="paragraph" w:styleId="TOC8">
    <w:name w:val="toc 8"/>
    <w:basedOn w:val="Normal"/>
    <w:next w:val="Normal"/>
    <w:autoRedefine/>
    <w:uiPriority w:val="39"/>
    <w:unhideWhenUsed/>
    <w:rsid w:val="00590304"/>
    <w:pPr>
      <w:pBdr>
        <w:between w:val="double" w:sz="6" w:space="0" w:color="auto"/>
      </w:pBdr>
      <w:spacing w:before="120" w:after="120"/>
      <w:ind w:left="1320"/>
      <w:jc w:val="center"/>
    </w:pPr>
    <w:rPr>
      <w:sz w:val="20"/>
      <w:szCs w:val="20"/>
    </w:rPr>
  </w:style>
  <w:style w:type="paragraph" w:styleId="TOC9">
    <w:name w:val="toc 9"/>
    <w:basedOn w:val="Normal"/>
    <w:next w:val="Normal"/>
    <w:autoRedefine/>
    <w:uiPriority w:val="39"/>
    <w:unhideWhenUsed/>
    <w:rsid w:val="00590304"/>
    <w:pPr>
      <w:pBdr>
        <w:between w:val="double" w:sz="6" w:space="0" w:color="auto"/>
      </w:pBdr>
      <w:spacing w:before="120" w:after="120"/>
      <w:ind w:left="1540"/>
      <w:jc w:val="center"/>
    </w:pPr>
    <w:rPr>
      <w:sz w:val="20"/>
      <w:szCs w:val="20"/>
    </w:rPr>
  </w:style>
  <w:style w:type="table" w:styleId="TableGrid">
    <w:name w:val="Table Grid"/>
    <w:basedOn w:val="TableNormal"/>
    <w:rsid w:val="0059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304"/>
    <w:rPr>
      <w:color w:val="0000FF" w:themeColor="hyperlink"/>
      <w:u w:val="single"/>
    </w:rPr>
  </w:style>
  <w:style w:type="paragraph" w:styleId="FootnoteText">
    <w:name w:val="footnote text"/>
    <w:aliases w:val="single space,footnote text,Fußnote,Footnote,WB-Fußnotentext,WB-Fußnotentext Char Char,Fußnotentext Char,Footnote Text Char Char Char,Footnote Text Char Char,Fußnotentext arial,fn,Schriftart: 9 pt,Schriftart: 10 pt,Schriftart: 8 pt,Fußno,f"/>
    <w:basedOn w:val="Normal"/>
    <w:link w:val="FootnoteTextChar"/>
    <w:rsid w:val="00F34CBD"/>
    <w:pPr>
      <w:spacing w:after="0" w:line="240" w:lineRule="auto"/>
    </w:pPr>
    <w:rPr>
      <w:rFonts w:ascii="Times New Roman" w:eastAsia="Times New Roman" w:hAnsi="Times New Roman" w:cs="Times New Roman"/>
      <w:sz w:val="20"/>
      <w:szCs w:val="20"/>
      <w:lang w:val="en-US" w:eastAsia="mk-MK"/>
    </w:rPr>
  </w:style>
  <w:style w:type="character" w:customStyle="1" w:styleId="FootnoteTextChar">
    <w:name w:val="Footnote Text Char"/>
    <w:aliases w:val="single space Char,footnote text Char,Fußnote Char,Footnote Char,WB-Fußnotentext Char,WB-Fußnotentext Char Char Char,Fußnotentext Char Char,Footnote Text Char Char Char Char,Footnote Text Char Char Char1,Fußnotentext arial Char,fn Char"/>
    <w:basedOn w:val="DefaultParagraphFont"/>
    <w:link w:val="FootnoteText"/>
    <w:rsid w:val="00F34CBD"/>
    <w:rPr>
      <w:rFonts w:ascii="Times New Roman" w:eastAsia="Times New Roman" w:hAnsi="Times New Roman" w:cs="Times New Roman"/>
      <w:sz w:val="20"/>
      <w:szCs w:val="20"/>
      <w:lang w:val="en-US" w:eastAsia="mk-MK"/>
    </w:rPr>
  </w:style>
  <w:style w:type="character" w:styleId="FootnoteReference">
    <w:name w:val="footnote reference"/>
    <w:aliases w:val="ftref,BVI fnr,16 Point,Superscript 6 Point,Footnote Reference Number,Ref,de nota al pie,(NECG) Footnote Reference,Footnote number,SUPERS,Footnote symbol,Char1 Char Char Char Char, Char1 Char Char Char Char,Fußnotenzeichen DISS"/>
    <w:qFormat/>
    <w:rsid w:val="00F34CBD"/>
    <w:rPr>
      <w:vertAlign w:val="superscript"/>
    </w:rPr>
  </w:style>
  <w:style w:type="character" w:customStyle="1" w:styleId="shorttext">
    <w:name w:val="short_text"/>
    <w:basedOn w:val="DefaultParagraphFont"/>
    <w:rsid w:val="00F34CBD"/>
  </w:style>
  <w:style w:type="character" w:customStyle="1" w:styleId="Bodytext">
    <w:name w:val="Body text_"/>
    <w:basedOn w:val="DefaultParagraphFont"/>
    <w:link w:val="BodyText3"/>
    <w:rsid w:val="00DF75BD"/>
    <w:rPr>
      <w:rFonts w:ascii="Times New Roman" w:eastAsia="Times New Roman" w:hAnsi="Times New Roman" w:cs="Times New Roman"/>
      <w:sz w:val="23"/>
      <w:szCs w:val="23"/>
      <w:shd w:val="clear" w:color="auto" w:fill="FFFFFF"/>
    </w:rPr>
  </w:style>
  <w:style w:type="character" w:customStyle="1" w:styleId="Bodytext85pt">
    <w:name w:val="Body text + 8.5 pt"/>
    <w:basedOn w:val="Bodytext"/>
    <w:rsid w:val="00DF75BD"/>
    <w:rPr>
      <w:rFonts w:ascii="Times New Roman" w:eastAsia="Times New Roman" w:hAnsi="Times New Roman" w:cs="Times New Roman"/>
      <w:color w:val="000000"/>
      <w:spacing w:val="0"/>
      <w:w w:val="100"/>
      <w:position w:val="0"/>
      <w:sz w:val="17"/>
      <w:szCs w:val="17"/>
      <w:shd w:val="clear" w:color="auto" w:fill="FFFFFF"/>
      <w:lang w:val="mk-MK"/>
    </w:rPr>
  </w:style>
  <w:style w:type="paragraph" w:customStyle="1" w:styleId="BodyText3">
    <w:name w:val="Body Text3"/>
    <w:basedOn w:val="Normal"/>
    <w:link w:val="Bodytext"/>
    <w:rsid w:val="00DF75BD"/>
    <w:pPr>
      <w:widowControl w:val="0"/>
      <w:shd w:val="clear" w:color="auto" w:fill="FFFFFF"/>
      <w:spacing w:before="180" w:after="420" w:line="307" w:lineRule="exact"/>
      <w:jc w:val="both"/>
    </w:pPr>
    <w:rPr>
      <w:rFonts w:ascii="Times New Roman" w:eastAsia="Times New Roman" w:hAnsi="Times New Roman" w:cs="Times New Roman"/>
      <w:sz w:val="23"/>
      <w:szCs w:val="23"/>
    </w:rPr>
  </w:style>
  <w:style w:type="paragraph" w:styleId="ListParagraph">
    <w:name w:val="List Paragraph"/>
    <w:basedOn w:val="Normal"/>
    <w:uiPriority w:val="34"/>
    <w:qFormat/>
    <w:rsid w:val="001E0C70"/>
    <w:pPr>
      <w:ind w:left="720"/>
      <w:contextualSpacing/>
    </w:pPr>
  </w:style>
  <w:style w:type="paragraph" w:styleId="Caption">
    <w:name w:val="caption"/>
    <w:basedOn w:val="Normal"/>
    <w:next w:val="Normal"/>
    <w:uiPriority w:val="35"/>
    <w:unhideWhenUsed/>
    <w:qFormat/>
    <w:rsid w:val="00CE7802"/>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CE7802"/>
    <w:pPr>
      <w:spacing w:after="0"/>
    </w:pPr>
  </w:style>
  <w:style w:type="paragraph" w:styleId="NoSpacing">
    <w:name w:val="No Spacing"/>
    <w:uiPriority w:val="1"/>
    <w:qFormat/>
    <w:rsid w:val="002E424F"/>
    <w:pPr>
      <w:spacing w:after="0" w:line="240" w:lineRule="auto"/>
    </w:pPr>
  </w:style>
  <w:style w:type="table" w:customStyle="1" w:styleId="TableGrid1">
    <w:name w:val="Table Grid1"/>
    <w:basedOn w:val="TableNormal"/>
    <w:next w:val="TableGrid"/>
    <w:rsid w:val="00734B0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6E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C5A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84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84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4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84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84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D60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07B"/>
    <w:rPr>
      <w:sz w:val="20"/>
      <w:szCs w:val="20"/>
    </w:rPr>
  </w:style>
  <w:style w:type="character" w:styleId="EndnoteReference">
    <w:name w:val="endnote reference"/>
    <w:basedOn w:val="DefaultParagraphFont"/>
    <w:uiPriority w:val="99"/>
    <w:semiHidden/>
    <w:unhideWhenUsed/>
    <w:rsid w:val="006D607B"/>
    <w:rPr>
      <w:vertAlign w:val="superscript"/>
    </w:rPr>
  </w:style>
  <w:style w:type="table" w:customStyle="1" w:styleId="TableGrid7">
    <w:name w:val="Table Grid7"/>
    <w:basedOn w:val="TableNormal"/>
    <w:next w:val="TableGrid"/>
    <w:rsid w:val="00A6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C58E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Level2">
    <w:name w:val="List Number (Level 2)"/>
    <w:basedOn w:val="Normal"/>
    <w:rsid w:val="001216EE"/>
    <w:pPr>
      <w:numPr>
        <w:numId w:val="5"/>
      </w:numPr>
      <w:spacing w:after="120" w:line="240" w:lineRule="auto"/>
      <w:jc w:val="both"/>
    </w:pPr>
    <w:rPr>
      <w:rFonts w:ascii="Times New Roman" w:eastAsia="Times New Roman" w:hAnsi="Times New Roman" w:cs="Times New Roman"/>
      <w:sz w:val="24"/>
      <w:szCs w:val="24"/>
      <w:lang w:val="en-GB" w:eastAsia="zh-CN"/>
    </w:rPr>
  </w:style>
  <w:style w:type="character" w:customStyle="1" w:styleId="alt-edited">
    <w:name w:val="alt-edited"/>
    <w:basedOn w:val="DefaultParagraphFont"/>
    <w:rsid w:val="002F3418"/>
  </w:style>
  <w:style w:type="numbering" w:customStyle="1" w:styleId="NoList1">
    <w:name w:val="No List1"/>
    <w:next w:val="NoList"/>
    <w:uiPriority w:val="99"/>
    <w:semiHidden/>
    <w:unhideWhenUsed/>
    <w:rsid w:val="00194389"/>
  </w:style>
  <w:style w:type="table" w:customStyle="1" w:styleId="TableGrid9">
    <w:name w:val="Table Grid9"/>
    <w:basedOn w:val="TableNormal"/>
    <w:next w:val="TableGrid"/>
    <w:rsid w:val="00194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1943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943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943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194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194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1943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194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1943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194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1943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1331">
      <w:bodyDiv w:val="1"/>
      <w:marLeft w:val="0"/>
      <w:marRight w:val="0"/>
      <w:marTop w:val="0"/>
      <w:marBottom w:val="0"/>
      <w:divBdr>
        <w:top w:val="none" w:sz="0" w:space="0" w:color="auto"/>
        <w:left w:val="none" w:sz="0" w:space="0" w:color="auto"/>
        <w:bottom w:val="none" w:sz="0" w:space="0" w:color="auto"/>
        <w:right w:val="none" w:sz="0" w:space="0" w:color="auto"/>
      </w:divBdr>
    </w:div>
    <w:div w:id="144128312">
      <w:bodyDiv w:val="1"/>
      <w:marLeft w:val="0"/>
      <w:marRight w:val="0"/>
      <w:marTop w:val="0"/>
      <w:marBottom w:val="0"/>
      <w:divBdr>
        <w:top w:val="none" w:sz="0" w:space="0" w:color="auto"/>
        <w:left w:val="none" w:sz="0" w:space="0" w:color="auto"/>
        <w:bottom w:val="none" w:sz="0" w:space="0" w:color="auto"/>
        <w:right w:val="none" w:sz="0" w:space="0" w:color="auto"/>
      </w:divBdr>
    </w:div>
    <w:div w:id="197013610">
      <w:bodyDiv w:val="1"/>
      <w:marLeft w:val="0"/>
      <w:marRight w:val="0"/>
      <w:marTop w:val="0"/>
      <w:marBottom w:val="0"/>
      <w:divBdr>
        <w:top w:val="none" w:sz="0" w:space="0" w:color="auto"/>
        <w:left w:val="none" w:sz="0" w:space="0" w:color="auto"/>
        <w:bottom w:val="none" w:sz="0" w:space="0" w:color="auto"/>
        <w:right w:val="none" w:sz="0" w:space="0" w:color="auto"/>
      </w:divBdr>
    </w:div>
    <w:div w:id="217014684">
      <w:bodyDiv w:val="1"/>
      <w:marLeft w:val="0"/>
      <w:marRight w:val="0"/>
      <w:marTop w:val="0"/>
      <w:marBottom w:val="0"/>
      <w:divBdr>
        <w:top w:val="none" w:sz="0" w:space="0" w:color="auto"/>
        <w:left w:val="none" w:sz="0" w:space="0" w:color="auto"/>
        <w:bottom w:val="none" w:sz="0" w:space="0" w:color="auto"/>
        <w:right w:val="none" w:sz="0" w:space="0" w:color="auto"/>
      </w:divBdr>
    </w:div>
    <w:div w:id="299724547">
      <w:bodyDiv w:val="1"/>
      <w:marLeft w:val="0"/>
      <w:marRight w:val="0"/>
      <w:marTop w:val="0"/>
      <w:marBottom w:val="0"/>
      <w:divBdr>
        <w:top w:val="none" w:sz="0" w:space="0" w:color="auto"/>
        <w:left w:val="none" w:sz="0" w:space="0" w:color="auto"/>
        <w:bottom w:val="none" w:sz="0" w:space="0" w:color="auto"/>
        <w:right w:val="none" w:sz="0" w:space="0" w:color="auto"/>
      </w:divBdr>
    </w:div>
    <w:div w:id="375356805">
      <w:bodyDiv w:val="1"/>
      <w:marLeft w:val="0"/>
      <w:marRight w:val="0"/>
      <w:marTop w:val="0"/>
      <w:marBottom w:val="0"/>
      <w:divBdr>
        <w:top w:val="none" w:sz="0" w:space="0" w:color="auto"/>
        <w:left w:val="none" w:sz="0" w:space="0" w:color="auto"/>
        <w:bottom w:val="none" w:sz="0" w:space="0" w:color="auto"/>
        <w:right w:val="none" w:sz="0" w:space="0" w:color="auto"/>
      </w:divBdr>
    </w:div>
    <w:div w:id="390233525">
      <w:bodyDiv w:val="1"/>
      <w:marLeft w:val="0"/>
      <w:marRight w:val="0"/>
      <w:marTop w:val="0"/>
      <w:marBottom w:val="0"/>
      <w:divBdr>
        <w:top w:val="none" w:sz="0" w:space="0" w:color="auto"/>
        <w:left w:val="none" w:sz="0" w:space="0" w:color="auto"/>
        <w:bottom w:val="none" w:sz="0" w:space="0" w:color="auto"/>
        <w:right w:val="none" w:sz="0" w:space="0" w:color="auto"/>
      </w:divBdr>
    </w:div>
    <w:div w:id="465588887">
      <w:bodyDiv w:val="1"/>
      <w:marLeft w:val="0"/>
      <w:marRight w:val="0"/>
      <w:marTop w:val="0"/>
      <w:marBottom w:val="0"/>
      <w:divBdr>
        <w:top w:val="none" w:sz="0" w:space="0" w:color="auto"/>
        <w:left w:val="none" w:sz="0" w:space="0" w:color="auto"/>
        <w:bottom w:val="none" w:sz="0" w:space="0" w:color="auto"/>
        <w:right w:val="none" w:sz="0" w:space="0" w:color="auto"/>
      </w:divBdr>
    </w:div>
    <w:div w:id="536355044">
      <w:bodyDiv w:val="1"/>
      <w:marLeft w:val="0"/>
      <w:marRight w:val="0"/>
      <w:marTop w:val="0"/>
      <w:marBottom w:val="0"/>
      <w:divBdr>
        <w:top w:val="none" w:sz="0" w:space="0" w:color="auto"/>
        <w:left w:val="none" w:sz="0" w:space="0" w:color="auto"/>
        <w:bottom w:val="none" w:sz="0" w:space="0" w:color="auto"/>
        <w:right w:val="none" w:sz="0" w:space="0" w:color="auto"/>
      </w:divBdr>
    </w:div>
    <w:div w:id="768309722">
      <w:bodyDiv w:val="1"/>
      <w:marLeft w:val="0"/>
      <w:marRight w:val="0"/>
      <w:marTop w:val="0"/>
      <w:marBottom w:val="0"/>
      <w:divBdr>
        <w:top w:val="none" w:sz="0" w:space="0" w:color="auto"/>
        <w:left w:val="none" w:sz="0" w:space="0" w:color="auto"/>
        <w:bottom w:val="none" w:sz="0" w:space="0" w:color="auto"/>
        <w:right w:val="none" w:sz="0" w:space="0" w:color="auto"/>
      </w:divBdr>
    </w:div>
    <w:div w:id="866605823">
      <w:bodyDiv w:val="1"/>
      <w:marLeft w:val="0"/>
      <w:marRight w:val="0"/>
      <w:marTop w:val="0"/>
      <w:marBottom w:val="0"/>
      <w:divBdr>
        <w:top w:val="none" w:sz="0" w:space="0" w:color="auto"/>
        <w:left w:val="none" w:sz="0" w:space="0" w:color="auto"/>
        <w:bottom w:val="none" w:sz="0" w:space="0" w:color="auto"/>
        <w:right w:val="none" w:sz="0" w:space="0" w:color="auto"/>
      </w:divBdr>
    </w:div>
    <w:div w:id="958949914">
      <w:bodyDiv w:val="1"/>
      <w:marLeft w:val="0"/>
      <w:marRight w:val="0"/>
      <w:marTop w:val="0"/>
      <w:marBottom w:val="0"/>
      <w:divBdr>
        <w:top w:val="none" w:sz="0" w:space="0" w:color="auto"/>
        <w:left w:val="none" w:sz="0" w:space="0" w:color="auto"/>
        <w:bottom w:val="none" w:sz="0" w:space="0" w:color="auto"/>
        <w:right w:val="none" w:sz="0" w:space="0" w:color="auto"/>
      </w:divBdr>
    </w:div>
    <w:div w:id="1006592848">
      <w:bodyDiv w:val="1"/>
      <w:marLeft w:val="0"/>
      <w:marRight w:val="0"/>
      <w:marTop w:val="0"/>
      <w:marBottom w:val="0"/>
      <w:divBdr>
        <w:top w:val="none" w:sz="0" w:space="0" w:color="auto"/>
        <w:left w:val="none" w:sz="0" w:space="0" w:color="auto"/>
        <w:bottom w:val="none" w:sz="0" w:space="0" w:color="auto"/>
        <w:right w:val="none" w:sz="0" w:space="0" w:color="auto"/>
      </w:divBdr>
    </w:div>
    <w:div w:id="1011951763">
      <w:bodyDiv w:val="1"/>
      <w:marLeft w:val="0"/>
      <w:marRight w:val="0"/>
      <w:marTop w:val="0"/>
      <w:marBottom w:val="0"/>
      <w:divBdr>
        <w:top w:val="none" w:sz="0" w:space="0" w:color="auto"/>
        <w:left w:val="none" w:sz="0" w:space="0" w:color="auto"/>
        <w:bottom w:val="none" w:sz="0" w:space="0" w:color="auto"/>
        <w:right w:val="none" w:sz="0" w:space="0" w:color="auto"/>
      </w:divBdr>
    </w:div>
    <w:div w:id="1042746467">
      <w:bodyDiv w:val="1"/>
      <w:marLeft w:val="0"/>
      <w:marRight w:val="0"/>
      <w:marTop w:val="0"/>
      <w:marBottom w:val="0"/>
      <w:divBdr>
        <w:top w:val="none" w:sz="0" w:space="0" w:color="auto"/>
        <w:left w:val="none" w:sz="0" w:space="0" w:color="auto"/>
        <w:bottom w:val="none" w:sz="0" w:space="0" w:color="auto"/>
        <w:right w:val="none" w:sz="0" w:space="0" w:color="auto"/>
      </w:divBdr>
    </w:div>
    <w:div w:id="1114321402">
      <w:bodyDiv w:val="1"/>
      <w:marLeft w:val="0"/>
      <w:marRight w:val="0"/>
      <w:marTop w:val="0"/>
      <w:marBottom w:val="0"/>
      <w:divBdr>
        <w:top w:val="none" w:sz="0" w:space="0" w:color="auto"/>
        <w:left w:val="none" w:sz="0" w:space="0" w:color="auto"/>
        <w:bottom w:val="none" w:sz="0" w:space="0" w:color="auto"/>
        <w:right w:val="none" w:sz="0" w:space="0" w:color="auto"/>
      </w:divBdr>
    </w:div>
    <w:div w:id="1350763232">
      <w:bodyDiv w:val="1"/>
      <w:marLeft w:val="0"/>
      <w:marRight w:val="0"/>
      <w:marTop w:val="0"/>
      <w:marBottom w:val="0"/>
      <w:divBdr>
        <w:top w:val="none" w:sz="0" w:space="0" w:color="auto"/>
        <w:left w:val="none" w:sz="0" w:space="0" w:color="auto"/>
        <w:bottom w:val="none" w:sz="0" w:space="0" w:color="auto"/>
        <w:right w:val="none" w:sz="0" w:space="0" w:color="auto"/>
      </w:divBdr>
      <w:divsChild>
        <w:div w:id="1654330388">
          <w:marLeft w:val="0"/>
          <w:marRight w:val="0"/>
          <w:marTop w:val="0"/>
          <w:marBottom w:val="0"/>
          <w:divBdr>
            <w:top w:val="none" w:sz="0" w:space="0" w:color="auto"/>
            <w:left w:val="none" w:sz="0" w:space="0" w:color="auto"/>
            <w:bottom w:val="none" w:sz="0" w:space="0" w:color="auto"/>
            <w:right w:val="none" w:sz="0" w:space="0" w:color="auto"/>
          </w:divBdr>
        </w:div>
        <w:div w:id="1103307375">
          <w:marLeft w:val="0"/>
          <w:marRight w:val="0"/>
          <w:marTop w:val="0"/>
          <w:marBottom w:val="0"/>
          <w:divBdr>
            <w:top w:val="none" w:sz="0" w:space="0" w:color="auto"/>
            <w:left w:val="none" w:sz="0" w:space="0" w:color="auto"/>
            <w:bottom w:val="none" w:sz="0" w:space="0" w:color="auto"/>
            <w:right w:val="none" w:sz="0" w:space="0" w:color="auto"/>
          </w:divBdr>
        </w:div>
        <w:div w:id="253559015">
          <w:marLeft w:val="0"/>
          <w:marRight w:val="0"/>
          <w:marTop w:val="0"/>
          <w:marBottom w:val="0"/>
          <w:divBdr>
            <w:top w:val="none" w:sz="0" w:space="0" w:color="auto"/>
            <w:left w:val="none" w:sz="0" w:space="0" w:color="auto"/>
            <w:bottom w:val="none" w:sz="0" w:space="0" w:color="auto"/>
            <w:right w:val="none" w:sz="0" w:space="0" w:color="auto"/>
          </w:divBdr>
        </w:div>
        <w:div w:id="334112313">
          <w:marLeft w:val="0"/>
          <w:marRight w:val="0"/>
          <w:marTop w:val="0"/>
          <w:marBottom w:val="0"/>
          <w:divBdr>
            <w:top w:val="none" w:sz="0" w:space="0" w:color="auto"/>
            <w:left w:val="none" w:sz="0" w:space="0" w:color="auto"/>
            <w:bottom w:val="none" w:sz="0" w:space="0" w:color="auto"/>
            <w:right w:val="none" w:sz="0" w:space="0" w:color="auto"/>
          </w:divBdr>
        </w:div>
        <w:div w:id="1567061801">
          <w:marLeft w:val="0"/>
          <w:marRight w:val="0"/>
          <w:marTop w:val="0"/>
          <w:marBottom w:val="0"/>
          <w:divBdr>
            <w:top w:val="none" w:sz="0" w:space="0" w:color="auto"/>
            <w:left w:val="none" w:sz="0" w:space="0" w:color="auto"/>
            <w:bottom w:val="none" w:sz="0" w:space="0" w:color="auto"/>
            <w:right w:val="none" w:sz="0" w:space="0" w:color="auto"/>
          </w:divBdr>
        </w:div>
        <w:div w:id="440148431">
          <w:marLeft w:val="0"/>
          <w:marRight w:val="0"/>
          <w:marTop w:val="0"/>
          <w:marBottom w:val="0"/>
          <w:divBdr>
            <w:top w:val="none" w:sz="0" w:space="0" w:color="auto"/>
            <w:left w:val="none" w:sz="0" w:space="0" w:color="auto"/>
            <w:bottom w:val="none" w:sz="0" w:space="0" w:color="auto"/>
            <w:right w:val="none" w:sz="0" w:space="0" w:color="auto"/>
          </w:divBdr>
        </w:div>
        <w:div w:id="479350317">
          <w:marLeft w:val="0"/>
          <w:marRight w:val="0"/>
          <w:marTop w:val="0"/>
          <w:marBottom w:val="0"/>
          <w:divBdr>
            <w:top w:val="none" w:sz="0" w:space="0" w:color="auto"/>
            <w:left w:val="none" w:sz="0" w:space="0" w:color="auto"/>
            <w:bottom w:val="none" w:sz="0" w:space="0" w:color="auto"/>
            <w:right w:val="none" w:sz="0" w:space="0" w:color="auto"/>
          </w:divBdr>
        </w:div>
        <w:div w:id="1179731083">
          <w:marLeft w:val="0"/>
          <w:marRight w:val="0"/>
          <w:marTop w:val="0"/>
          <w:marBottom w:val="0"/>
          <w:divBdr>
            <w:top w:val="none" w:sz="0" w:space="0" w:color="auto"/>
            <w:left w:val="none" w:sz="0" w:space="0" w:color="auto"/>
            <w:bottom w:val="none" w:sz="0" w:space="0" w:color="auto"/>
            <w:right w:val="none" w:sz="0" w:space="0" w:color="auto"/>
          </w:divBdr>
        </w:div>
        <w:div w:id="751196578">
          <w:marLeft w:val="0"/>
          <w:marRight w:val="0"/>
          <w:marTop w:val="0"/>
          <w:marBottom w:val="0"/>
          <w:divBdr>
            <w:top w:val="none" w:sz="0" w:space="0" w:color="auto"/>
            <w:left w:val="none" w:sz="0" w:space="0" w:color="auto"/>
            <w:bottom w:val="none" w:sz="0" w:space="0" w:color="auto"/>
            <w:right w:val="none" w:sz="0" w:space="0" w:color="auto"/>
          </w:divBdr>
        </w:div>
      </w:divsChild>
    </w:div>
    <w:div w:id="1459494150">
      <w:bodyDiv w:val="1"/>
      <w:marLeft w:val="0"/>
      <w:marRight w:val="0"/>
      <w:marTop w:val="0"/>
      <w:marBottom w:val="0"/>
      <w:divBdr>
        <w:top w:val="none" w:sz="0" w:space="0" w:color="auto"/>
        <w:left w:val="none" w:sz="0" w:space="0" w:color="auto"/>
        <w:bottom w:val="none" w:sz="0" w:space="0" w:color="auto"/>
        <w:right w:val="none" w:sz="0" w:space="0" w:color="auto"/>
      </w:divBdr>
    </w:div>
    <w:div w:id="1549680685">
      <w:bodyDiv w:val="1"/>
      <w:marLeft w:val="0"/>
      <w:marRight w:val="0"/>
      <w:marTop w:val="0"/>
      <w:marBottom w:val="0"/>
      <w:divBdr>
        <w:top w:val="none" w:sz="0" w:space="0" w:color="auto"/>
        <w:left w:val="none" w:sz="0" w:space="0" w:color="auto"/>
        <w:bottom w:val="none" w:sz="0" w:space="0" w:color="auto"/>
        <w:right w:val="none" w:sz="0" w:space="0" w:color="auto"/>
      </w:divBdr>
      <w:divsChild>
        <w:div w:id="1087655271">
          <w:marLeft w:val="0"/>
          <w:marRight w:val="0"/>
          <w:marTop w:val="0"/>
          <w:marBottom w:val="0"/>
          <w:divBdr>
            <w:top w:val="none" w:sz="0" w:space="0" w:color="auto"/>
            <w:left w:val="none" w:sz="0" w:space="0" w:color="auto"/>
            <w:bottom w:val="none" w:sz="0" w:space="0" w:color="auto"/>
            <w:right w:val="none" w:sz="0" w:space="0" w:color="auto"/>
          </w:divBdr>
        </w:div>
        <w:div w:id="2109538478">
          <w:marLeft w:val="0"/>
          <w:marRight w:val="0"/>
          <w:marTop w:val="0"/>
          <w:marBottom w:val="0"/>
          <w:divBdr>
            <w:top w:val="none" w:sz="0" w:space="0" w:color="auto"/>
            <w:left w:val="none" w:sz="0" w:space="0" w:color="auto"/>
            <w:bottom w:val="none" w:sz="0" w:space="0" w:color="auto"/>
            <w:right w:val="none" w:sz="0" w:space="0" w:color="auto"/>
          </w:divBdr>
        </w:div>
        <w:div w:id="138957096">
          <w:marLeft w:val="0"/>
          <w:marRight w:val="0"/>
          <w:marTop w:val="0"/>
          <w:marBottom w:val="0"/>
          <w:divBdr>
            <w:top w:val="none" w:sz="0" w:space="0" w:color="auto"/>
            <w:left w:val="none" w:sz="0" w:space="0" w:color="auto"/>
            <w:bottom w:val="none" w:sz="0" w:space="0" w:color="auto"/>
            <w:right w:val="none" w:sz="0" w:space="0" w:color="auto"/>
          </w:divBdr>
        </w:div>
        <w:div w:id="295529977">
          <w:marLeft w:val="0"/>
          <w:marRight w:val="0"/>
          <w:marTop w:val="0"/>
          <w:marBottom w:val="0"/>
          <w:divBdr>
            <w:top w:val="none" w:sz="0" w:space="0" w:color="auto"/>
            <w:left w:val="none" w:sz="0" w:space="0" w:color="auto"/>
            <w:bottom w:val="none" w:sz="0" w:space="0" w:color="auto"/>
            <w:right w:val="none" w:sz="0" w:space="0" w:color="auto"/>
          </w:divBdr>
        </w:div>
        <w:div w:id="123936525">
          <w:marLeft w:val="0"/>
          <w:marRight w:val="0"/>
          <w:marTop w:val="0"/>
          <w:marBottom w:val="0"/>
          <w:divBdr>
            <w:top w:val="none" w:sz="0" w:space="0" w:color="auto"/>
            <w:left w:val="none" w:sz="0" w:space="0" w:color="auto"/>
            <w:bottom w:val="none" w:sz="0" w:space="0" w:color="auto"/>
            <w:right w:val="none" w:sz="0" w:space="0" w:color="auto"/>
          </w:divBdr>
        </w:div>
        <w:div w:id="1341195876">
          <w:marLeft w:val="0"/>
          <w:marRight w:val="0"/>
          <w:marTop w:val="0"/>
          <w:marBottom w:val="0"/>
          <w:divBdr>
            <w:top w:val="none" w:sz="0" w:space="0" w:color="auto"/>
            <w:left w:val="none" w:sz="0" w:space="0" w:color="auto"/>
            <w:bottom w:val="none" w:sz="0" w:space="0" w:color="auto"/>
            <w:right w:val="none" w:sz="0" w:space="0" w:color="auto"/>
          </w:divBdr>
        </w:div>
        <w:div w:id="629626676">
          <w:marLeft w:val="0"/>
          <w:marRight w:val="0"/>
          <w:marTop w:val="0"/>
          <w:marBottom w:val="0"/>
          <w:divBdr>
            <w:top w:val="none" w:sz="0" w:space="0" w:color="auto"/>
            <w:left w:val="none" w:sz="0" w:space="0" w:color="auto"/>
            <w:bottom w:val="none" w:sz="0" w:space="0" w:color="auto"/>
            <w:right w:val="none" w:sz="0" w:space="0" w:color="auto"/>
          </w:divBdr>
        </w:div>
        <w:div w:id="356124621">
          <w:marLeft w:val="0"/>
          <w:marRight w:val="0"/>
          <w:marTop w:val="0"/>
          <w:marBottom w:val="0"/>
          <w:divBdr>
            <w:top w:val="none" w:sz="0" w:space="0" w:color="auto"/>
            <w:left w:val="none" w:sz="0" w:space="0" w:color="auto"/>
            <w:bottom w:val="none" w:sz="0" w:space="0" w:color="auto"/>
            <w:right w:val="none" w:sz="0" w:space="0" w:color="auto"/>
          </w:divBdr>
        </w:div>
      </w:divsChild>
    </w:div>
    <w:div w:id="1890804939">
      <w:bodyDiv w:val="1"/>
      <w:marLeft w:val="0"/>
      <w:marRight w:val="0"/>
      <w:marTop w:val="0"/>
      <w:marBottom w:val="0"/>
      <w:divBdr>
        <w:top w:val="none" w:sz="0" w:space="0" w:color="auto"/>
        <w:left w:val="none" w:sz="0" w:space="0" w:color="auto"/>
        <w:bottom w:val="none" w:sz="0" w:space="0" w:color="auto"/>
        <w:right w:val="none" w:sz="0" w:space="0" w:color="auto"/>
      </w:divBdr>
    </w:div>
    <w:div w:id="2037389286">
      <w:bodyDiv w:val="1"/>
      <w:marLeft w:val="0"/>
      <w:marRight w:val="0"/>
      <w:marTop w:val="0"/>
      <w:marBottom w:val="0"/>
      <w:divBdr>
        <w:top w:val="none" w:sz="0" w:space="0" w:color="auto"/>
        <w:left w:val="none" w:sz="0" w:space="0" w:color="auto"/>
        <w:bottom w:val="none" w:sz="0" w:space="0" w:color="auto"/>
        <w:right w:val="none" w:sz="0" w:space="0" w:color="auto"/>
      </w:divBdr>
    </w:div>
    <w:div w:id="2089038737">
      <w:bodyDiv w:val="1"/>
      <w:marLeft w:val="0"/>
      <w:marRight w:val="0"/>
      <w:marTop w:val="0"/>
      <w:marBottom w:val="0"/>
      <w:divBdr>
        <w:top w:val="none" w:sz="0" w:space="0" w:color="auto"/>
        <w:left w:val="none" w:sz="0" w:space="0" w:color="auto"/>
        <w:bottom w:val="none" w:sz="0" w:space="0" w:color="auto"/>
        <w:right w:val="none" w:sz="0" w:space="0" w:color="auto"/>
      </w:divBdr>
    </w:div>
    <w:div w:id="2114398622">
      <w:bodyDiv w:val="1"/>
      <w:marLeft w:val="0"/>
      <w:marRight w:val="0"/>
      <w:marTop w:val="0"/>
      <w:marBottom w:val="0"/>
      <w:divBdr>
        <w:top w:val="none" w:sz="0" w:space="0" w:color="auto"/>
        <w:left w:val="none" w:sz="0" w:space="0" w:color="auto"/>
        <w:bottom w:val="none" w:sz="0" w:space="0" w:color="auto"/>
        <w:right w:val="none" w:sz="0" w:space="0" w:color="auto"/>
      </w:divBdr>
      <w:divsChild>
        <w:div w:id="332681669">
          <w:marLeft w:val="0"/>
          <w:marRight w:val="0"/>
          <w:marTop w:val="0"/>
          <w:marBottom w:val="0"/>
          <w:divBdr>
            <w:top w:val="none" w:sz="0" w:space="0" w:color="auto"/>
            <w:left w:val="none" w:sz="0" w:space="0" w:color="auto"/>
            <w:bottom w:val="none" w:sz="0" w:space="0" w:color="auto"/>
            <w:right w:val="none" w:sz="0" w:space="0" w:color="auto"/>
          </w:divBdr>
        </w:div>
        <w:div w:id="409233497">
          <w:marLeft w:val="0"/>
          <w:marRight w:val="0"/>
          <w:marTop w:val="0"/>
          <w:marBottom w:val="0"/>
          <w:divBdr>
            <w:top w:val="none" w:sz="0" w:space="0" w:color="auto"/>
            <w:left w:val="none" w:sz="0" w:space="0" w:color="auto"/>
            <w:bottom w:val="none" w:sz="0" w:space="0" w:color="auto"/>
            <w:right w:val="none" w:sz="0" w:space="0" w:color="auto"/>
          </w:divBdr>
        </w:div>
        <w:div w:id="1329098381">
          <w:marLeft w:val="0"/>
          <w:marRight w:val="0"/>
          <w:marTop w:val="0"/>
          <w:marBottom w:val="0"/>
          <w:divBdr>
            <w:top w:val="none" w:sz="0" w:space="0" w:color="auto"/>
            <w:left w:val="none" w:sz="0" w:space="0" w:color="auto"/>
            <w:bottom w:val="none" w:sz="0" w:space="0" w:color="auto"/>
            <w:right w:val="none" w:sz="0" w:space="0" w:color="auto"/>
          </w:divBdr>
        </w:div>
        <w:div w:id="1305162123">
          <w:marLeft w:val="0"/>
          <w:marRight w:val="0"/>
          <w:marTop w:val="0"/>
          <w:marBottom w:val="0"/>
          <w:divBdr>
            <w:top w:val="none" w:sz="0" w:space="0" w:color="auto"/>
            <w:left w:val="none" w:sz="0" w:space="0" w:color="auto"/>
            <w:bottom w:val="none" w:sz="0" w:space="0" w:color="auto"/>
            <w:right w:val="none" w:sz="0" w:space="0" w:color="auto"/>
          </w:divBdr>
        </w:div>
        <w:div w:id="766580323">
          <w:marLeft w:val="0"/>
          <w:marRight w:val="0"/>
          <w:marTop w:val="0"/>
          <w:marBottom w:val="0"/>
          <w:divBdr>
            <w:top w:val="none" w:sz="0" w:space="0" w:color="auto"/>
            <w:left w:val="none" w:sz="0" w:space="0" w:color="auto"/>
            <w:bottom w:val="none" w:sz="0" w:space="0" w:color="auto"/>
            <w:right w:val="none" w:sz="0" w:space="0" w:color="auto"/>
          </w:divBdr>
        </w:div>
        <w:div w:id="1821800459">
          <w:marLeft w:val="0"/>
          <w:marRight w:val="0"/>
          <w:marTop w:val="0"/>
          <w:marBottom w:val="0"/>
          <w:divBdr>
            <w:top w:val="none" w:sz="0" w:space="0" w:color="auto"/>
            <w:left w:val="none" w:sz="0" w:space="0" w:color="auto"/>
            <w:bottom w:val="none" w:sz="0" w:space="0" w:color="auto"/>
            <w:right w:val="none" w:sz="0" w:space="0" w:color="auto"/>
          </w:divBdr>
        </w:div>
        <w:div w:id="2024699741">
          <w:marLeft w:val="0"/>
          <w:marRight w:val="0"/>
          <w:marTop w:val="0"/>
          <w:marBottom w:val="0"/>
          <w:divBdr>
            <w:top w:val="none" w:sz="0" w:space="0" w:color="auto"/>
            <w:left w:val="none" w:sz="0" w:space="0" w:color="auto"/>
            <w:bottom w:val="none" w:sz="0" w:space="0" w:color="auto"/>
            <w:right w:val="none" w:sz="0" w:space="0" w:color="auto"/>
          </w:divBdr>
        </w:div>
        <w:div w:id="1360812705">
          <w:marLeft w:val="0"/>
          <w:marRight w:val="0"/>
          <w:marTop w:val="0"/>
          <w:marBottom w:val="0"/>
          <w:divBdr>
            <w:top w:val="none" w:sz="0" w:space="0" w:color="auto"/>
            <w:left w:val="none" w:sz="0" w:space="0" w:color="auto"/>
            <w:bottom w:val="none" w:sz="0" w:space="0" w:color="auto"/>
            <w:right w:val="none" w:sz="0" w:space="0" w:color="auto"/>
          </w:divBdr>
        </w:div>
        <w:div w:id="1794400850">
          <w:marLeft w:val="0"/>
          <w:marRight w:val="0"/>
          <w:marTop w:val="0"/>
          <w:marBottom w:val="0"/>
          <w:divBdr>
            <w:top w:val="none" w:sz="0" w:space="0" w:color="auto"/>
            <w:left w:val="none" w:sz="0" w:space="0" w:color="auto"/>
            <w:bottom w:val="none" w:sz="0" w:space="0" w:color="auto"/>
            <w:right w:val="none" w:sz="0" w:space="0" w:color="auto"/>
          </w:divBdr>
        </w:div>
      </w:divsChild>
    </w:div>
    <w:div w:id="2127503318">
      <w:bodyDiv w:val="1"/>
      <w:marLeft w:val="0"/>
      <w:marRight w:val="0"/>
      <w:marTop w:val="0"/>
      <w:marBottom w:val="0"/>
      <w:divBdr>
        <w:top w:val="none" w:sz="0" w:space="0" w:color="auto"/>
        <w:left w:val="none" w:sz="0" w:space="0" w:color="auto"/>
        <w:bottom w:val="none" w:sz="0" w:space="0" w:color="auto"/>
        <w:right w:val="none" w:sz="0" w:space="0" w:color="auto"/>
      </w:divBdr>
      <w:divsChild>
        <w:div w:id="1126315730">
          <w:marLeft w:val="0"/>
          <w:marRight w:val="0"/>
          <w:marTop w:val="0"/>
          <w:marBottom w:val="0"/>
          <w:divBdr>
            <w:top w:val="none" w:sz="0" w:space="0" w:color="auto"/>
            <w:left w:val="none" w:sz="0" w:space="0" w:color="auto"/>
            <w:bottom w:val="none" w:sz="0" w:space="0" w:color="auto"/>
            <w:right w:val="none" w:sz="0" w:space="0" w:color="auto"/>
          </w:divBdr>
        </w:div>
        <w:div w:id="967323584">
          <w:marLeft w:val="0"/>
          <w:marRight w:val="0"/>
          <w:marTop w:val="0"/>
          <w:marBottom w:val="0"/>
          <w:divBdr>
            <w:top w:val="none" w:sz="0" w:space="0" w:color="auto"/>
            <w:left w:val="none" w:sz="0" w:space="0" w:color="auto"/>
            <w:bottom w:val="none" w:sz="0" w:space="0" w:color="auto"/>
            <w:right w:val="none" w:sz="0" w:space="0" w:color="auto"/>
          </w:divBdr>
        </w:div>
        <w:div w:id="2064522670">
          <w:marLeft w:val="0"/>
          <w:marRight w:val="0"/>
          <w:marTop w:val="0"/>
          <w:marBottom w:val="0"/>
          <w:divBdr>
            <w:top w:val="none" w:sz="0" w:space="0" w:color="auto"/>
            <w:left w:val="none" w:sz="0" w:space="0" w:color="auto"/>
            <w:bottom w:val="none" w:sz="0" w:space="0" w:color="auto"/>
            <w:right w:val="none" w:sz="0" w:space="0" w:color="auto"/>
          </w:divBdr>
        </w:div>
        <w:div w:id="962925893">
          <w:marLeft w:val="0"/>
          <w:marRight w:val="0"/>
          <w:marTop w:val="0"/>
          <w:marBottom w:val="0"/>
          <w:divBdr>
            <w:top w:val="none" w:sz="0" w:space="0" w:color="auto"/>
            <w:left w:val="none" w:sz="0" w:space="0" w:color="auto"/>
            <w:bottom w:val="none" w:sz="0" w:space="0" w:color="auto"/>
            <w:right w:val="none" w:sz="0" w:space="0" w:color="auto"/>
          </w:divBdr>
        </w:div>
        <w:div w:id="105780695">
          <w:marLeft w:val="0"/>
          <w:marRight w:val="0"/>
          <w:marTop w:val="0"/>
          <w:marBottom w:val="0"/>
          <w:divBdr>
            <w:top w:val="none" w:sz="0" w:space="0" w:color="auto"/>
            <w:left w:val="none" w:sz="0" w:space="0" w:color="auto"/>
            <w:bottom w:val="none" w:sz="0" w:space="0" w:color="auto"/>
            <w:right w:val="none" w:sz="0" w:space="0" w:color="auto"/>
          </w:divBdr>
        </w:div>
        <w:div w:id="1528788045">
          <w:marLeft w:val="0"/>
          <w:marRight w:val="0"/>
          <w:marTop w:val="0"/>
          <w:marBottom w:val="0"/>
          <w:divBdr>
            <w:top w:val="none" w:sz="0" w:space="0" w:color="auto"/>
            <w:left w:val="none" w:sz="0" w:space="0" w:color="auto"/>
            <w:bottom w:val="none" w:sz="0" w:space="0" w:color="auto"/>
            <w:right w:val="none" w:sz="0" w:space="0" w:color="auto"/>
          </w:divBdr>
        </w:div>
        <w:div w:id="1452086360">
          <w:marLeft w:val="0"/>
          <w:marRight w:val="0"/>
          <w:marTop w:val="0"/>
          <w:marBottom w:val="0"/>
          <w:divBdr>
            <w:top w:val="none" w:sz="0" w:space="0" w:color="auto"/>
            <w:left w:val="none" w:sz="0" w:space="0" w:color="auto"/>
            <w:bottom w:val="none" w:sz="0" w:space="0" w:color="auto"/>
            <w:right w:val="none" w:sz="0" w:space="0" w:color="auto"/>
          </w:divBdr>
        </w:div>
        <w:div w:id="2121684362">
          <w:marLeft w:val="0"/>
          <w:marRight w:val="0"/>
          <w:marTop w:val="0"/>
          <w:marBottom w:val="0"/>
          <w:divBdr>
            <w:top w:val="none" w:sz="0" w:space="0" w:color="auto"/>
            <w:left w:val="none" w:sz="0" w:space="0" w:color="auto"/>
            <w:bottom w:val="none" w:sz="0" w:space="0" w:color="auto"/>
            <w:right w:val="none" w:sz="0" w:space="0" w:color="auto"/>
          </w:divBdr>
        </w:div>
        <w:div w:id="932710217">
          <w:marLeft w:val="0"/>
          <w:marRight w:val="0"/>
          <w:marTop w:val="0"/>
          <w:marBottom w:val="0"/>
          <w:divBdr>
            <w:top w:val="none" w:sz="0" w:space="0" w:color="auto"/>
            <w:left w:val="none" w:sz="0" w:space="0" w:color="auto"/>
            <w:bottom w:val="none" w:sz="0" w:space="0" w:color="auto"/>
            <w:right w:val="none" w:sz="0" w:space="0" w:color="auto"/>
          </w:divBdr>
        </w:div>
      </w:divsChild>
    </w:div>
    <w:div w:id="2141797000">
      <w:bodyDiv w:val="1"/>
      <w:marLeft w:val="0"/>
      <w:marRight w:val="0"/>
      <w:marTop w:val="0"/>
      <w:marBottom w:val="0"/>
      <w:divBdr>
        <w:top w:val="none" w:sz="0" w:space="0" w:color="auto"/>
        <w:left w:val="none" w:sz="0" w:space="0" w:color="auto"/>
        <w:bottom w:val="none" w:sz="0" w:space="0" w:color="auto"/>
        <w:right w:val="none" w:sz="0" w:space="0" w:color="auto"/>
      </w:divBdr>
    </w:div>
    <w:div w:id="21432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Users\user\AppData\Local\Temp\FineReader11\media\image5.jpeg"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Anual%202016\Kumulative%20-%202016-M&amp;E%20Tablesgrfikon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Anual%202016\Kumulative%20-%202016-M&amp;E%20Tablesgrfikon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Anual%202016\agencija\New%20folder\Kumulative%20-%202016-M&amp;E%20Tables1.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Sheet2!$C$4</c:f>
              <c:strCache>
                <c:ptCount val="1"/>
                <c:pt idx="0">
                  <c:v>Примени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Sheet2!$B$5:$B$15</c:f>
              <c:strCache>
                <c:ptCount val="11"/>
                <c:pt idx="0">
                  <c:v>Живина </c:v>
                </c:pt>
                <c:pt idx="1">
                  <c:v>Свињи </c:v>
                </c:pt>
                <c:pt idx="2">
                  <c:v>Крави </c:v>
                </c:pt>
                <c:pt idx="3">
                  <c:v>Овци </c:v>
                </c:pt>
                <c:pt idx="4">
                  <c:v>Кози </c:v>
                </c:pt>
                <c:pt idx="5">
                  <c:v>Пластеници </c:v>
                </c:pt>
                <c:pt idx="6">
                  <c:v>Оранжерии </c:v>
                </c:pt>
                <c:pt idx="7">
                  <c:v>Градинарство отворено</c:v>
                </c:pt>
                <c:pt idx="8">
                  <c:v>Лозарство </c:v>
                </c:pt>
                <c:pt idx="9">
                  <c:v>Овоштарство </c:v>
                </c:pt>
                <c:pt idx="10">
                  <c:v>Трпезно грозје</c:v>
                </c:pt>
              </c:strCache>
            </c:strRef>
          </c:cat>
          <c:val>
            <c:numRef>
              <c:f>Sheet2!$C$5:$C$15</c:f>
              <c:numCache>
                <c:formatCode>General</c:formatCode>
                <c:ptCount val="11"/>
                <c:pt idx="0">
                  <c:v>8</c:v>
                </c:pt>
                <c:pt idx="1">
                  <c:v>41</c:v>
                </c:pt>
                <c:pt idx="2">
                  <c:v>60</c:v>
                </c:pt>
                <c:pt idx="3">
                  <c:v>12</c:v>
                </c:pt>
                <c:pt idx="4">
                  <c:v>6</c:v>
                </c:pt>
                <c:pt idx="5">
                  <c:v>49</c:v>
                </c:pt>
                <c:pt idx="6">
                  <c:v>5</c:v>
                </c:pt>
                <c:pt idx="7">
                  <c:v>944</c:v>
                </c:pt>
                <c:pt idx="8">
                  <c:v>460</c:v>
                </c:pt>
                <c:pt idx="9">
                  <c:v>902</c:v>
                </c:pt>
                <c:pt idx="10">
                  <c:v>34</c:v>
                </c:pt>
              </c:numCache>
            </c:numRef>
          </c:val>
        </c:ser>
        <c:ser>
          <c:idx val="1"/>
          <c:order val="1"/>
          <c:tx>
            <c:strRef>
              <c:f>Sheet2!$D$4</c:f>
              <c:strCache>
                <c:ptCount val="1"/>
                <c:pt idx="0">
                  <c:v>Одбиени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Sheet2!$B$5:$B$15</c:f>
              <c:strCache>
                <c:ptCount val="11"/>
                <c:pt idx="0">
                  <c:v>Живина </c:v>
                </c:pt>
                <c:pt idx="1">
                  <c:v>Свињи </c:v>
                </c:pt>
                <c:pt idx="2">
                  <c:v>Крави </c:v>
                </c:pt>
                <c:pt idx="3">
                  <c:v>Овци </c:v>
                </c:pt>
                <c:pt idx="4">
                  <c:v>Кози </c:v>
                </c:pt>
                <c:pt idx="5">
                  <c:v>Пластеници </c:v>
                </c:pt>
                <c:pt idx="6">
                  <c:v>Оранжерии </c:v>
                </c:pt>
                <c:pt idx="7">
                  <c:v>Градинарство отворено</c:v>
                </c:pt>
                <c:pt idx="8">
                  <c:v>Лозарство </c:v>
                </c:pt>
                <c:pt idx="9">
                  <c:v>Овоштарство </c:v>
                </c:pt>
                <c:pt idx="10">
                  <c:v>Трпезно грозје</c:v>
                </c:pt>
              </c:strCache>
            </c:strRef>
          </c:cat>
          <c:val>
            <c:numRef>
              <c:f>Sheet2!$D$5:$D$15</c:f>
              <c:numCache>
                <c:formatCode>General</c:formatCode>
                <c:ptCount val="11"/>
                <c:pt idx="0">
                  <c:v>8</c:v>
                </c:pt>
                <c:pt idx="1">
                  <c:v>29</c:v>
                </c:pt>
                <c:pt idx="2">
                  <c:v>53</c:v>
                </c:pt>
                <c:pt idx="3">
                  <c:v>11</c:v>
                </c:pt>
                <c:pt idx="4">
                  <c:v>6</c:v>
                </c:pt>
                <c:pt idx="5">
                  <c:v>39</c:v>
                </c:pt>
                <c:pt idx="6">
                  <c:v>4</c:v>
                </c:pt>
                <c:pt idx="7">
                  <c:v>483</c:v>
                </c:pt>
                <c:pt idx="8">
                  <c:v>215</c:v>
                </c:pt>
                <c:pt idx="9">
                  <c:v>391</c:v>
                </c:pt>
                <c:pt idx="10">
                  <c:v>16</c:v>
                </c:pt>
              </c:numCache>
            </c:numRef>
          </c:val>
        </c:ser>
        <c:ser>
          <c:idx val="2"/>
          <c:order val="2"/>
          <c:tx>
            <c:strRef>
              <c:f>Sheet2!$E$4</c:f>
              <c:strCache>
                <c:ptCount val="1"/>
                <c:pt idx="0">
                  <c:v>Одобрени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Sheet2!$B$5:$B$15</c:f>
              <c:strCache>
                <c:ptCount val="11"/>
                <c:pt idx="0">
                  <c:v>Живина </c:v>
                </c:pt>
                <c:pt idx="1">
                  <c:v>Свињи </c:v>
                </c:pt>
                <c:pt idx="2">
                  <c:v>Крави </c:v>
                </c:pt>
                <c:pt idx="3">
                  <c:v>Овци </c:v>
                </c:pt>
                <c:pt idx="4">
                  <c:v>Кози </c:v>
                </c:pt>
                <c:pt idx="5">
                  <c:v>Пластеници </c:v>
                </c:pt>
                <c:pt idx="6">
                  <c:v>Оранжерии </c:v>
                </c:pt>
                <c:pt idx="7">
                  <c:v>Градинарство отворено</c:v>
                </c:pt>
                <c:pt idx="8">
                  <c:v>Лозарство </c:v>
                </c:pt>
                <c:pt idx="9">
                  <c:v>Овоштарство </c:v>
                </c:pt>
                <c:pt idx="10">
                  <c:v>Трпезно грозје</c:v>
                </c:pt>
              </c:strCache>
            </c:strRef>
          </c:cat>
          <c:val>
            <c:numRef>
              <c:f>Sheet2!$E$5:$E$15</c:f>
              <c:numCache>
                <c:formatCode>General</c:formatCode>
                <c:ptCount val="11"/>
                <c:pt idx="0">
                  <c:v>0</c:v>
                </c:pt>
                <c:pt idx="1">
                  <c:v>12</c:v>
                </c:pt>
                <c:pt idx="2">
                  <c:v>7</c:v>
                </c:pt>
                <c:pt idx="3">
                  <c:v>1</c:v>
                </c:pt>
                <c:pt idx="4">
                  <c:v>0</c:v>
                </c:pt>
                <c:pt idx="5">
                  <c:v>10</c:v>
                </c:pt>
                <c:pt idx="6">
                  <c:v>1</c:v>
                </c:pt>
                <c:pt idx="7">
                  <c:v>461</c:v>
                </c:pt>
                <c:pt idx="8">
                  <c:v>245</c:v>
                </c:pt>
                <c:pt idx="9">
                  <c:v>511</c:v>
                </c:pt>
                <c:pt idx="10">
                  <c:v>18</c:v>
                </c:pt>
              </c:numCache>
            </c:numRef>
          </c:val>
        </c:ser>
        <c:ser>
          <c:idx val="3"/>
          <c:order val="3"/>
          <c:tx>
            <c:strRef>
              <c:f>Sheet2!$F$4</c:f>
              <c:strCache>
                <c:ptCount val="1"/>
                <c:pt idx="0">
                  <c:v>Раскинати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Sheet2!$B$5:$B$15</c:f>
              <c:strCache>
                <c:ptCount val="11"/>
                <c:pt idx="0">
                  <c:v>Живина </c:v>
                </c:pt>
                <c:pt idx="1">
                  <c:v>Свињи </c:v>
                </c:pt>
                <c:pt idx="2">
                  <c:v>Крави </c:v>
                </c:pt>
                <c:pt idx="3">
                  <c:v>Овци </c:v>
                </c:pt>
                <c:pt idx="4">
                  <c:v>Кози </c:v>
                </c:pt>
                <c:pt idx="5">
                  <c:v>Пластеници </c:v>
                </c:pt>
                <c:pt idx="6">
                  <c:v>Оранжерии </c:v>
                </c:pt>
                <c:pt idx="7">
                  <c:v>Градинарство отворено</c:v>
                </c:pt>
                <c:pt idx="8">
                  <c:v>Лозарство </c:v>
                </c:pt>
                <c:pt idx="9">
                  <c:v>Овоштарство </c:v>
                </c:pt>
                <c:pt idx="10">
                  <c:v>Трпезно грозје</c:v>
                </c:pt>
              </c:strCache>
            </c:strRef>
          </c:cat>
          <c:val>
            <c:numRef>
              <c:f>Sheet2!$F$5:$F$15</c:f>
              <c:numCache>
                <c:formatCode>General</c:formatCode>
                <c:ptCount val="11"/>
                <c:pt idx="0">
                  <c:v>0</c:v>
                </c:pt>
                <c:pt idx="1">
                  <c:v>5</c:v>
                </c:pt>
                <c:pt idx="2">
                  <c:v>1</c:v>
                </c:pt>
                <c:pt idx="3">
                  <c:v>1</c:v>
                </c:pt>
                <c:pt idx="4">
                  <c:v>0</c:v>
                </c:pt>
                <c:pt idx="5">
                  <c:v>4</c:v>
                </c:pt>
                <c:pt idx="6">
                  <c:v>0</c:v>
                </c:pt>
                <c:pt idx="7">
                  <c:v>22</c:v>
                </c:pt>
                <c:pt idx="8">
                  <c:v>36</c:v>
                </c:pt>
                <c:pt idx="9">
                  <c:v>71</c:v>
                </c:pt>
                <c:pt idx="10">
                  <c:v>1</c:v>
                </c:pt>
              </c:numCache>
            </c:numRef>
          </c:val>
        </c:ser>
        <c:ser>
          <c:idx val="4"/>
          <c:order val="4"/>
          <c:tx>
            <c:strRef>
              <c:f>Sheet2!$G$4</c:f>
              <c:strCache>
                <c:ptCount val="1"/>
                <c:pt idx="0">
                  <c:v>Исплатени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Sheet2!$B$5:$B$15</c:f>
              <c:strCache>
                <c:ptCount val="11"/>
                <c:pt idx="0">
                  <c:v>Живина </c:v>
                </c:pt>
                <c:pt idx="1">
                  <c:v>Свињи </c:v>
                </c:pt>
                <c:pt idx="2">
                  <c:v>Крави </c:v>
                </c:pt>
                <c:pt idx="3">
                  <c:v>Овци </c:v>
                </c:pt>
                <c:pt idx="4">
                  <c:v>Кози </c:v>
                </c:pt>
                <c:pt idx="5">
                  <c:v>Пластеници </c:v>
                </c:pt>
                <c:pt idx="6">
                  <c:v>Оранжерии </c:v>
                </c:pt>
                <c:pt idx="7">
                  <c:v>Градинарство отворено</c:v>
                </c:pt>
                <c:pt idx="8">
                  <c:v>Лозарство </c:v>
                </c:pt>
                <c:pt idx="9">
                  <c:v>Овоштарство </c:v>
                </c:pt>
                <c:pt idx="10">
                  <c:v>Трпезно грозје</c:v>
                </c:pt>
              </c:strCache>
            </c:strRef>
          </c:cat>
          <c:val>
            <c:numRef>
              <c:f>Sheet2!$G$5:$G$15</c:f>
              <c:numCache>
                <c:formatCode>General</c:formatCode>
                <c:ptCount val="11"/>
                <c:pt idx="0">
                  <c:v>0</c:v>
                </c:pt>
                <c:pt idx="1">
                  <c:v>3</c:v>
                </c:pt>
                <c:pt idx="2">
                  <c:v>3</c:v>
                </c:pt>
                <c:pt idx="3">
                  <c:v>0</c:v>
                </c:pt>
                <c:pt idx="4">
                  <c:v>0</c:v>
                </c:pt>
                <c:pt idx="5">
                  <c:v>5</c:v>
                </c:pt>
                <c:pt idx="6">
                  <c:v>1</c:v>
                </c:pt>
                <c:pt idx="7">
                  <c:v>190</c:v>
                </c:pt>
                <c:pt idx="8">
                  <c:v>146</c:v>
                </c:pt>
                <c:pt idx="9">
                  <c:v>337</c:v>
                </c:pt>
                <c:pt idx="10">
                  <c:v>8</c:v>
                </c:pt>
              </c:numCache>
            </c:numRef>
          </c:val>
        </c:ser>
        <c:dLbls>
          <c:showLegendKey val="0"/>
          <c:showVal val="0"/>
          <c:showCatName val="0"/>
          <c:showSerName val="0"/>
          <c:showPercent val="0"/>
          <c:showBubbleSize val="0"/>
        </c:dLbls>
        <c:gapWidth val="150"/>
        <c:axId val="320526600"/>
        <c:axId val="320526208"/>
      </c:barChart>
      <c:catAx>
        <c:axId val="320526600"/>
        <c:scaling>
          <c:orientation val="minMax"/>
        </c:scaling>
        <c:delete val="0"/>
        <c:axPos val="b"/>
        <c:numFmt formatCode="General" sourceLinked="0"/>
        <c:majorTickMark val="out"/>
        <c:minorTickMark val="none"/>
        <c:tickLblPos val="nextTo"/>
        <c:crossAx val="320526208"/>
        <c:crosses val="autoZero"/>
        <c:auto val="1"/>
        <c:lblAlgn val="ctr"/>
        <c:lblOffset val="100"/>
        <c:noMultiLvlLbl val="0"/>
      </c:catAx>
      <c:valAx>
        <c:axId val="320526208"/>
        <c:scaling>
          <c:orientation val="minMax"/>
        </c:scaling>
        <c:delete val="0"/>
        <c:axPos val="l"/>
        <c:majorGridlines/>
        <c:numFmt formatCode="General" sourceLinked="1"/>
        <c:majorTickMark val="out"/>
        <c:minorTickMark val="none"/>
        <c:tickLblPos val="nextTo"/>
        <c:crossAx val="32052660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Sheet3!$D$2</c:f>
              <c:strCache>
                <c:ptCount val="1"/>
                <c:pt idx="0">
                  <c:v>Примени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Sheet3!$B$3:$C$11</c:f>
              <c:multiLvlStrCache>
                <c:ptCount val="9"/>
                <c:lvl>
                  <c:pt idx="0">
                    <c:v>Изградба/модернизација на кланици</c:v>
                  </c:pt>
                  <c:pt idx="1">
                    <c:v>Опрема за отпадни материјали</c:v>
                  </c:pt>
                  <c:pt idx="2">
                    <c:v>Изградба на откупни центри </c:v>
                  </c:pt>
                  <c:pt idx="3">
                    <c:v>Модернизација на млекари</c:v>
                  </c:pt>
                  <c:pt idx="4">
                    <c:v>Модернизација на преработката </c:v>
                  </c:pt>
                  <c:pt idx="5">
                    <c:v>Модернизација на откупни центри</c:v>
                  </c:pt>
                  <c:pt idx="6">
                    <c:v>Заштита на животна средина и обновлива енергија</c:v>
                  </c:pt>
                  <c:pt idx="7">
                    <c:v>Модернизација на производство</c:v>
                  </c:pt>
                  <c:pt idx="8">
                    <c:v>Инвестиции во недвижен имот</c:v>
                  </c:pt>
                </c:lvl>
                <c:lvl>
                  <c:pt idx="0">
                    <c:v>Месо </c:v>
                  </c:pt>
                  <c:pt idx="2">
                    <c:v>Млеко </c:v>
                  </c:pt>
                  <c:pt idx="4">
                    <c:v>О/З</c:v>
                  </c:pt>
                  <c:pt idx="7">
                    <c:v>Вино</c:v>
                  </c:pt>
                </c:lvl>
              </c:multiLvlStrCache>
            </c:multiLvlStrRef>
          </c:cat>
          <c:val>
            <c:numRef>
              <c:f>Sheet3!$D$3:$D$11</c:f>
              <c:numCache>
                <c:formatCode>General</c:formatCode>
                <c:ptCount val="9"/>
                <c:pt idx="0">
                  <c:v>18</c:v>
                </c:pt>
                <c:pt idx="1">
                  <c:v>1</c:v>
                </c:pt>
                <c:pt idx="2">
                  <c:v>7</c:v>
                </c:pt>
                <c:pt idx="3">
                  <c:v>23</c:v>
                </c:pt>
                <c:pt idx="4">
                  <c:v>69</c:v>
                </c:pt>
                <c:pt idx="5">
                  <c:v>33</c:v>
                </c:pt>
                <c:pt idx="6">
                  <c:v>2</c:v>
                </c:pt>
                <c:pt idx="7">
                  <c:v>19</c:v>
                </c:pt>
                <c:pt idx="8">
                  <c:v>3</c:v>
                </c:pt>
              </c:numCache>
            </c:numRef>
          </c:val>
        </c:ser>
        <c:ser>
          <c:idx val="1"/>
          <c:order val="1"/>
          <c:tx>
            <c:strRef>
              <c:f>Sheet3!$E$2</c:f>
              <c:strCache>
                <c:ptCount val="1"/>
                <c:pt idx="0">
                  <c:v>Одбиени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Sheet3!$B$3:$C$11</c:f>
              <c:multiLvlStrCache>
                <c:ptCount val="9"/>
                <c:lvl>
                  <c:pt idx="0">
                    <c:v>Изградба/модернизација на кланици</c:v>
                  </c:pt>
                  <c:pt idx="1">
                    <c:v>Опрема за отпадни материјали</c:v>
                  </c:pt>
                  <c:pt idx="2">
                    <c:v>Изградба на откупни центри </c:v>
                  </c:pt>
                  <c:pt idx="3">
                    <c:v>Модернизација на млекари</c:v>
                  </c:pt>
                  <c:pt idx="4">
                    <c:v>Модернизација на преработката </c:v>
                  </c:pt>
                  <c:pt idx="5">
                    <c:v>Модернизација на откупни центри</c:v>
                  </c:pt>
                  <c:pt idx="6">
                    <c:v>Заштита на животна средина и обновлива енергија</c:v>
                  </c:pt>
                  <c:pt idx="7">
                    <c:v>Модернизација на производство</c:v>
                  </c:pt>
                  <c:pt idx="8">
                    <c:v>Инвестиции во недвижен имот</c:v>
                  </c:pt>
                </c:lvl>
                <c:lvl>
                  <c:pt idx="0">
                    <c:v>Месо </c:v>
                  </c:pt>
                  <c:pt idx="2">
                    <c:v>Млеко </c:v>
                  </c:pt>
                  <c:pt idx="4">
                    <c:v>О/З</c:v>
                  </c:pt>
                  <c:pt idx="7">
                    <c:v>Вино</c:v>
                  </c:pt>
                </c:lvl>
              </c:multiLvlStrCache>
            </c:multiLvlStrRef>
          </c:cat>
          <c:val>
            <c:numRef>
              <c:f>Sheet3!$E$3:$E$11</c:f>
              <c:numCache>
                <c:formatCode>General</c:formatCode>
                <c:ptCount val="9"/>
                <c:pt idx="0">
                  <c:v>10</c:v>
                </c:pt>
                <c:pt idx="1">
                  <c:v>1</c:v>
                </c:pt>
                <c:pt idx="2">
                  <c:v>6</c:v>
                </c:pt>
                <c:pt idx="3">
                  <c:v>12</c:v>
                </c:pt>
                <c:pt idx="4">
                  <c:v>43</c:v>
                </c:pt>
                <c:pt idx="5">
                  <c:v>22</c:v>
                </c:pt>
                <c:pt idx="6">
                  <c:v>1</c:v>
                </c:pt>
                <c:pt idx="7">
                  <c:v>14</c:v>
                </c:pt>
                <c:pt idx="8">
                  <c:v>2</c:v>
                </c:pt>
              </c:numCache>
            </c:numRef>
          </c:val>
        </c:ser>
        <c:ser>
          <c:idx val="2"/>
          <c:order val="2"/>
          <c:tx>
            <c:strRef>
              <c:f>Sheet3!$F$2</c:f>
              <c:strCache>
                <c:ptCount val="1"/>
                <c:pt idx="0">
                  <c:v>Одобрени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Sheet3!$B$3:$C$11</c:f>
              <c:multiLvlStrCache>
                <c:ptCount val="9"/>
                <c:lvl>
                  <c:pt idx="0">
                    <c:v>Изградба/модернизација на кланици</c:v>
                  </c:pt>
                  <c:pt idx="1">
                    <c:v>Опрема за отпадни материјали</c:v>
                  </c:pt>
                  <c:pt idx="2">
                    <c:v>Изградба на откупни центри </c:v>
                  </c:pt>
                  <c:pt idx="3">
                    <c:v>Модернизација на млекари</c:v>
                  </c:pt>
                  <c:pt idx="4">
                    <c:v>Модернизација на преработката </c:v>
                  </c:pt>
                  <c:pt idx="5">
                    <c:v>Модернизација на откупни центри</c:v>
                  </c:pt>
                  <c:pt idx="6">
                    <c:v>Заштита на животна средина и обновлива енергија</c:v>
                  </c:pt>
                  <c:pt idx="7">
                    <c:v>Модернизација на производство</c:v>
                  </c:pt>
                  <c:pt idx="8">
                    <c:v>Инвестиции во недвижен имот</c:v>
                  </c:pt>
                </c:lvl>
                <c:lvl>
                  <c:pt idx="0">
                    <c:v>Месо </c:v>
                  </c:pt>
                  <c:pt idx="2">
                    <c:v>Млеко </c:v>
                  </c:pt>
                  <c:pt idx="4">
                    <c:v>О/З</c:v>
                  </c:pt>
                  <c:pt idx="7">
                    <c:v>Вино</c:v>
                  </c:pt>
                </c:lvl>
              </c:multiLvlStrCache>
            </c:multiLvlStrRef>
          </c:cat>
          <c:val>
            <c:numRef>
              <c:f>Sheet3!$F$3:$F$11</c:f>
              <c:numCache>
                <c:formatCode>General</c:formatCode>
                <c:ptCount val="9"/>
                <c:pt idx="0">
                  <c:v>8</c:v>
                </c:pt>
                <c:pt idx="1">
                  <c:v>1</c:v>
                </c:pt>
                <c:pt idx="2">
                  <c:v>1</c:v>
                </c:pt>
                <c:pt idx="3">
                  <c:v>11</c:v>
                </c:pt>
                <c:pt idx="4">
                  <c:v>26</c:v>
                </c:pt>
                <c:pt idx="5">
                  <c:v>11</c:v>
                </c:pt>
                <c:pt idx="6">
                  <c:v>1</c:v>
                </c:pt>
                <c:pt idx="7">
                  <c:v>5</c:v>
                </c:pt>
                <c:pt idx="8">
                  <c:v>1</c:v>
                </c:pt>
              </c:numCache>
            </c:numRef>
          </c:val>
        </c:ser>
        <c:ser>
          <c:idx val="3"/>
          <c:order val="3"/>
          <c:tx>
            <c:strRef>
              <c:f>Sheet3!$G$2</c:f>
              <c:strCache>
                <c:ptCount val="1"/>
                <c:pt idx="0">
                  <c:v>Раскинати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Sheet3!$B$3:$C$11</c:f>
              <c:multiLvlStrCache>
                <c:ptCount val="9"/>
                <c:lvl>
                  <c:pt idx="0">
                    <c:v>Изградба/модернизација на кланици</c:v>
                  </c:pt>
                  <c:pt idx="1">
                    <c:v>Опрема за отпадни материјали</c:v>
                  </c:pt>
                  <c:pt idx="2">
                    <c:v>Изградба на откупни центри </c:v>
                  </c:pt>
                  <c:pt idx="3">
                    <c:v>Модернизација на млекари</c:v>
                  </c:pt>
                  <c:pt idx="4">
                    <c:v>Модернизација на преработката </c:v>
                  </c:pt>
                  <c:pt idx="5">
                    <c:v>Модернизација на откупни центри</c:v>
                  </c:pt>
                  <c:pt idx="6">
                    <c:v>Заштита на животна средина и обновлива енергија</c:v>
                  </c:pt>
                  <c:pt idx="7">
                    <c:v>Модернизација на производство</c:v>
                  </c:pt>
                  <c:pt idx="8">
                    <c:v>Инвестиции во недвижен имот</c:v>
                  </c:pt>
                </c:lvl>
                <c:lvl>
                  <c:pt idx="0">
                    <c:v>Месо </c:v>
                  </c:pt>
                  <c:pt idx="2">
                    <c:v>Млеко </c:v>
                  </c:pt>
                  <c:pt idx="4">
                    <c:v>О/З</c:v>
                  </c:pt>
                  <c:pt idx="7">
                    <c:v>Вино</c:v>
                  </c:pt>
                </c:lvl>
              </c:multiLvlStrCache>
            </c:multiLvlStrRef>
          </c:cat>
          <c:val>
            <c:numRef>
              <c:f>Sheet3!$G$3:$G$11</c:f>
              <c:numCache>
                <c:formatCode>General</c:formatCode>
                <c:ptCount val="9"/>
                <c:pt idx="0">
                  <c:v>3</c:v>
                </c:pt>
                <c:pt idx="1">
                  <c:v>1</c:v>
                </c:pt>
                <c:pt idx="2">
                  <c:v>0</c:v>
                </c:pt>
                <c:pt idx="3">
                  <c:v>1</c:v>
                </c:pt>
                <c:pt idx="4">
                  <c:v>7</c:v>
                </c:pt>
                <c:pt idx="5">
                  <c:v>8</c:v>
                </c:pt>
                <c:pt idx="6">
                  <c:v>1</c:v>
                </c:pt>
                <c:pt idx="7">
                  <c:v>1</c:v>
                </c:pt>
                <c:pt idx="8">
                  <c:v>0</c:v>
                </c:pt>
              </c:numCache>
            </c:numRef>
          </c:val>
        </c:ser>
        <c:ser>
          <c:idx val="4"/>
          <c:order val="4"/>
          <c:tx>
            <c:strRef>
              <c:f>Sheet3!$H$2</c:f>
              <c:strCache>
                <c:ptCount val="1"/>
                <c:pt idx="0">
                  <c:v>Исплатени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Sheet3!$B$3:$C$11</c:f>
              <c:multiLvlStrCache>
                <c:ptCount val="9"/>
                <c:lvl>
                  <c:pt idx="0">
                    <c:v>Изградба/модернизација на кланици</c:v>
                  </c:pt>
                  <c:pt idx="1">
                    <c:v>Опрема за отпадни материјали</c:v>
                  </c:pt>
                  <c:pt idx="2">
                    <c:v>Изградба на откупни центри </c:v>
                  </c:pt>
                  <c:pt idx="3">
                    <c:v>Модернизација на млекари</c:v>
                  </c:pt>
                  <c:pt idx="4">
                    <c:v>Модернизација на преработката </c:v>
                  </c:pt>
                  <c:pt idx="5">
                    <c:v>Модернизација на откупни центри</c:v>
                  </c:pt>
                  <c:pt idx="6">
                    <c:v>Заштита на животна средина и обновлива енергија</c:v>
                  </c:pt>
                  <c:pt idx="7">
                    <c:v>Модернизација на производство</c:v>
                  </c:pt>
                  <c:pt idx="8">
                    <c:v>Инвестиции во недвижен имот</c:v>
                  </c:pt>
                </c:lvl>
                <c:lvl>
                  <c:pt idx="0">
                    <c:v>Месо </c:v>
                  </c:pt>
                  <c:pt idx="2">
                    <c:v>Млеко </c:v>
                  </c:pt>
                  <c:pt idx="4">
                    <c:v>О/З</c:v>
                  </c:pt>
                  <c:pt idx="7">
                    <c:v>Вино</c:v>
                  </c:pt>
                </c:lvl>
              </c:multiLvlStrCache>
            </c:multiLvlStrRef>
          </c:cat>
          <c:val>
            <c:numRef>
              <c:f>Sheet3!$H$3:$H$11</c:f>
              <c:numCache>
                <c:formatCode>General</c:formatCode>
                <c:ptCount val="9"/>
                <c:pt idx="0">
                  <c:v>4</c:v>
                </c:pt>
                <c:pt idx="1">
                  <c:v>0</c:v>
                </c:pt>
                <c:pt idx="2">
                  <c:v>1</c:v>
                </c:pt>
                <c:pt idx="3">
                  <c:v>10</c:v>
                </c:pt>
                <c:pt idx="4">
                  <c:v>14</c:v>
                </c:pt>
                <c:pt idx="5">
                  <c:v>3</c:v>
                </c:pt>
                <c:pt idx="6">
                  <c:v>0</c:v>
                </c:pt>
                <c:pt idx="7">
                  <c:v>4</c:v>
                </c:pt>
                <c:pt idx="8">
                  <c:v>1</c:v>
                </c:pt>
              </c:numCache>
            </c:numRef>
          </c:val>
        </c:ser>
        <c:dLbls>
          <c:showLegendKey val="0"/>
          <c:showVal val="0"/>
          <c:showCatName val="0"/>
          <c:showSerName val="0"/>
          <c:showPercent val="0"/>
          <c:showBubbleSize val="0"/>
        </c:dLbls>
        <c:gapWidth val="150"/>
        <c:axId val="320526992"/>
        <c:axId val="320525032"/>
      </c:barChart>
      <c:catAx>
        <c:axId val="320526992"/>
        <c:scaling>
          <c:orientation val="minMax"/>
        </c:scaling>
        <c:delete val="0"/>
        <c:axPos val="b"/>
        <c:numFmt formatCode="General" sourceLinked="0"/>
        <c:majorTickMark val="out"/>
        <c:minorTickMark val="none"/>
        <c:tickLblPos val="nextTo"/>
        <c:crossAx val="320525032"/>
        <c:crosses val="autoZero"/>
        <c:auto val="1"/>
        <c:lblAlgn val="ctr"/>
        <c:lblOffset val="100"/>
        <c:noMultiLvlLbl val="0"/>
      </c:catAx>
      <c:valAx>
        <c:axId val="320525032"/>
        <c:scaling>
          <c:orientation val="minMax"/>
        </c:scaling>
        <c:delete val="0"/>
        <c:axPos val="l"/>
        <c:majorGridlines/>
        <c:numFmt formatCode="General" sourceLinked="1"/>
        <c:majorTickMark val="out"/>
        <c:minorTickMark val="none"/>
        <c:tickLblPos val="nextTo"/>
        <c:crossAx val="32052699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Sheet2!$A$2</c:f>
              <c:strCache>
                <c:ptCount val="1"/>
                <c:pt idx="0">
                  <c:v>101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Sheet2!$B$1:$I$1</c:f>
              <c:strCache>
                <c:ptCount val="8"/>
                <c:pt idx="0">
                  <c:v>Пелагонија </c:v>
                </c:pt>
                <c:pt idx="1">
                  <c:v>Вардар</c:v>
                </c:pt>
                <c:pt idx="2">
                  <c:v>Североисток </c:v>
                </c:pt>
                <c:pt idx="3">
                  <c:v>Југозапад</c:v>
                </c:pt>
                <c:pt idx="4">
                  <c:v>Скопје </c:v>
                </c:pt>
                <c:pt idx="5">
                  <c:v>Југоисток </c:v>
                </c:pt>
                <c:pt idx="6">
                  <c:v>Полог </c:v>
                </c:pt>
                <c:pt idx="7">
                  <c:v>Исток</c:v>
                </c:pt>
              </c:strCache>
            </c:strRef>
          </c:cat>
          <c:val>
            <c:numRef>
              <c:f>Sheet2!$B$2:$I$2</c:f>
              <c:numCache>
                <c:formatCode>#,##0</c:formatCode>
                <c:ptCount val="8"/>
                <c:pt idx="0">
                  <c:v>366</c:v>
                </c:pt>
                <c:pt idx="1">
                  <c:v>182</c:v>
                </c:pt>
                <c:pt idx="2">
                  <c:v>7</c:v>
                </c:pt>
                <c:pt idx="3">
                  <c:v>24</c:v>
                </c:pt>
                <c:pt idx="4">
                  <c:v>8</c:v>
                </c:pt>
                <c:pt idx="5">
                  <c:v>53</c:v>
                </c:pt>
                <c:pt idx="6">
                  <c:v>2</c:v>
                </c:pt>
                <c:pt idx="7">
                  <c:v>51</c:v>
                </c:pt>
              </c:numCache>
            </c:numRef>
          </c:val>
        </c:ser>
        <c:ser>
          <c:idx val="1"/>
          <c:order val="1"/>
          <c:tx>
            <c:strRef>
              <c:f>Sheet2!$A$3</c:f>
              <c:strCache>
                <c:ptCount val="1"/>
                <c:pt idx="0">
                  <c:v>103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Sheet2!$B$1:$I$1</c:f>
              <c:strCache>
                <c:ptCount val="8"/>
                <c:pt idx="0">
                  <c:v>Пелагонија </c:v>
                </c:pt>
                <c:pt idx="1">
                  <c:v>Вардар</c:v>
                </c:pt>
                <c:pt idx="2">
                  <c:v>Североисток </c:v>
                </c:pt>
                <c:pt idx="3">
                  <c:v>Југозапад</c:v>
                </c:pt>
                <c:pt idx="4">
                  <c:v>Скопје </c:v>
                </c:pt>
                <c:pt idx="5">
                  <c:v>Југоисток </c:v>
                </c:pt>
                <c:pt idx="6">
                  <c:v>Полог </c:v>
                </c:pt>
                <c:pt idx="7">
                  <c:v>Исток</c:v>
                </c:pt>
              </c:strCache>
            </c:strRef>
          </c:cat>
          <c:val>
            <c:numRef>
              <c:f>Sheet2!$B$3:$I$3</c:f>
              <c:numCache>
                <c:formatCode>#,##0</c:formatCode>
                <c:ptCount val="8"/>
                <c:pt idx="0">
                  <c:v>6</c:v>
                </c:pt>
                <c:pt idx="1">
                  <c:v>5</c:v>
                </c:pt>
                <c:pt idx="2">
                  <c:v>2</c:v>
                </c:pt>
                <c:pt idx="3">
                  <c:v>1</c:v>
                </c:pt>
                <c:pt idx="4">
                  <c:v>4</c:v>
                </c:pt>
                <c:pt idx="5">
                  <c:v>9</c:v>
                </c:pt>
                <c:pt idx="6">
                  <c:v>1</c:v>
                </c:pt>
                <c:pt idx="7">
                  <c:v>9</c:v>
                </c:pt>
              </c:numCache>
            </c:numRef>
          </c:val>
        </c:ser>
        <c:ser>
          <c:idx val="2"/>
          <c:order val="2"/>
          <c:tx>
            <c:strRef>
              <c:f>Sheet2!$A$4</c:f>
              <c:strCache>
                <c:ptCount val="1"/>
                <c:pt idx="0">
                  <c:v>302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Sheet2!$B$1:$I$1</c:f>
              <c:strCache>
                <c:ptCount val="8"/>
                <c:pt idx="0">
                  <c:v>Пелагонија </c:v>
                </c:pt>
                <c:pt idx="1">
                  <c:v>Вардар</c:v>
                </c:pt>
                <c:pt idx="2">
                  <c:v>Североисток </c:v>
                </c:pt>
                <c:pt idx="3">
                  <c:v>Југозапад</c:v>
                </c:pt>
                <c:pt idx="4">
                  <c:v>Скопје </c:v>
                </c:pt>
                <c:pt idx="5">
                  <c:v>Југоисток </c:v>
                </c:pt>
                <c:pt idx="6">
                  <c:v>Полог </c:v>
                </c:pt>
                <c:pt idx="7">
                  <c:v>Исток</c:v>
                </c:pt>
              </c:strCache>
            </c:strRef>
          </c:cat>
          <c:val>
            <c:numRef>
              <c:f>Sheet2!$B$4:$I$4</c:f>
              <c:numCache>
                <c:formatCode>#,##0</c:formatCode>
                <c:ptCount val="8"/>
                <c:pt idx="0">
                  <c:v>2</c:v>
                </c:pt>
                <c:pt idx="1">
                  <c:v>0</c:v>
                </c:pt>
                <c:pt idx="2">
                  <c:v>0</c:v>
                </c:pt>
                <c:pt idx="3">
                  <c:v>1</c:v>
                </c:pt>
                <c:pt idx="4">
                  <c:v>2</c:v>
                </c:pt>
                <c:pt idx="6">
                  <c:v>0</c:v>
                </c:pt>
                <c:pt idx="7">
                  <c:v>3</c:v>
                </c:pt>
              </c:numCache>
            </c:numRef>
          </c:val>
        </c:ser>
        <c:dLbls>
          <c:showLegendKey val="0"/>
          <c:showVal val="0"/>
          <c:showCatName val="0"/>
          <c:showSerName val="0"/>
          <c:showPercent val="0"/>
          <c:showBubbleSize val="0"/>
        </c:dLbls>
        <c:gapWidth val="150"/>
        <c:axId val="320528168"/>
        <c:axId val="255219232"/>
      </c:barChart>
      <c:catAx>
        <c:axId val="320528168"/>
        <c:scaling>
          <c:orientation val="minMax"/>
        </c:scaling>
        <c:delete val="0"/>
        <c:axPos val="b"/>
        <c:numFmt formatCode="General" sourceLinked="0"/>
        <c:majorTickMark val="out"/>
        <c:minorTickMark val="none"/>
        <c:tickLblPos val="nextTo"/>
        <c:crossAx val="255219232"/>
        <c:crosses val="autoZero"/>
        <c:auto val="1"/>
        <c:lblAlgn val="ctr"/>
        <c:lblOffset val="100"/>
        <c:noMultiLvlLbl val="0"/>
      </c:catAx>
      <c:valAx>
        <c:axId val="255219232"/>
        <c:scaling>
          <c:orientation val="minMax"/>
        </c:scaling>
        <c:delete val="0"/>
        <c:axPos val="l"/>
        <c:majorGridlines/>
        <c:numFmt formatCode="#,##0" sourceLinked="1"/>
        <c:majorTickMark val="out"/>
        <c:minorTickMark val="none"/>
        <c:tickLblPos val="nextTo"/>
        <c:crossAx val="32052816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'regioni analiza'!$L$3</c:f>
              <c:strCache>
                <c:ptCount val="1"/>
                <c:pt idx="0">
                  <c:v>101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'regioni analiza'!$M$2:$T$2</c:f>
              <c:strCache>
                <c:ptCount val="8"/>
                <c:pt idx="0">
                  <c:v>Пелагонија </c:v>
                </c:pt>
                <c:pt idx="1">
                  <c:v>Вардар</c:v>
                </c:pt>
                <c:pt idx="2">
                  <c:v>Североисток </c:v>
                </c:pt>
                <c:pt idx="3">
                  <c:v>Југозапад</c:v>
                </c:pt>
                <c:pt idx="4">
                  <c:v>Скопје </c:v>
                </c:pt>
                <c:pt idx="5">
                  <c:v>Југоисток </c:v>
                </c:pt>
                <c:pt idx="6">
                  <c:v>Полог </c:v>
                </c:pt>
                <c:pt idx="7">
                  <c:v>Исток</c:v>
                </c:pt>
              </c:strCache>
            </c:strRef>
          </c:cat>
          <c:val>
            <c:numRef>
              <c:f>'regioni analiza'!$M$3:$T$3</c:f>
              <c:numCache>
                <c:formatCode>#,##0</c:formatCode>
                <c:ptCount val="8"/>
                <c:pt idx="0">
                  <c:v>2409679</c:v>
                </c:pt>
                <c:pt idx="1">
                  <c:v>838938</c:v>
                </c:pt>
                <c:pt idx="2">
                  <c:v>51256</c:v>
                </c:pt>
                <c:pt idx="3">
                  <c:v>109519</c:v>
                </c:pt>
                <c:pt idx="4">
                  <c:v>62530</c:v>
                </c:pt>
                <c:pt idx="5">
                  <c:v>294234</c:v>
                </c:pt>
                <c:pt idx="6">
                  <c:v>28416</c:v>
                </c:pt>
                <c:pt idx="7">
                  <c:v>642948</c:v>
                </c:pt>
              </c:numCache>
            </c:numRef>
          </c:val>
        </c:ser>
        <c:ser>
          <c:idx val="1"/>
          <c:order val="1"/>
          <c:tx>
            <c:strRef>
              <c:f>'regioni analiza'!$L$4</c:f>
              <c:strCache>
                <c:ptCount val="1"/>
                <c:pt idx="0">
                  <c:v>103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'regioni analiza'!$M$2:$T$2</c:f>
              <c:strCache>
                <c:ptCount val="8"/>
                <c:pt idx="0">
                  <c:v>Пелагонија </c:v>
                </c:pt>
                <c:pt idx="1">
                  <c:v>Вардар</c:v>
                </c:pt>
                <c:pt idx="2">
                  <c:v>Североисток </c:v>
                </c:pt>
                <c:pt idx="3">
                  <c:v>Југозапад</c:v>
                </c:pt>
                <c:pt idx="4">
                  <c:v>Скопје </c:v>
                </c:pt>
                <c:pt idx="5">
                  <c:v>Југоисток </c:v>
                </c:pt>
                <c:pt idx="6">
                  <c:v>Полог </c:v>
                </c:pt>
                <c:pt idx="7">
                  <c:v>Исток</c:v>
                </c:pt>
              </c:strCache>
            </c:strRef>
          </c:cat>
          <c:val>
            <c:numRef>
              <c:f>'regioni analiza'!$M$4:$T$4</c:f>
              <c:numCache>
                <c:formatCode>#,##0</c:formatCode>
                <c:ptCount val="8"/>
                <c:pt idx="0">
                  <c:v>332529</c:v>
                </c:pt>
                <c:pt idx="1">
                  <c:v>736195</c:v>
                </c:pt>
                <c:pt idx="2">
                  <c:v>328601</c:v>
                </c:pt>
                <c:pt idx="3">
                  <c:v>46015</c:v>
                </c:pt>
                <c:pt idx="4">
                  <c:v>351244</c:v>
                </c:pt>
                <c:pt idx="5">
                  <c:v>504323</c:v>
                </c:pt>
                <c:pt idx="6">
                  <c:v>29924</c:v>
                </c:pt>
                <c:pt idx="7">
                  <c:v>915874</c:v>
                </c:pt>
              </c:numCache>
            </c:numRef>
          </c:val>
        </c:ser>
        <c:ser>
          <c:idx val="2"/>
          <c:order val="2"/>
          <c:tx>
            <c:strRef>
              <c:f>'regioni analiza'!$L$5</c:f>
              <c:strCache>
                <c:ptCount val="1"/>
                <c:pt idx="0">
                  <c:v>302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'regioni analiza'!$M$2:$T$2</c:f>
              <c:strCache>
                <c:ptCount val="8"/>
                <c:pt idx="0">
                  <c:v>Пелагонија </c:v>
                </c:pt>
                <c:pt idx="1">
                  <c:v>Вардар</c:v>
                </c:pt>
                <c:pt idx="2">
                  <c:v>Североисток </c:v>
                </c:pt>
                <c:pt idx="3">
                  <c:v>Југозапад</c:v>
                </c:pt>
                <c:pt idx="4">
                  <c:v>Скопје </c:v>
                </c:pt>
                <c:pt idx="5">
                  <c:v>Југоисток </c:v>
                </c:pt>
                <c:pt idx="6">
                  <c:v>Полог </c:v>
                </c:pt>
                <c:pt idx="7">
                  <c:v>Исток</c:v>
                </c:pt>
              </c:strCache>
            </c:strRef>
          </c:cat>
          <c:val>
            <c:numRef>
              <c:f>'regioni analiza'!$M$5:$T$5</c:f>
              <c:numCache>
                <c:formatCode>General</c:formatCode>
                <c:ptCount val="8"/>
                <c:pt idx="0" formatCode="#,##0">
                  <c:v>93891</c:v>
                </c:pt>
                <c:pt idx="1">
                  <c:v>0</c:v>
                </c:pt>
                <c:pt idx="2">
                  <c:v>0</c:v>
                </c:pt>
                <c:pt idx="3" formatCode="#,##0">
                  <c:v>2707</c:v>
                </c:pt>
                <c:pt idx="4" formatCode="#,##0">
                  <c:v>116032</c:v>
                </c:pt>
                <c:pt idx="5">
                  <c:v>0</c:v>
                </c:pt>
                <c:pt idx="6">
                  <c:v>0</c:v>
                </c:pt>
                <c:pt idx="7" formatCode="#,##0">
                  <c:v>62611</c:v>
                </c:pt>
              </c:numCache>
            </c:numRef>
          </c:val>
        </c:ser>
        <c:dLbls>
          <c:showLegendKey val="0"/>
          <c:showVal val="0"/>
          <c:showCatName val="0"/>
          <c:showSerName val="0"/>
          <c:showPercent val="0"/>
          <c:showBubbleSize val="0"/>
        </c:dLbls>
        <c:gapWidth val="150"/>
        <c:axId val="255218840"/>
        <c:axId val="255218056"/>
      </c:barChart>
      <c:catAx>
        <c:axId val="255218840"/>
        <c:scaling>
          <c:orientation val="minMax"/>
        </c:scaling>
        <c:delete val="0"/>
        <c:axPos val="b"/>
        <c:numFmt formatCode="General" sourceLinked="0"/>
        <c:majorTickMark val="out"/>
        <c:minorTickMark val="none"/>
        <c:tickLblPos val="nextTo"/>
        <c:crossAx val="255218056"/>
        <c:crosses val="autoZero"/>
        <c:auto val="1"/>
        <c:lblAlgn val="ctr"/>
        <c:lblOffset val="100"/>
        <c:noMultiLvlLbl val="0"/>
      </c:catAx>
      <c:valAx>
        <c:axId val="255218056"/>
        <c:scaling>
          <c:orientation val="minMax"/>
        </c:scaling>
        <c:delete val="0"/>
        <c:axPos val="l"/>
        <c:majorGridlines/>
        <c:numFmt formatCode="#,##0" sourceLinked="1"/>
        <c:majorTickMark val="out"/>
        <c:minorTickMark val="none"/>
        <c:tickLblPos val="nextTo"/>
        <c:crossAx val="25521884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A0AF8-8FA0-4F55-B57A-300EBB61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26238</Words>
  <Characters>149559</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Соња Трајкова</cp:lastModifiedBy>
  <cp:revision>2</cp:revision>
  <dcterms:created xsi:type="dcterms:W3CDTF">2018-02-02T06:48:00Z</dcterms:created>
  <dcterms:modified xsi:type="dcterms:W3CDTF">2018-02-02T06:48:00Z</dcterms:modified>
</cp:coreProperties>
</file>