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786" w:rsidRPr="0038361F" w:rsidRDefault="00161AC4" w:rsidP="00161AC4">
      <w:pPr>
        <w:jc w:val="center"/>
        <w:rPr>
          <w:rFonts w:ascii="Arial" w:hAnsi="Arial" w:cs="Arial"/>
          <w:b/>
          <w:lang w:val="mk-MK"/>
        </w:rPr>
      </w:pPr>
      <w:r w:rsidRPr="005A7450">
        <w:rPr>
          <w:rFonts w:ascii="Arial" w:hAnsi="Arial" w:cs="Arial"/>
          <w:noProof/>
        </w:rPr>
        <w:drawing>
          <wp:inline distT="0" distB="0" distL="0" distR="0" wp14:anchorId="3FC103CD" wp14:editId="6ABBA94F">
            <wp:extent cx="78105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695325"/>
                    </a:xfrm>
                    <a:prstGeom prst="rect">
                      <a:avLst/>
                    </a:prstGeom>
                    <a:noFill/>
                    <a:ln>
                      <a:noFill/>
                    </a:ln>
                  </pic:spPr>
                </pic:pic>
              </a:graphicData>
            </a:graphic>
          </wp:inline>
        </w:drawing>
      </w:r>
    </w:p>
    <w:p w:rsidR="00161AC4" w:rsidRPr="002B2470" w:rsidRDefault="00161AC4" w:rsidP="00161AC4">
      <w:pPr>
        <w:tabs>
          <w:tab w:val="center" w:pos="4153"/>
          <w:tab w:val="right" w:pos="8306"/>
        </w:tabs>
        <w:spacing w:after="0" w:line="240" w:lineRule="auto"/>
        <w:jc w:val="center"/>
        <w:rPr>
          <w:rFonts w:ascii="Arial" w:eastAsia="Times New Roman" w:hAnsi="Arial" w:cs="Arial"/>
          <w:b/>
          <w:lang w:val="mk-MK" w:eastAsia="en-GB"/>
        </w:rPr>
      </w:pPr>
      <w:r w:rsidRPr="002B2470">
        <w:rPr>
          <w:rFonts w:ascii="Arial" w:eastAsia="Times New Roman" w:hAnsi="Arial" w:cs="Arial"/>
          <w:b/>
          <w:lang w:val="mk-MK" w:eastAsia="en-GB"/>
        </w:rPr>
        <w:t>МИНИСТЕРСТВО ЗА ЗЕМЈОДЕЛСТВО, ШУМАРСТВО И ВОДОСТОПАНСТВО</w:t>
      </w:r>
    </w:p>
    <w:p w:rsidR="00B97786" w:rsidRPr="00AD5130" w:rsidRDefault="00161AC4" w:rsidP="00161AC4">
      <w:pPr>
        <w:jc w:val="center"/>
        <w:rPr>
          <w:rFonts w:ascii="Arial" w:hAnsi="Arial" w:cs="Arial"/>
          <w:lang w:val="mk-MK"/>
        </w:rPr>
      </w:pPr>
      <w:r w:rsidRPr="002B2470">
        <w:rPr>
          <w:rFonts w:ascii="Arial" w:eastAsia="Times New Roman" w:hAnsi="Arial" w:cs="Arial"/>
          <w:b/>
          <w:lang w:val="mk-MK" w:eastAsia="en-GB"/>
        </w:rPr>
        <w:t>ТЕЛО ЗА УПРАВУВАЊЕ СО ИПАРД</w:t>
      </w:r>
    </w:p>
    <w:p w:rsidR="00B97786" w:rsidRPr="008A22EF" w:rsidRDefault="00B97786" w:rsidP="00B97786">
      <w:pPr>
        <w:rPr>
          <w:rFonts w:ascii="Arial" w:hAnsi="Arial" w:cs="Arial"/>
          <w:lang w:val="mk-MK"/>
        </w:rPr>
      </w:pPr>
    </w:p>
    <w:p w:rsidR="00B97786" w:rsidRPr="002B2470" w:rsidRDefault="00B97786" w:rsidP="00161AC4">
      <w:pPr>
        <w:jc w:val="center"/>
        <w:rPr>
          <w:rFonts w:ascii="Arial" w:hAnsi="Arial" w:cs="Arial"/>
          <w:lang w:val="mk-MK"/>
        </w:rPr>
      </w:pPr>
    </w:p>
    <w:p w:rsidR="00B97786" w:rsidRPr="002B2470" w:rsidRDefault="00B97786" w:rsidP="00B97786">
      <w:pPr>
        <w:rPr>
          <w:rFonts w:ascii="Arial" w:hAnsi="Arial" w:cs="Arial"/>
          <w:lang w:val="mk-MK"/>
        </w:rPr>
      </w:pPr>
    </w:p>
    <w:p w:rsidR="00161AC4" w:rsidRPr="0038361F" w:rsidRDefault="00161AC4" w:rsidP="00161AC4">
      <w:pPr>
        <w:tabs>
          <w:tab w:val="center" w:pos="4153"/>
          <w:tab w:val="right" w:pos="8306"/>
        </w:tabs>
        <w:spacing w:after="0" w:line="240" w:lineRule="auto"/>
        <w:jc w:val="center"/>
        <w:rPr>
          <w:rFonts w:ascii="Arial" w:eastAsia="Times New Roman" w:hAnsi="Arial" w:cs="Arial"/>
          <w:b/>
          <w:lang w:val="mk-MK" w:eastAsia="en-GB"/>
        </w:rPr>
      </w:pPr>
    </w:p>
    <w:p w:rsidR="00161AC4" w:rsidRPr="002B2470" w:rsidRDefault="00161AC4" w:rsidP="00161AC4">
      <w:pPr>
        <w:spacing w:before="120" w:after="0" w:line="240" w:lineRule="auto"/>
        <w:ind w:left="357"/>
        <w:jc w:val="center"/>
        <w:rPr>
          <w:rFonts w:ascii="Arial" w:eastAsia="Times New Roman" w:hAnsi="Arial" w:cs="Arial"/>
          <w:b/>
          <w:sz w:val="28"/>
          <w:szCs w:val="28"/>
          <w:lang w:val="mk-MK" w:eastAsia="en-GB"/>
        </w:rPr>
      </w:pPr>
    </w:p>
    <w:p w:rsidR="00B21935" w:rsidRPr="002B2470" w:rsidRDefault="00B21935" w:rsidP="001E6990">
      <w:pPr>
        <w:spacing w:before="120" w:after="0" w:line="240" w:lineRule="auto"/>
        <w:ind w:left="357"/>
        <w:jc w:val="center"/>
        <w:rPr>
          <w:rFonts w:ascii="Arial" w:eastAsia="Times New Roman" w:hAnsi="Arial" w:cs="Arial"/>
          <w:b/>
          <w:sz w:val="28"/>
          <w:szCs w:val="28"/>
          <w:lang w:val="mk-MK" w:eastAsia="en-GB"/>
        </w:rPr>
      </w:pPr>
    </w:p>
    <w:p w:rsidR="00410356" w:rsidRPr="0038361F" w:rsidRDefault="00410356" w:rsidP="00410356">
      <w:pPr>
        <w:spacing w:before="120" w:after="0" w:line="240" w:lineRule="auto"/>
        <w:jc w:val="center"/>
        <w:rPr>
          <w:rFonts w:ascii="Arial" w:hAnsi="Arial" w:cs="Arial"/>
          <w:b/>
          <w:sz w:val="28"/>
          <w:szCs w:val="28"/>
          <w:lang w:val="mk-MK"/>
        </w:rPr>
      </w:pPr>
      <w:r w:rsidRPr="0038361F">
        <w:rPr>
          <w:rFonts w:ascii="Arial" w:hAnsi="Arial" w:cs="Arial"/>
          <w:b/>
          <w:sz w:val="28"/>
          <w:szCs w:val="28"/>
          <w:lang w:val="mk-MK"/>
        </w:rPr>
        <w:t xml:space="preserve">ГОДИШЕН ИЗВЕШТАЈ ЗА СПРОВЕДУВАЊЕ НА ИПАРД ПРОГРАМАТА 2014-2020 ЗА 2018 ГОДИНА </w:t>
      </w:r>
    </w:p>
    <w:p w:rsidR="00410356" w:rsidRPr="0038361F" w:rsidRDefault="00410356" w:rsidP="00410356">
      <w:pPr>
        <w:spacing w:before="120" w:after="0" w:line="240" w:lineRule="auto"/>
        <w:jc w:val="center"/>
        <w:rPr>
          <w:rFonts w:ascii="Arial" w:hAnsi="Arial" w:cs="Arial"/>
          <w:b/>
          <w:sz w:val="28"/>
          <w:szCs w:val="28"/>
          <w:lang w:val="mk-MK"/>
        </w:rPr>
      </w:pPr>
    </w:p>
    <w:p w:rsidR="00410356" w:rsidRPr="0038361F" w:rsidRDefault="00410356" w:rsidP="00410356">
      <w:pPr>
        <w:spacing w:before="120" w:after="0" w:line="240" w:lineRule="auto"/>
        <w:jc w:val="center"/>
        <w:rPr>
          <w:rFonts w:ascii="Arial" w:hAnsi="Arial" w:cs="Arial"/>
          <w:b/>
          <w:sz w:val="28"/>
          <w:szCs w:val="28"/>
          <w:lang w:val="mk-MK"/>
        </w:rPr>
      </w:pPr>
      <w:r w:rsidRPr="0038361F">
        <w:rPr>
          <w:rFonts w:ascii="Arial" w:hAnsi="Arial" w:cs="Arial"/>
          <w:b/>
          <w:sz w:val="28"/>
          <w:szCs w:val="28"/>
          <w:lang w:val="mk-MK"/>
        </w:rPr>
        <w:t>(согласно член 59 од Секторската спогодба)</w:t>
      </w:r>
    </w:p>
    <w:p w:rsidR="00410356" w:rsidRPr="002B2470" w:rsidRDefault="00410356" w:rsidP="00410356">
      <w:pPr>
        <w:spacing w:after="0" w:line="240" w:lineRule="auto"/>
        <w:jc w:val="center"/>
        <w:rPr>
          <w:rFonts w:ascii="Arial" w:hAnsi="Arial" w:cs="Arial"/>
          <w:sz w:val="28"/>
          <w:szCs w:val="28"/>
          <w:lang w:val="mk-MK"/>
        </w:rPr>
      </w:pPr>
    </w:p>
    <w:p w:rsidR="00410356" w:rsidRPr="0038361F" w:rsidRDefault="00410356" w:rsidP="00410356">
      <w:pPr>
        <w:spacing w:after="0" w:line="240" w:lineRule="auto"/>
        <w:jc w:val="center"/>
        <w:rPr>
          <w:rFonts w:ascii="Arial" w:hAnsi="Arial" w:cs="Arial"/>
          <w:sz w:val="28"/>
          <w:szCs w:val="28"/>
          <w:lang w:val="mk-MK"/>
        </w:rPr>
      </w:pPr>
    </w:p>
    <w:p w:rsidR="001A4B25" w:rsidRPr="002B2470" w:rsidRDefault="001A4B25" w:rsidP="001E6990">
      <w:pPr>
        <w:spacing w:line="360" w:lineRule="auto"/>
        <w:rPr>
          <w:rFonts w:ascii="Arial" w:hAnsi="Arial" w:cs="Arial"/>
          <w:sz w:val="28"/>
          <w:szCs w:val="28"/>
          <w:lang w:val="mk-MK"/>
        </w:rPr>
      </w:pPr>
    </w:p>
    <w:p w:rsidR="001A4B25" w:rsidRPr="002B2470" w:rsidRDefault="001A4B25" w:rsidP="001E6990">
      <w:pPr>
        <w:spacing w:line="360" w:lineRule="auto"/>
        <w:rPr>
          <w:rFonts w:ascii="Arial" w:hAnsi="Arial" w:cs="Arial"/>
          <w:sz w:val="28"/>
          <w:szCs w:val="28"/>
          <w:lang w:val="mk-MK"/>
        </w:rPr>
      </w:pPr>
    </w:p>
    <w:p w:rsidR="00567162" w:rsidRPr="008A22EF" w:rsidRDefault="00567162" w:rsidP="001E6990">
      <w:pPr>
        <w:spacing w:line="360" w:lineRule="auto"/>
        <w:rPr>
          <w:rFonts w:ascii="Arial" w:hAnsi="Arial" w:cs="Arial"/>
          <w:sz w:val="28"/>
          <w:szCs w:val="28"/>
          <w:lang w:val="mk-MK"/>
        </w:rPr>
      </w:pPr>
    </w:p>
    <w:p w:rsidR="00567162" w:rsidRPr="002B2470" w:rsidRDefault="00567162" w:rsidP="001E6990">
      <w:pPr>
        <w:spacing w:line="360" w:lineRule="auto"/>
        <w:rPr>
          <w:rFonts w:ascii="Arial" w:hAnsi="Arial" w:cs="Arial"/>
          <w:sz w:val="28"/>
          <w:szCs w:val="28"/>
          <w:lang w:val="mk-MK"/>
        </w:rPr>
      </w:pPr>
    </w:p>
    <w:p w:rsidR="00170BCA" w:rsidRPr="002B2470" w:rsidRDefault="00170BCA" w:rsidP="00CA1BD9">
      <w:pPr>
        <w:spacing w:line="360" w:lineRule="auto"/>
        <w:jc w:val="center"/>
        <w:rPr>
          <w:rFonts w:ascii="Arial" w:hAnsi="Arial" w:cs="Arial"/>
          <w:sz w:val="28"/>
          <w:szCs w:val="28"/>
          <w:lang w:val="mk-MK"/>
        </w:rPr>
      </w:pPr>
    </w:p>
    <w:p w:rsidR="00170BCA" w:rsidRPr="002B2470" w:rsidRDefault="00170BCA" w:rsidP="00CA1BD9">
      <w:pPr>
        <w:spacing w:line="360" w:lineRule="auto"/>
        <w:jc w:val="center"/>
        <w:rPr>
          <w:rFonts w:ascii="Arial" w:hAnsi="Arial" w:cs="Arial"/>
          <w:sz w:val="28"/>
          <w:szCs w:val="28"/>
          <w:lang w:val="mk-MK"/>
        </w:rPr>
      </w:pPr>
    </w:p>
    <w:p w:rsidR="00170BCA" w:rsidRPr="002B2470" w:rsidRDefault="00170BCA" w:rsidP="00CA1BD9">
      <w:pPr>
        <w:spacing w:line="360" w:lineRule="auto"/>
        <w:jc w:val="center"/>
        <w:rPr>
          <w:rFonts w:ascii="Arial" w:hAnsi="Arial" w:cs="Arial"/>
          <w:sz w:val="28"/>
          <w:szCs w:val="28"/>
          <w:lang w:val="mk-MK"/>
        </w:rPr>
      </w:pPr>
    </w:p>
    <w:p w:rsidR="00170BCA" w:rsidRPr="002B2470" w:rsidRDefault="00170BCA" w:rsidP="00CA1BD9">
      <w:pPr>
        <w:spacing w:line="360" w:lineRule="auto"/>
        <w:jc w:val="center"/>
        <w:rPr>
          <w:rFonts w:ascii="Arial" w:hAnsi="Arial" w:cs="Arial"/>
          <w:sz w:val="28"/>
          <w:szCs w:val="28"/>
          <w:lang w:val="mk-MK"/>
        </w:rPr>
      </w:pPr>
    </w:p>
    <w:p w:rsidR="00CA1BD9" w:rsidRPr="002B2470" w:rsidRDefault="001A4B25" w:rsidP="00CA1BD9">
      <w:pPr>
        <w:spacing w:line="360" w:lineRule="auto"/>
        <w:jc w:val="center"/>
        <w:rPr>
          <w:rFonts w:ascii="Arial" w:hAnsi="Arial" w:cs="Arial"/>
          <w:sz w:val="28"/>
          <w:szCs w:val="28"/>
          <w:lang w:val="mk-MK"/>
        </w:rPr>
      </w:pPr>
      <w:r w:rsidRPr="002B2470">
        <w:rPr>
          <w:rFonts w:ascii="Arial" w:hAnsi="Arial" w:cs="Arial"/>
          <w:sz w:val="28"/>
          <w:szCs w:val="28"/>
          <w:lang w:val="mk-MK"/>
        </w:rPr>
        <w:t>мај</w:t>
      </w:r>
      <w:r w:rsidR="00CA1BD9" w:rsidRPr="002B2470">
        <w:rPr>
          <w:rFonts w:ascii="Arial" w:hAnsi="Arial" w:cs="Arial"/>
          <w:sz w:val="28"/>
          <w:szCs w:val="28"/>
          <w:lang w:val="mk-MK"/>
        </w:rPr>
        <w:t>, 2019</w:t>
      </w:r>
    </w:p>
    <w:p w:rsidR="00C00C76" w:rsidRPr="002B2470" w:rsidRDefault="00C00C76" w:rsidP="00CA1BD9">
      <w:pPr>
        <w:spacing w:line="360" w:lineRule="auto"/>
        <w:jc w:val="center"/>
        <w:rPr>
          <w:rFonts w:ascii="Arial" w:hAnsi="Arial" w:cs="Arial"/>
          <w:sz w:val="28"/>
          <w:szCs w:val="28"/>
          <w:lang w:val="mk-MK"/>
        </w:rPr>
      </w:pPr>
    </w:p>
    <w:p w:rsidR="00E61540" w:rsidRPr="002B2470" w:rsidRDefault="00E61540" w:rsidP="001E6990">
      <w:pPr>
        <w:spacing w:line="360" w:lineRule="auto"/>
        <w:rPr>
          <w:rFonts w:ascii="Arial" w:hAnsi="Arial" w:cs="Arial"/>
          <w:sz w:val="28"/>
          <w:szCs w:val="28"/>
          <w:lang w:val="mk-MK"/>
        </w:rPr>
      </w:pPr>
    </w:p>
    <w:sdt>
      <w:sdtPr>
        <w:rPr>
          <w:rFonts w:ascii="Arial" w:hAnsi="Arial" w:cs="Arial"/>
          <w:lang w:val="mk-MK"/>
        </w:rPr>
        <w:id w:val="1574472247"/>
        <w:docPartObj>
          <w:docPartGallery w:val="Table of Contents"/>
          <w:docPartUnique/>
        </w:docPartObj>
      </w:sdtPr>
      <w:sdtEndPr>
        <w:rPr>
          <w:b/>
          <w:bCs/>
        </w:rPr>
      </w:sdtEndPr>
      <w:sdtContent>
        <w:p w:rsidR="00410356" w:rsidRPr="0038361F" w:rsidRDefault="00400A1B" w:rsidP="00410356">
          <w:pPr>
            <w:keepNext/>
            <w:keepLines/>
            <w:spacing w:before="240" w:after="0"/>
            <w:rPr>
              <w:rFonts w:ascii="Arial" w:eastAsiaTheme="majorEastAsia" w:hAnsi="Arial" w:cs="Arial"/>
              <w:lang w:val="mk-MK"/>
            </w:rPr>
          </w:pPr>
          <w:r w:rsidRPr="002B2470">
            <w:rPr>
              <w:rFonts w:ascii="Arial" w:eastAsiaTheme="majorEastAsia" w:hAnsi="Arial" w:cs="Arial"/>
              <w:b/>
              <w:sz w:val="24"/>
              <w:szCs w:val="24"/>
              <w:lang w:val="mk-MK"/>
            </w:rPr>
            <w:t>Сo</w:t>
          </w:r>
          <w:r w:rsidR="007862AD" w:rsidRPr="002B2470">
            <w:rPr>
              <w:rFonts w:ascii="Arial" w:eastAsiaTheme="majorEastAsia" w:hAnsi="Arial" w:cs="Arial"/>
              <w:b/>
              <w:sz w:val="24"/>
              <w:szCs w:val="24"/>
              <w:lang w:val="mk-MK"/>
            </w:rPr>
            <w:t>држина</w:t>
          </w:r>
          <w:r w:rsidR="00410356" w:rsidRPr="0038361F">
            <w:rPr>
              <w:rFonts w:ascii="Arial" w:eastAsiaTheme="majorEastAsia" w:hAnsi="Arial" w:cs="Arial"/>
              <w:b/>
              <w:sz w:val="24"/>
              <w:szCs w:val="24"/>
              <w:lang w:val="mk-MK"/>
            </w:rPr>
            <w:t>:</w:t>
          </w:r>
        </w:p>
        <w:p w:rsidR="00CE334A" w:rsidRPr="0038361F" w:rsidRDefault="001C2124">
          <w:pPr>
            <w:pStyle w:val="TOC1"/>
            <w:tabs>
              <w:tab w:val="left" w:pos="440"/>
              <w:tab w:val="right" w:leader="dot" w:pos="9017"/>
            </w:tabs>
            <w:rPr>
              <w:rFonts w:ascii="Arial" w:eastAsiaTheme="minorEastAsia" w:hAnsi="Arial" w:cs="Arial"/>
              <w:lang w:val="mk-MK"/>
            </w:rPr>
          </w:pPr>
          <w:r w:rsidRPr="0038361F">
            <w:rPr>
              <w:rFonts w:ascii="Arial" w:hAnsi="Arial" w:cs="Arial"/>
              <w:bCs/>
              <w:lang w:val="mk-MK"/>
            </w:rPr>
            <w:fldChar w:fldCharType="begin"/>
          </w:r>
          <w:r w:rsidR="00410356" w:rsidRPr="0038361F">
            <w:rPr>
              <w:rFonts w:ascii="Arial" w:hAnsi="Arial" w:cs="Arial"/>
              <w:bCs/>
              <w:lang w:val="mk-MK"/>
            </w:rPr>
            <w:instrText xml:space="preserve"> TOC \o "1-3" \h \z \u </w:instrText>
          </w:r>
          <w:r w:rsidRPr="0038361F">
            <w:rPr>
              <w:rFonts w:ascii="Arial" w:hAnsi="Arial" w:cs="Arial"/>
              <w:bCs/>
              <w:lang w:val="mk-MK"/>
            </w:rPr>
            <w:fldChar w:fldCharType="separate"/>
          </w:r>
          <w:hyperlink w:anchor="_Toc8639859" w:history="1">
            <w:r w:rsidR="00CE334A" w:rsidRPr="0038361F">
              <w:rPr>
                <w:rStyle w:val="Hyperlink"/>
                <w:rFonts w:ascii="Arial" w:hAnsi="Arial" w:cs="Arial"/>
                <w:lang w:val="mk-MK"/>
              </w:rPr>
              <w:t>1.</w:t>
            </w:r>
            <w:r w:rsidR="00CE334A" w:rsidRPr="0038361F">
              <w:rPr>
                <w:rFonts w:ascii="Arial" w:eastAsiaTheme="minorEastAsia" w:hAnsi="Arial" w:cs="Arial"/>
                <w:lang w:val="mk-MK"/>
              </w:rPr>
              <w:tab/>
            </w:r>
            <w:r w:rsidR="00CE334A" w:rsidRPr="0038361F">
              <w:rPr>
                <w:rStyle w:val="Hyperlink"/>
                <w:rFonts w:ascii="Arial" w:hAnsi="Arial" w:cs="Arial"/>
                <w:lang w:val="mk-MK"/>
              </w:rPr>
              <w:t>Вовед</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_Toc8639859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w:t>
            </w:r>
            <w:r w:rsidR="00CE334A" w:rsidRPr="0038361F">
              <w:rPr>
                <w:rFonts w:ascii="Arial" w:hAnsi="Arial" w:cs="Arial"/>
                <w:webHidden/>
                <w:lang w:val="mk-MK"/>
              </w:rPr>
              <w:fldChar w:fldCharType="end"/>
            </w:r>
          </w:hyperlink>
        </w:p>
        <w:p w:rsidR="00CE334A" w:rsidRPr="0038361F" w:rsidRDefault="00C8048F">
          <w:pPr>
            <w:pStyle w:val="TOC1"/>
            <w:tabs>
              <w:tab w:val="left" w:pos="440"/>
              <w:tab w:val="right" w:leader="dot" w:pos="9017"/>
            </w:tabs>
            <w:rPr>
              <w:rFonts w:ascii="Arial" w:eastAsiaTheme="minorEastAsia" w:hAnsi="Arial" w:cs="Arial"/>
              <w:lang w:val="mk-MK"/>
            </w:rPr>
          </w:pPr>
          <w:hyperlink w:anchor="_Toc8639860" w:history="1">
            <w:r w:rsidR="00CE334A" w:rsidRPr="0038361F">
              <w:rPr>
                <w:rStyle w:val="Hyperlink"/>
                <w:rFonts w:ascii="Arial" w:hAnsi="Arial" w:cs="Arial"/>
                <w:lang w:val="mk-MK"/>
              </w:rPr>
              <w:t>2.</w:t>
            </w:r>
            <w:r w:rsidR="00CE334A" w:rsidRPr="0038361F">
              <w:rPr>
                <w:rFonts w:ascii="Arial" w:eastAsiaTheme="minorEastAsia" w:hAnsi="Arial" w:cs="Arial"/>
                <w:lang w:val="mk-MK"/>
              </w:rPr>
              <w:tab/>
            </w:r>
            <w:r w:rsidR="00CE334A" w:rsidRPr="0038361F">
              <w:rPr>
                <w:rStyle w:val="Hyperlink"/>
                <w:rFonts w:ascii="Arial" w:hAnsi="Arial" w:cs="Arial"/>
                <w:lang w:val="mk-MK"/>
              </w:rPr>
              <w:t>Промена во општите услови од значење за спроведување на ИПАРД</w:t>
            </w:r>
            <w:r w:rsidR="002B2470">
              <w:rPr>
                <w:rStyle w:val="Hyperlink"/>
                <w:rFonts w:ascii="Arial" w:hAnsi="Arial" w:cs="Arial"/>
                <w:lang w:val="mk-MK"/>
              </w:rPr>
              <w:t xml:space="preserve"> </w:t>
            </w:r>
            <w:r w:rsidR="00CE334A" w:rsidRPr="0038361F">
              <w:rPr>
                <w:rStyle w:val="Hyperlink"/>
                <w:rFonts w:ascii="Arial" w:hAnsi="Arial" w:cs="Arial"/>
                <w:lang w:val="mk-MK"/>
              </w:rPr>
              <w:t>Програмата 2014-2020</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_Toc8639860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4</w:t>
            </w:r>
            <w:r w:rsidR="00CE334A" w:rsidRPr="0038361F">
              <w:rPr>
                <w:rFonts w:ascii="Arial" w:hAnsi="Arial" w:cs="Arial"/>
                <w:webHidden/>
                <w:lang w:val="mk-MK"/>
              </w:rPr>
              <w:fldChar w:fldCharType="end"/>
            </w:r>
          </w:hyperlink>
        </w:p>
        <w:p w:rsidR="00CE334A" w:rsidRPr="0038361F" w:rsidRDefault="00C8048F">
          <w:pPr>
            <w:pStyle w:val="TOC2"/>
            <w:tabs>
              <w:tab w:val="right" w:leader="dot" w:pos="9017"/>
            </w:tabs>
            <w:rPr>
              <w:rFonts w:ascii="Arial" w:eastAsiaTheme="minorEastAsia" w:hAnsi="Arial" w:cs="Arial"/>
              <w:lang w:val="mk-MK"/>
            </w:rPr>
          </w:pPr>
          <w:hyperlink w:anchor="_Toc8639861" w:history="1">
            <w:r w:rsidR="00CE334A" w:rsidRPr="0038361F">
              <w:rPr>
                <w:rStyle w:val="Hyperlink"/>
                <w:rFonts w:ascii="Arial" w:hAnsi="Arial" w:cs="Arial"/>
                <w:lang w:val="mk-MK"/>
              </w:rPr>
              <w:t>2.1. Политичка и институционална рамка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_Toc8639861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4</w:t>
            </w:r>
            <w:r w:rsidR="00CE334A" w:rsidRPr="0038361F">
              <w:rPr>
                <w:rFonts w:ascii="Arial" w:hAnsi="Arial" w:cs="Arial"/>
                <w:webHidden/>
                <w:lang w:val="mk-MK"/>
              </w:rPr>
              <w:fldChar w:fldCharType="end"/>
            </w:r>
          </w:hyperlink>
        </w:p>
        <w:p w:rsidR="00CE334A" w:rsidRPr="0038361F" w:rsidRDefault="00C8048F">
          <w:pPr>
            <w:pStyle w:val="TOC2"/>
            <w:tabs>
              <w:tab w:val="right" w:leader="dot" w:pos="9017"/>
            </w:tabs>
            <w:rPr>
              <w:rFonts w:ascii="Arial" w:eastAsiaTheme="minorEastAsia" w:hAnsi="Arial" w:cs="Arial"/>
              <w:lang w:val="mk-MK"/>
            </w:rPr>
          </w:pPr>
          <w:hyperlink w:anchor="_Toc8639862" w:history="1">
            <w:r w:rsidR="00CE334A" w:rsidRPr="0038361F">
              <w:rPr>
                <w:rStyle w:val="Hyperlink"/>
                <w:rFonts w:ascii="Arial" w:hAnsi="Arial" w:cs="Arial"/>
                <w:lang w:val="mk-MK"/>
              </w:rPr>
              <w:t>2.2 Макроекономска состојба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_Toc8639862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4</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3" w:history="1">
            <w:r w:rsidR="00CE334A" w:rsidRPr="0038361F">
              <w:rPr>
                <w:rStyle w:val="Hyperlink"/>
                <w:rFonts w:ascii="Arial" w:hAnsi="Arial" w:cs="Arial"/>
                <w:lang w:val="mk-MK"/>
              </w:rPr>
              <w:t>2.3</w:t>
            </w:r>
            <w:r w:rsidR="00CE334A" w:rsidRPr="0038361F">
              <w:rPr>
                <w:rFonts w:ascii="Arial" w:eastAsiaTheme="minorEastAsia" w:hAnsi="Arial" w:cs="Arial"/>
                <w:lang w:val="mk-MK"/>
              </w:rPr>
              <w:tab/>
            </w:r>
            <w:r w:rsidR="00CE334A" w:rsidRPr="0038361F">
              <w:rPr>
                <w:rStyle w:val="Hyperlink"/>
                <w:rFonts w:ascii="Arial" w:hAnsi="Arial" w:cs="Arial"/>
                <w:lang w:val="mk-MK"/>
              </w:rPr>
              <w:t>Демографска состојба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_Toc8639863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5</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4" w:history="1">
            <w:r w:rsidR="00CE334A" w:rsidRPr="0038361F">
              <w:rPr>
                <w:rStyle w:val="Hyperlink"/>
                <w:rFonts w:ascii="Arial" w:hAnsi="Arial" w:cs="Arial"/>
                <w:lang w:val="mk-MK"/>
              </w:rPr>
              <w:t>2.4</w:t>
            </w:r>
            <w:r w:rsidR="00CE334A" w:rsidRPr="0038361F">
              <w:rPr>
                <w:rFonts w:ascii="Arial" w:eastAsiaTheme="minorEastAsia" w:hAnsi="Arial" w:cs="Arial"/>
                <w:lang w:val="mk-MK"/>
              </w:rPr>
              <w:tab/>
            </w:r>
            <w:r w:rsidR="00CE334A" w:rsidRPr="0038361F">
              <w:rPr>
                <w:rStyle w:val="Hyperlink"/>
                <w:rFonts w:ascii="Arial" w:hAnsi="Arial" w:cs="Arial"/>
                <w:lang w:val="mk-MK"/>
              </w:rPr>
              <w:t>Земјоделско производство и економија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_Toc8639864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6</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5" w:history="1">
            <w:r w:rsidR="00CE334A" w:rsidRPr="0038361F">
              <w:rPr>
                <w:rStyle w:val="Hyperlink"/>
                <w:rFonts w:ascii="Arial" w:hAnsi="Arial" w:cs="Arial"/>
                <w:lang w:val="mk-MK"/>
              </w:rPr>
              <w:t>2.5</w:t>
            </w:r>
            <w:r w:rsidR="00CE334A" w:rsidRPr="0038361F">
              <w:rPr>
                <w:rFonts w:ascii="Arial" w:eastAsiaTheme="minorEastAsia" w:hAnsi="Arial" w:cs="Arial"/>
                <w:lang w:val="mk-MK"/>
              </w:rPr>
              <w:tab/>
            </w:r>
            <w:r w:rsidR="00CE334A" w:rsidRPr="0038361F">
              <w:rPr>
                <w:rStyle w:val="Hyperlink"/>
                <w:rFonts w:ascii="Arial" w:hAnsi="Arial" w:cs="Arial"/>
                <w:lang w:val="mk-MK"/>
              </w:rPr>
              <w:t>Промени во националните и секторските политики</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_Toc8639865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10</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6" w:history="1">
            <w:r w:rsidR="00CE334A" w:rsidRPr="0038361F">
              <w:rPr>
                <w:rStyle w:val="Hyperlink"/>
                <w:rFonts w:ascii="Arial" w:hAnsi="Arial" w:cs="Arial"/>
                <w:lang w:val="mk-MK"/>
              </w:rPr>
              <w:t>2.6</w:t>
            </w:r>
            <w:r w:rsidR="00CE334A" w:rsidRPr="0038361F">
              <w:rPr>
                <w:rFonts w:ascii="Arial" w:eastAsiaTheme="minorEastAsia" w:hAnsi="Arial" w:cs="Arial"/>
                <w:lang w:val="mk-MK"/>
              </w:rPr>
              <w:tab/>
            </w:r>
            <w:r w:rsidR="00CE334A" w:rsidRPr="0038361F">
              <w:rPr>
                <w:rStyle w:val="Hyperlink"/>
                <w:rFonts w:ascii="Arial" w:hAnsi="Arial" w:cs="Arial"/>
                <w:lang w:val="mk-MK"/>
              </w:rPr>
              <w:t>Национална шема за поддршка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_Toc8639866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11</w:t>
            </w:r>
            <w:r w:rsidR="00CE334A" w:rsidRPr="0038361F">
              <w:rPr>
                <w:rFonts w:ascii="Arial" w:hAnsi="Arial" w:cs="Arial"/>
                <w:webHidden/>
                <w:lang w:val="mk-MK"/>
              </w:rPr>
              <w:fldChar w:fldCharType="end"/>
            </w:r>
          </w:hyperlink>
        </w:p>
        <w:p w:rsidR="00CE334A" w:rsidRPr="0038361F" w:rsidRDefault="00C8048F">
          <w:pPr>
            <w:pStyle w:val="TOC1"/>
            <w:tabs>
              <w:tab w:val="left" w:pos="440"/>
              <w:tab w:val="right" w:leader="dot" w:pos="9017"/>
            </w:tabs>
            <w:rPr>
              <w:rFonts w:ascii="Arial" w:eastAsiaTheme="minorEastAsia" w:hAnsi="Arial" w:cs="Arial"/>
              <w:lang w:val="mk-MK"/>
            </w:rPr>
          </w:pPr>
          <w:hyperlink w:anchor="_Toc8639867" w:history="1">
            <w:r w:rsidR="00CE334A" w:rsidRPr="0038361F">
              <w:rPr>
                <w:rStyle w:val="Hyperlink"/>
                <w:rFonts w:ascii="Arial" w:hAnsi="Arial" w:cs="Arial"/>
                <w:lang w:val="mk-MK"/>
              </w:rPr>
              <w:t>3.</w:t>
            </w:r>
            <w:r w:rsidR="00CE334A" w:rsidRPr="0038361F">
              <w:rPr>
                <w:rFonts w:ascii="Arial" w:eastAsiaTheme="minorEastAsia" w:hAnsi="Arial" w:cs="Arial"/>
                <w:lang w:val="mk-MK"/>
              </w:rPr>
              <w:tab/>
            </w:r>
            <w:r w:rsidR="00CE334A" w:rsidRPr="0038361F">
              <w:rPr>
                <w:rStyle w:val="Hyperlink"/>
                <w:rFonts w:ascii="Arial" w:hAnsi="Arial" w:cs="Arial"/>
                <w:lang w:val="mk-MK"/>
              </w:rPr>
              <w:t>Оцена на напредокот во спроведувањето на целите, приоритетите, мерките и групите на инвестиции</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_Toc8639867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8" w:history="1">
            <w:r w:rsidR="00CE334A" w:rsidRPr="0038361F">
              <w:rPr>
                <w:rStyle w:val="Hyperlink"/>
                <w:rFonts w:ascii="Arial" w:hAnsi="Arial" w:cs="Arial"/>
                <w:lang w:val="mk-MK" w:eastAsia="en-GB"/>
              </w:rPr>
              <w:t>3.1</w:t>
            </w:r>
            <w:r w:rsidR="00CE334A" w:rsidRPr="0038361F">
              <w:rPr>
                <w:rFonts w:ascii="Arial" w:eastAsiaTheme="minorEastAsia" w:hAnsi="Arial" w:cs="Arial"/>
                <w:lang w:val="mk-MK"/>
              </w:rPr>
              <w:tab/>
            </w:r>
            <w:r w:rsidR="00CE334A" w:rsidRPr="0038361F">
              <w:rPr>
                <w:rStyle w:val="Hyperlink"/>
                <w:rFonts w:ascii="Arial" w:hAnsi="Arial" w:cs="Arial"/>
                <w:lang w:val="mk-MK"/>
              </w:rPr>
              <w:t>Краток преглед на стратешката рамка на ИПАРД Програмата 2014-2020</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_Toc8639868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69" w:history="1">
            <w:r w:rsidR="00CE334A" w:rsidRPr="0038361F">
              <w:rPr>
                <w:rStyle w:val="Hyperlink"/>
                <w:rFonts w:ascii="Arial" w:hAnsi="Arial" w:cs="Arial"/>
                <w:lang w:val="mk-MK"/>
              </w:rPr>
              <w:t>3.2</w:t>
            </w:r>
            <w:r w:rsidR="00CE334A" w:rsidRPr="0038361F">
              <w:rPr>
                <w:rFonts w:ascii="Arial" w:eastAsiaTheme="minorEastAsia" w:hAnsi="Arial" w:cs="Arial"/>
                <w:lang w:val="mk-MK"/>
              </w:rPr>
              <w:tab/>
            </w:r>
            <w:r w:rsidR="00CE334A" w:rsidRPr="0038361F">
              <w:rPr>
                <w:rStyle w:val="Hyperlink"/>
                <w:rFonts w:ascii="Arial" w:hAnsi="Arial" w:cs="Arial"/>
                <w:lang w:val="mk-MK"/>
              </w:rPr>
              <w:t>Анализа на напредокот во спроведувањето по мерки</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_Toc8639869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0" w:history="1">
            <w:r w:rsidR="00CE334A" w:rsidRPr="0038361F">
              <w:rPr>
                <w:rStyle w:val="Hyperlink"/>
                <w:rFonts w:ascii="Arial" w:hAnsi="Arial" w:cs="Arial"/>
                <w:lang w:val="mk-MK"/>
              </w:rPr>
              <w:t>3.3</w:t>
            </w:r>
            <w:r w:rsidR="00CE334A" w:rsidRPr="0038361F">
              <w:rPr>
                <w:rFonts w:ascii="Arial" w:eastAsiaTheme="minorEastAsia" w:hAnsi="Arial" w:cs="Arial"/>
                <w:lang w:val="mk-MK"/>
              </w:rPr>
              <w:tab/>
            </w:r>
            <w:r w:rsidR="00CE334A" w:rsidRPr="0038361F">
              <w:rPr>
                <w:rStyle w:val="Hyperlink"/>
                <w:rFonts w:ascii="Arial" w:hAnsi="Arial" w:cs="Arial"/>
                <w:lang w:val="mk-MK"/>
              </w:rPr>
              <w:t>Мерка 1 – Инвестиции во физички средства на земјоделски стопанства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_Toc8639870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13</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1" w:history="1">
            <w:r w:rsidR="00CE334A" w:rsidRPr="0038361F">
              <w:rPr>
                <w:rStyle w:val="Hyperlink"/>
                <w:rFonts w:ascii="Arial" w:hAnsi="Arial" w:cs="Arial"/>
                <w:lang w:val="mk-MK"/>
              </w:rPr>
              <w:t>3.4</w:t>
            </w:r>
            <w:r w:rsidR="00CE334A" w:rsidRPr="0038361F">
              <w:rPr>
                <w:rFonts w:ascii="Arial" w:eastAsiaTheme="minorEastAsia" w:hAnsi="Arial" w:cs="Arial"/>
                <w:lang w:val="mk-MK"/>
              </w:rPr>
              <w:tab/>
            </w:r>
            <w:r w:rsidR="00CE334A" w:rsidRPr="0038361F">
              <w:rPr>
                <w:rStyle w:val="Hyperlink"/>
                <w:rFonts w:ascii="Arial" w:hAnsi="Arial" w:cs="Arial"/>
                <w:lang w:val="mk-MK"/>
              </w:rPr>
              <w:t>Мерка 3 - Инвестиции во физички средства за преработка и маркетинг на земјоделски и рибни производи</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_Toc8639871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16</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2" w:history="1">
            <w:r w:rsidR="00CE334A" w:rsidRPr="0038361F">
              <w:rPr>
                <w:rStyle w:val="Hyperlink"/>
                <w:rFonts w:ascii="Arial" w:hAnsi="Arial" w:cs="Arial"/>
                <w:lang w:val="mk-MK"/>
              </w:rPr>
              <w:t>3.5</w:t>
            </w:r>
            <w:r w:rsidR="00CE334A" w:rsidRPr="0038361F">
              <w:rPr>
                <w:rFonts w:ascii="Arial" w:eastAsiaTheme="minorEastAsia" w:hAnsi="Arial" w:cs="Arial"/>
                <w:lang w:val="mk-MK"/>
              </w:rPr>
              <w:tab/>
            </w:r>
            <w:r w:rsidR="00CE334A" w:rsidRPr="0038361F">
              <w:rPr>
                <w:rStyle w:val="Hyperlink"/>
                <w:rFonts w:ascii="Arial" w:hAnsi="Arial" w:cs="Arial"/>
                <w:lang w:val="mk-MK"/>
              </w:rPr>
              <w:t>Мерка 7 – Диверзификација на фарм</w:t>
            </w:r>
            <w:r w:rsidR="00AD5130">
              <w:rPr>
                <w:rStyle w:val="Hyperlink"/>
                <w:rFonts w:ascii="Arial" w:hAnsi="Arial" w:cs="Arial"/>
                <w:lang w:val="mk-MK"/>
              </w:rPr>
              <w:t>и</w:t>
            </w:r>
            <w:r w:rsidR="00CE334A" w:rsidRPr="0038361F">
              <w:rPr>
                <w:rStyle w:val="Hyperlink"/>
                <w:rFonts w:ascii="Arial" w:hAnsi="Arial" w:cs="Arial"/>
                <w:lang w:val="mk-MK"/>
              </w:rPr>
              <w:t xml:space="preserve"> и развој на бизниси</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_Toc8639872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18</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3" w:history="1">
            <w:r w:rsidR="00CE334A" w:rsidRPr="0038361F">
              <w:rPr>
                <w:rStyle w:val="Hyperlink"/>
                <w:rFonts w:ascii="Arial" w:hAnsi="Arial" w:cs="Arial"/>
                <w:lang w:val="mk-MK"/>
              </w:rPr>
              <w:t>3.6</w:t>
            </w:r>
            <w:r w:rsidR="00CE334A" w:rsidRPr="0038361F">
              <w:rPr>
                <w:rFonts w:ascii="Arial" w:eastAsiaTheme="minorEastAsia" w:hAnsi="Arial" w:cs="Arial"/>
                <w:lang w:val="mk-MK"/>
              </w:rPr>
              <w:tab/>
            </w:r>
            <w:r w:rsidR="00CE334A" w:rsidRPr="0038361F">
              <w:rPr>
                <w:rStyle w:val="Hyperlink"/>
                <w:rFonts w:ascii="Arial" w:hAnsi="Arial" w:cs="Arial"/>
                <w:lang w:val="mk-MK"/>
              </w:rPr>
              <w:t>Географска анализа на спроведувањето на ИПАРД Програмата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_Toc8639873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20</w:t>
            </w:r>
            <w:r w:rsidR="00CE334A" w:rsidRPr="0038361F">
              <w:rPr>
                <w:rFonts w:ascii="Arial" w:hAnsi="Arial" w:cs="Arial"/>
                <w:webHidden/>
                <w:lang w:val="mk-MK"/>
              </w:rPr>
              <w:fldChar w:fldCharType="end"/>
            </w:r>
          </w:hyperlink>
        </w:p>
        <w:p w:rsidR="00CE334A" w:rsidRPr="0038361F" w:rsidRDefault="00C8048F">
          <w:pPr>
            <w:pStyle w:val="TOC1"/>
            <w:tabs>
              <w:tab w:val="left" w:pos="440"/>
              <w:tab w:val="right" w:leader="dot" w:pos="9017"/>
            </w:tabs>
            <w:rPr>
              <w:rFonts w:ascii="Arial" w:eastAsiaTheme="minorEastAsia" w:hAnsi="Arial" w:cs="Arial"/>
              <w:lang w:val="mk-MK"/>
            </w:rPr>
          </w:pPr>
          <w:hyperlink w:anchor="_Toc8639874" w:history="1">
            <w:r w:rsidR="00CE334A" w:rsidRPr="0038361F">
              <w:rPr>
                <w:rStyle w:val="Hyperlink"/>
                <w:rFonts w:ascii="Arial" w:hAnsi="Arial" w:cs="Arial"/>
                <w:lang w:val="mk-MK"/>
              </w:rPr>
              <w:t>4.</w:t>
            </w:r>
            <w:r w:rsidR="00CE334A" w:rsidRPr="0038361F">
              <w:rPr>
                <w:rFonts w:ascii="Arial" w:eastAsiaTheme="minorEastAsia" w:hAnsi="Arial" w:cs="Arial"/>
                <w:lang w:val="mk-MK"/>
              </w:rPr>
              <w:tab/>
            </w:r>
            <w:r w:rsidR="00CE334A" w:rsidRPr="0038361F">
              <w:rPr>
                <w:rStyle w:val="Hyperlink"/>
                <w:rFonts w:ascii="Arial" w:hAnsi="Arial" w:cs="Arial"/>
                <w:lang w:val="mk-MK"/>
              </w:rPr>
              <w:t>Преземени активности за подобрување на квалитетот и ефикасноста на имплементацијата на ИПАРД</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_Toc8639874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22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6" w:history="1">
            <w:r w:rsidR="00CE334A" w:rsidRPr="0038361F">
              <w:rPr>
                <w:rStyle w:val="Hyperlink"/>
                <w:rFonts w:ascii="Arial" w:hAnsi="Arial" w:cs="Arial"/>
                <w:lang w:val="mk-MK"/>
              </w:rPr>
              <w:t>4.1</w:t>
            </w:r>
            <w:r w:rsidR="00CE334A" w:rsidRPr="0038361F">
              <w:rPr>
                <w:rFonts w:ascii="Arial" w:eastAsiaTheme="minorEastAsia" w:hAnsi="Arial" w:cs="Arial"/>
                <w:lang w:val="mk-MK"/>
              </w:rPr>
              <w:tab/>
            </w:r>
            <w:r w:rsidR="00CE334A" w:rsidRPr="0038361F">
              <w:rPr>
                <w:rStyle w:val="Hyperlink"/>
                <w:rFonts w:ascii="Arial" w:hAnsi="Arial" w:cs="Arial"/>
                <w:lang w:val="mk-MK"/>
              </w:rPr>
              <w:t>Активности преземени од страна на Телото за управување со ИПАРД</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_Toc8639876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22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7" w:history="1">
            <w:r w:rsidR="00CE334A" w:rsidRPr="0038361F">
              <w:rPr>
                <w:rStyle w:val="Hyperlink"/>
                <w:rFonts w:ascii="Arial" w:hAnsi="Arial" w:cs="Arial"/>
                <w:lang w:val="mk-MK"/>
              </w:rPr>
              <w:t>4.2</w:t>
            </w:r>
            <w:r w:rsidR="00CE334A" w:rsidRPr="0038361F">
              <w:rPr>
                <w:rFonts w:ascii="Arial" w:eastAsiaTheme="minorEastAsia" w:hAnsi="Arial" w:cs="Arial"/>
                <w:lang w:val="mk-MK"/>
              </w:rPr>
              <w:tab/>
            </w:r>
            <w:r w:rsidR="00CE334A" w:rsidRPr="0038361F">
              <w:rPr>
                <w:rStyle w:val="Hyperlink"/>
                <w:rFonts w:ascii="Arial" w:hAnsi="Arial" w:cs="Arial"/>
                <w:lang w:val="mk-MK"/>
              </w:rPr>
              <w:t>Преземени активности од НАО и НФ</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_Toc8639877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23</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8" w:history="1">
            <w:r w:rsidR="00CE334A" w:rsidRPr="0038361F">
              <w:rPr>
                <w:rStyle w:val="Hyperlink"/>
                <w:rFonts w:ascii="Arial" w:hAnsi="Arial" w:cs="Arial"/>
                <w:lang w:val="mk-MK"/>
              </w:rPr>
              <w:t>4.3</w:t>
            </w:r>
            <w:r w:rsidR="00CE334A" w:rsidRPr="0038361F">
              <w:rPr>
                <w:rFonts w:ascii="Arial" w:eastAsiaTheme="minorEastAsia" w:hAnsi="Arial" w:cs="Arial"/>
                <w:lang w:val="mk-MK"/>
              </w:rPr>
              <w:tab/>
            </w:r>
            <w:r w:rsidR="00CE334A" w:rsidRPr="0038361F">
              <w:rPr>
                <w:rStyle w:val="Hyperlink"/>
                <w:rFonts w:ascii="Arial" w:hAnsi="Arial" w:cs="Arial"/>
                <w:lang w:val="mk-MK"/>
              </w:rPr>
              <w:t>Преземени активности на ИПАРД Агенција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_Toc8639878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29</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79" w:history="1">
            <w:r w:rsidR="00CE334A" w:rsidRPr="0038361F">
              <w:rPr>
                <w:rStyle w:val="Hyperlink"/>
                <w:rFonts w:ascii="Arial" w:hAnsi="Arial" w:cs="Arial"/>
                <w:lang w:val="mk-MK"/>
              </w:rPr>
              <w:t>4.4</w:t>
            </w:r>
            <w:r w:rsidR="00CE334A" w:rsidRPr="0038361F">
              <w:rPr>
                <w:rFonts w:ascii="Arial" w:eastAsiaTheme="minorEastAsia" w:hAnsi="Arial" w:cs="Arial"/>
                <w:lang w:val="mk-MK"/>
              </w:rPr>
              <w:tab/>
            </w:r>
            <w:r w:rsidR="00CE334A" w:rsidRPr="0038361F">
              <w:rPr>
                <w:rStyle w:val="Hyperlink"/>
                <w:rFonts w:ascii="Arial" w:hAnsi="Arial" w:cs="Arial"/>
                <w:lang w:val="mk-MK"/>
              </w:rPr>
              <w:t>Извештај за работа на Комитетот за следење на ИПАРД</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_Toc8639879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80" w:history="1">
            <w:r w:rsidR="00CE334A" w:rsidRPr="0038361F">
              <w:rPr>
                <w:rStyle w:val="Hyperlink"/>
                <w:rFonts w:ascii="Arial" w:hAnsi="Arial" w:cs="Arial"/>
                <w:lang w:val="mk-MK"/>
              </w:rPr>
              <w:t>4.5</w:t>
            </w:r>
            <w:r w:rsidR="00CE334A" w:rsidRPr="0038361F">
              <w:rPr>
                <w:rFonts w:ascii="Arial" w:eastAsiaTheme="minorEastAsia" w:hAnsi="Arial" w:cs="Arial"/>
                <w:lang w:val="mk-MK"/>
              </w:rPr>
              <w:tab/>
            </w:r>
            <w:r w:rsidR="00CE334A" w:rsidRPr="0038361F">
              <w:rPr>
                <w:rStyle w:val="Hyperlink"/>
                <w:rFonts w:ascii="Arial" w:hAnsi="Arial" w:cs="Arial"/>
                <w:lang w:val="mk-MK"/>
              </w:rPr>
              <w:t>Евалуација на ИПАРД програмата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_Toc8639880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32</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81" w:history="1">
            <w:r w:rsidR="00CE334A" w:rsidRPr="0038361F">
              <w:rPr>
                <w:rStyle w:val="Hyperlink"/>
                <w:rFonts w:ascii="Arial" w:hAnsi="Arial" w:cs="Arial"/>
                <w:lang w:val="mk-MK"/>
              </w:rPr>
              <w:t>4.6</w:t>
            </w:r>
            <w:r w:rsidR="00CE334A" w:rsidRPr="0038361F">
              <w:rPr>
                <w:rFonts w:ascii="Arial" w:eastAsiaTheme="minorEastAsia" w:hAnsi="Arial" w:cs="Arial"/>
                <w:lang w:val="mk-MK"/>
              </w:rPr>
              <w:tab/>
            </w:r>
            <w:r w:rsidR="00CE334A" w:rsidRPr="0038361F">
              <w:rPr>
                <w:rStyle w:val="Hyperlink"/>
                <w:rFonts w:ascii="Arial" w:hAnsi="Arial" w:cs="Arial"/>
                <w:lang w:val="mk-MK"/>
              </w:rPr>
              <w:t>Користење на Техничка Помош</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_Toc8639881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34</w:t>
            </w:r>
            <w:r w:rsidR="00CE334A" w:rsidRPr="0038361F">
              <w:rPr>
                <w:rFonts w:ascii="Arial" w:hAnsi="Arial" w:cs="Arial"/>
                <w:webHidden/>
                <w:lang w:val="mk-MK"/>
              </w:rPr>
              <w:fldChar w:fldCharType="end"/>
            </w:r>
          </w:hyperlink>
        </w:p>
        <w:p w:rsidR="00CE334A" w:rsidRPr="0038361F" w:rsidRDefault="00C8048F">
          <w:pPr>
            <w:pStyle w:val="TOC2"/>
            <w:tabs>
              <w:tab w:val="left" w:pos="880"/>
              <w:tab w:val="right" w:leader="dot" w:pos="9017"/>
            </w:tabs>
            <w:rPr>
              <w:rFonts w:ascii="Arial" w:eastAsiaTheme="minorEastAsia" w:hAnsi="Arial" w:cs="Arial"/>
              <w:lang w:val="mk-MK"/>
            </w:rPr>
          </w:pPr>
          <w:hyperlink w:anchor="_Toc8639882" w:history="1">
            <w:r w:rsidR="00CE334A" w:rsidRPr="0038361F">
              <w:rPr>
                <w:rStyle w:val="Hyperlink"/>
                <w:rFonts w:ascii="Arial" w:hAnsi="Arial" w:cs="Arial"/>
                <w:lang w:val="mk-MK"/>
              </w:rPr>
              <w:t>4.7</w:t>
            </w:r>
            <w:r w:rsidR="00CE334A" w:rsidRPr="0038361F">
              <w:rPr>
                <w:rFonts w:ascii="Arial" w:eastAsiaTheme="minorEastAsia" w:hAnsi="Arial" w:cs="Arial"/>
                <w:lang w:val="mk-MK"/>
              </w:rPr>
              <w:tab/>
            </w:r>
            <w:r w:rsidR="00CE334A" w:rsidRPr="0038361F">
              <w:rPr>
                <w:rStyle w:val="Hyperlink"/>
                <w:rFonts w:ascii="Arial" w:hAnsi="Arial" w:cs="Arial"/>
                <w:lang w:val="mk-MK"/>
              </w:rPr>
              <w:t>Спроведување на планот за комуникација и публицитет</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_Toc8639882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34</w:t>
            </w:r>
            <w:r w:rsidR="00CE334A" w:rsidRPr="0038361F">
              <w:rPr>
                <w:rFonts w:ascii="Arial" w:hAnsi="Arial" w:cs="Arial"/>
                <w:webHidden/>
                <w:lang w:val="mk-MK"/>
              </w:rPr>
              <w:fldChar w:fldCharType="end"/>
            </w:r>
          </w:hyperlink>
        </w:p>
        <w:p w:rsidR="00CE334A" w:rsidRPr="0038361F" w:rsidRDefault="00C8048F">
          <w:pPr>
            <w:pStyle w:val="TOC1"/>
            <w:tabs>
              <w:tab w:val="left" w:pos="440"/>
              <w:tab w:val="right" w:leader="dot" w:pos="9017"/>
            </w:tabs>
            <w:rPr>
              <w:rFonts w:ascii="Arial" w:eastAsiaTheme="minorEastAsia" w:hAnsi="Arial" w:cs="Arial"/>
              <w:lang w:val="mk-MK"/>
            </w:rPr>
          </w:pPr>
          <w:hyperlink w:anchor="_Toc8639883" w:history="1">
            <w:r w:rsidR="00CE334A" w:rsidRPr="0038361F">
              <w:rPr>
                <w:rStyle w:val="Hyperlink"/>
                <w:rFonts w:ascii="Arial" w:hAnsi="Arial" w:cs="Arial"/>
                <w:lang w:val="mk-MK"/>
              </w:rPr>
              <w:t>5.</w:t>
            </w:r>
            <w:r w:rsidR="00CE334A" w:rsidRPr="0038361F">
              <w:rPr>
                <w:rFonts w:ascii="Arial" w:eastAsiaTheme="minorEastAsia" w:hAnsi="Arial" w:cs="Arial"/>
                <w:lang w:val="mk-MK"/>
              </w:rPr>
              <w:tab/>
            </w:r>
            <w:r w:rsidR="00CE334A" w:rsidRPr="0038361F">
              <w:rPr>
                <w:rStyle w:val="Hyperlink"/>
                <w:rFonts w:ascii="Arial" w:hAnsi="Arial" w:cs="Arial"/>
                <w:lang w:val="mk-MK"/>
              </w:rPr>
              <w:t>Координација на ИПАРД фондовите со националните фондови, други ИПА компоненти, меѓународни финансиски институции и донато</w:t>
            </w:r>
            <w:r w:rsidR="002B2470" w:rsidRPr="0038361F">
              <w:rPr>
                <w:rStyle w:val="Hyperlink"/>
                <w:rFonts w:ascii="Arial" w:hAnsi="Arial" w:cs="Arial"/>
                <w:lang w:val="mk-MK"/>
              </w:rPr>
              <w:t>р</w:t>
            </w:r>
            <w:r w:rsidR="00CE334A" w:rsidRPr="0038361F">
              <w:rPr>
                <w:rStyle w:val="Hyperlink"/>
                <w:rFonts w:ascii="Arial" w:hAnsi="Arial" w:cs="Arial"/>
                <w:lang w:val="mk-MK"/>
              </w:rPr>
              <w:t>ска поддршка</w:t>
            </w:r>
            <w:r w:rsidR="00CE334A" w:rsidRPr="0038361F">
              <w:rPr>
                <w:rFonts w:ascii="Arial" w:hAnsi="Arial" w:cs="Arial"/>
                <w:webHidden/>
                <w:lang w:val="mk-MK"/>
              </w:rPr>
              <w:tab/>
            </w:r>
            <w:r w:rsidR="00CE334A" w:rsidRPr="0038361F">
              <w:rPr>
                <w:rFonts w:ascii="Arial" w:hAnsi="Arial" w:cs="Arial"/>
                <w:webHidden/>
                <w:lang w:val="mk-MK"/>
              </w:rPr>
              <w:fldChar w:fldCharType="begin"/>
            </w:r>
            <w:r w:rsidR="00CE334A" w:rsidRPr="0038361F">
              <w:rPr>
                <w:rFonts w:ascii="Arial" w:hAnsi="Arial" w:cs="Arial"/>
                <w:webHidden/>
                <w:lang w:val="mk-MK"/>
              </w:rPr>
              <w:instrText xml:space="preserve"> PAGEREF _Toc8639883 \h </w:instrText>
            </w:r>
            <w:r w:rsidR="00CE334A" w:rsidRPr="0038361F">
              <w:rPr>
                <w:rFonts w:ascii="Arial" w:hAnsi="Arial" w:cs="Arial"/>
                <w:webHidden/>
                <w:lang w:val="mk-MK"/>
              </w:rPr>
            </w:r>
            <w:r w:rsidR="00CE334A" w:rsidRPr="0038361F">
              <w:rPr>
                <w:rFonts w:ascii="Arial" w:hAnsi="Arial" w:cs="Arial"/>
                <w:webHidden/>
                <w:lang w:val="mk-MK"/>
              </w:rPr>
              <w:fldChar w:fldCharType="separate"/>
            </w:r>
            <w:r w:rsidR="00CE334A" w:rsidRPr="0038361F">
              <w:rPr>
                <w:rFonts w:ascii="Arial" w:hAnsi="Arial" w:cs="Arial"/>
                <w:webHidden/>
                <w:lang w:val="mk-MK"/>
              </w:rPr>
              <w:t>37</w:t>
            </w:r>
            <w:r w:rsidR="00CE334A" w:rsidRPr="0038361F">
              <w:rPr>
                <w:rFonts w:ascii="Arial" w:hAnsi="Arial" w:cs="Arial"/>
                <w:webHidden/>
                <w:lang w:val="mk-MK"/>
              </w:rPr>
              <w:fldChar w:fldCharType="end"/>
            </w:r>
          </w:hyperlink>
        </w:p>
        <w:p w:rsidR="00410356" w:rsidRPr="0038361F" w:rsidRDefault="001C2124" w:rsidP="00410356">
          <w:pPr>
            <w:rPr>
              <w:rFonts w:ascii="Arial" w:hAnsi="Arial" w:cs="Arial"/>
              <w:b/>
              <w:bCs/>
              <w:lang w:val="mk-MK"/>
            </w:rPr>
          </w:pPr>
          <w:r w:rsidRPr="0038361F">
            <w:rPr>
              <w:rFonts w:ascii="Arial" w:hAnsi="Arial" w:cs="Arial"/>
              <w:bCs/>
              <w:lang w:val="mk-MK"/>
            </w:rPr>
            <w:fldChar w:fldCharType="end"/>
          </w:r>
        </w:p>
      </w:sdtContent>
    </w:sdt>
    <w:p w:rsidR="00CE334A" w:rsidRPr="0038361F" w:rsidRDefault="00CE334A">
      <w:pPr>
        <w:rPr>
          <w:rFonts w:ascii="Arial" w:hAnsi="Arial" w:cs="Arial"/>
          <w:sz w:val="24"/>
          <w:szCs w:val="24"/>
          <w:lang w:val="mk-MK"/>
        </w:rPr>
      </w:pPr>
      <w:r w:rsidRPr="0038361F">
        <w:rPr>
          <w:rFonts w:ascii="Arial" w:hAnsi="Arial" w:cs="Arial"/>
          <w:sz w:val="24"/>
          <w:szCs w:val="24"/>
          <w:lang w:val="mk-MK"/>
        </w:rPr>
        <w:br w:type="page"/>
      </w:r>
    </w:p>
    <w:p w:rsidR="00410356" w:rsidRPr="0038361F" w:rsidRDefault="00CE334A" w:rsidP="00410356">
      <w:pPr>
        <w:tabs>
          <w:tab w:val="right" w:leader="dot" w:pos="9350"/>
        </w:tabs>
        <w:spacing w:after="0"/>
        <w:rPr>
          <w:rFonts w:ascii="Arial" w:hAnsi="Arial" w:cs="Arial"/>
          <w:b/>
          <w:sz w:val="24"/>
          <w:szCs w:val="24"/>
          <w:lang w:val="mk-MK"/>
        </w:rPr>
      </w:pPr>
      <w:r w:rsidRPr="002B2470">
        <w:rPr>
          <w:rFonts w:ascii="Arial" w:hAnsi="Arial" w:cs="Arial"/>
          <w:b/>
          <w:sz w:val="24"/>
          <w:szCs w:val="24"/>
          <w:lang w:val="mk-MK"/>
        </w:rPr>
        <w:lastRenderedPageBreak/>
        <w:t>Листа на табели</w:t>
      </w:r>
      <w:r w:rsidR="00410356" w:rsidRPr="0038361F">
        <w:rPr>
          <w:rFonts w:ascii="Arial" w:hAnsi="Arial" w:cs="Arial"/>
          <w:b/>
          <w:sz w:val="24"/>
          <w:szCs w:val="24"/>
          <w:lang w:val="mk-MK"/>
        </w:rPr>
        <w:t>:</w:t>
      </w:r>
    </w:p>
    <w:p w:rsidR="001C65F7" w:rsidRPr="0038361F" w:rsidRDefault="001C2124">
      <w:pPr>
        <w:pStyle w:val="TableofFigures"/>
        <w:tabs>
          <w:tab w:val="right" w:leader="dot" w:pos="9017"/>
        </w:tabs>
        <w:rPr>
          <w:rFonts w:ascii="Arial" w:eastAsiaTheme="minorEastAsia" w:hAnsi="Arial" w:cs="Arial"/>
          <w:lang w:val="mk-MK"/>
        </w:rPr>
      </w:pPr>
      <w:r w:rsidRPr="0038361F">
        <w:rPr>
          <w:rFonts w:ascii="Arial" w:hAnsi="Arial" w:cs="Arial"/>
          <w:lang w:val="mk-MK"/>
        </w:rPr>
        <w:fldChar w:fldCharType="begin"/>
      </w:r>
      <w:r w:rsidR="00410356" w:rsidRPr="0038361F">
        <w:rPr>
          <w:rFonts w:ascii="Arial" w:hAnsi="Arial" w:cs="Arial"/>
          <w:lang w:val="mk-MK"/>
        </w:rPr>
        <w:instrText xml:space="preserve"> TOC \h \z \c "Table" </w:instrText>
      </w:r>
      <w:r w:rsidRPr="0038361F">
        <w:rPr>
          <w:rFonts w:ascii="Arial" w:hAnsi="Arial" w:cs="Arial"/>
          <w:lang w:val="mk-MK"/>
        </w:rPr>
        <w:fldChar w:fldCharType="separate"/>
      </w:r>
      <w:hyperlink w:anchor="_Toc8640191" w:history="1">
        <w:r w:rsidR="001C65F7" w:rsidRPr="0038361F">
          <w:rPr>
            <w:rStyle w:val="Hyperlink"/>
            <w:rFonts w:ascii="Arial" w:hAnsi="Arial" w:cs="Arial"/>
            <w:lang w:val="mk-MK"/>
          </w:rPr>
          <w:t>Табела 1:</w:t>
        </w:r>
        <w:r w:rsidR="002B2470">
          <w:rPr>
            <w:rStyle w:val="Hyperlink"/>
            <w:rFonts w:ascii="Arial" w:hAnsi="Arial" w:cs="Arial"/>
            <w:lang w:val="mk-MK"/>
          </w:rPr>
          <w:t xml:space="preserve"> </w:t>
        </w:r>
        <w:r w:rsidR="001C65F7" w:rsidRPr="0038361F">
          <w:rPr>
            <w:rStyle w:val="Hyperlink"/>
            <w:rFonts w:ascii="Arial" w:hAnsi="Arial" w:cs="Arial"/>
            <w:lang w:val="mk-MK"/>
          </w:rPr>
          <w:t>Главни макроекономски индикатори</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_Toc8640191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4</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2" w:history="1">
        <w:r w:rsidR="001C65F7" w:rsidRPr="0038361F">
          <w:rPr>
            <w:rStyle w:val="Hyperlink"/>
            <w:rFonts w:ascii="Arial" w:eastAsia="Times New Roman" w:hAnsi="Arial" w:cs="Arial"/>
            <w:lang w:val="mk-MK"/>
          </w:rPr>
          <w:t>Табела 2: Земјоделски површини по категории на употреба во 000 хектари</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_Toc8640192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6</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3" w:history="1">
        <w:r w:rsidR="001C65F7" w:rsidRPr="0038361F">
          <w:rPr>
            <w:rStyle w:val="Hyperlink"/>
            <w:rFonts w:ascii="Arial" w:eastAsia="Times New Roman" w:hAnsi="Arial" w:cs="Arial"/>
            <w:lang w:val="mk-MK"/>
          </w:rPr>
          <w:t>Табела 3: Просечна нето плата по вработен во €</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_Toc8640193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8</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4" w:history="1">
        <w:r w:rsidR="001C65F7" w:rsidRPr="0038361F">
          <w:rPr>
            <w:rStyle w:val="Hyperlink"/>
            <w:rFonts w:ascii="Arial" w:eastAsia="Times New Roman" w:hAnsi="Arial" w:cs="Arial"/>
            <w:lang w:val="mk-MK"/>
          </w:rPr>
          <w:t>Табела 4: Вработени во земјоделството, шумарството и рибарството</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_Toc8640194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8</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5" w:history="1">
        <w:r w:rsidR="001C65F7" w:rsidRPr="0038361F">
          <w:rPr>
            <w:rStyle w:val="Hyperlink"/>
            <w:rFonts w:ascii="Arial" w:eastAsia="Times New Roman" w:hAnsi="Arial" w:cs="Arial"/>
            <w:lang w:val="mk-MK"/>
          </w:rPr>
          <w:t>Табела 5: Вкупна трговија и трговија со земјоделски и рибни производи 2014-2018 (во милиони евра)</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_Toc8640195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8</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6" w:history="1">
        <w:r w:rsidR="001C65F7" w:rsidRPr="0038361F">
          <w:rPr>
            <w:rStyle w:val="Hyperlink"/>
            <w:rFonts w:ascii="Arial" w:eastAsia="Times New Roman" w:hAnsi="Arial" w:cs="Arial"/>
            <w:lang w:val="mk-MK"/>
          </w:rPr>
          <w:t>Табела 6: Износи на поддршка (во евра) од Програмата за директни плаќања</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_Toc8640196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11</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7" w:history="1">
        <w:r w:rsidR="001C65F7" w:rsidRPr="0038361F">
          <w:rPr>
            <w:rStyle w:val="Hyperlink"/>
            <w:rFonts w:ascii="Arial" w:eastAsia="Times New Roman" w:hAnsi="Arial" w:cs="Arial"/>
            <w:lang w:val="mk-MK"/>
          </w:rPr>
          <w:t>Табела 7: Износи на поддршка (во евра) од Програмата за рурален развој</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_Toc8640197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11</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8" w:history="1">
        <w:r w:rsidR="001C65F7" w:rsidRPr="0038361F">
          <w:rPr>
            <w:rStyle w:val="Hyperlink"/>
            <w:rFonts w:ascii="Arial" w:eastAsia="Times New Roman" w:hAnsi="Arial" w:cs="Arial"/>
            <w:lang w:val="mk-MK"/>
          </w:rPr>
          <w:t xml:space="preserve">Табела 8:Буџет на ЕУ придонес по мерки </w:t>
        </w:r>
        <w:r w:rsidR="001C65F7" w:rsidRPr="0038361F">
          <w:rPr>
            <w:rStyle w:val="Hyperlink"/>
            <w:rFonts w:ascii="Arial" w:hAnsi="Arial" w:cs="Arial"/>
            <w:lang w:val="mk-MK"/>
          </w:rPr>
          <w:t>2014-2020, во €</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_Toc8640198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12</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199" w:history="1">
        <w:r w:rsidR="001C65F7" w:rsidRPr="0038361F">
          <w:rPr>
            <w:rStyle w:val="Hyperlink"/>
            <w:rFonts w:ascii="Arial" w:eastAsia="Times New Roman" w:hAnsi="Arial" w:cs="Arial"/>
            <w:lang w:val="mk-MK"/>
          </w:rPr>
          <w:t>Табела 9:Преглед на спроведување на ИПАРД по јавни повици во €</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_Toc8640199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13</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0" w:history="1">
        <w:r w:rsidR="001C65F7" w:rsidRPr="0038361F">
          <w:rPr>
            <w:rStyle w:val="Hyperlink"/>
            <w:rFonts w:ascii="Arial" w:hAnsi="Arial" w:cs="Arial"/>
            <w:lang w:val="mk-MK"/>
          </w:rPr>
          <w:t>Табела</w:t>
        </w:r>
        <w:r w:rsidR="001C65F7" w:rsidRPr="0038361F">
          <w:rPr>
            <w:rStyle w:val="Hyperlink"/>
            <w:rFonts w:ascii="Arial" w:eastAsia="Times New Roman" w:hAnsi="Arial" w:cs="Arial"/>
            <w:lang w:val="mk-MK"/>
          </w:rPr>
          <w:t>10:Показатели за квалитетот на спроведување</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_Toc8640200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13</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1" w:history="1">
        <w:r w:rsidR="001C65F7" w:rsidRPr="0038361F">
          <w:rPr>
            <w:rStyle w:val="Hyperlink"/>
            <w:rFonts w:ascii="Arial" w:eastAsia="Times New Roman" w:hAnsi="Arial" w:cs="Arial"/>
            <w:lang w:val="mk-MK"/>
          </w:rPr>
          <w:t xml:space="preserve">Табела 11:Преглед на исполнувањето на целите по барања во Мерка </w:t>
        </w:r>
        <w:r w:rsidR="001C65F7" w:rsidRPr="0038361F">
          <w:rPr>
            <w:rStyle w:val="Hyperlink"/>
            <w:rFonts w:ascii="Arial" w:hAnsi="Arial" w:cs="Arial"/>
            <w:lang w:val="mk-MK"/>
          </w:rPr>
          <w:t>1</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_Toc8640201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13</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2" w:history="1">
        <w:r w:rsidR="001C65F7" w:rsidRPr="0038361F">
          <w:rPr>
            <w:rStyle w:val="Hyperlink"/>
            <w:rFonts w:ascii="Arial" w:hAnsi="Arial" w:cs="Arial"/>
            <w:lang w:val="mk-MK"/>
          </w:rPr>
          <w:t>Табела</w:t>
        </w:r>
        <w:r w:rsidR="001C65F7" w:rsidRPr="0038361F">
          <w:rPr>
            <w:rStyle w:val="Hyperlink"/>
            <w:rFonts w:ascii="Arial" w:eastAsia="Times New Roman" w:hAnsi="Arial" w:cs="Arial"/>
            <w:lang w:val="mk-MK"/>
          </w:rPr>
          <w:t>12:</w:t>
        </w:r>
        <w:r w:rsidR="001C65F7" w:rsidRPr="0038361F">
          <w:rPr>
            <w:rStyle w:val="Hyperlink"/>
            <w:rFonts w:ascii="Arial" w:hAnsi="Arial" w:cs="Arial"/>
            <w:lang w:val="mk-MK"/>
          </w:rPr>
          <w:t>Преглед на барања по приоритетни сектори во Мерка 1</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_Toc8640202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14</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3" w:history="1">
        <w:r w:rsidR="001C65F7" w:rsidRPr="0038361F">
          <w:rPr>
            <w:rStyle w:val="Hyperlink"/>
            <w:rFonts w:ascii="Arial" w:eastAsia="Times New Roman" w:hAnsi="Arial" w:cs="Arial"/>
            <w:lang w:val="mk-MK"/>
          </w:rPr>
          <w:t>Табела 13:Преглед на испо</w:t>
        </w:r>
        <w:r w:rsidR="002B2470">
          <w:rPr>
            <w:rStyle w:val="Hyperlink"/>
            <w:rFonts w:ascii="Arial" w:eastAsia="Times New Roman" w:hAnsi="Arial" w:cs="Arial"/>
            <w:lang w:val="mk-MK"/>
          </w:rPr>
          <w:t>л</w:t>
        </w:r>
        <w:r w:rsidR="001C65F7" w:rsidRPr="0038361F">
          <w:rPr>
            <w:rStyle w:val="Hyperlink"/>
            <w:rFonts w:ascii="Arial" w:eastAsia="Times New Roman" w:hAnsi="Arial" w:cs="Arial"/>
            <w:lang w:val="mk-MK"/>
          </w:rPr>
          <w:t xml:space="preserve">нувањето на целите по барања во Мерка </w:t>
        </w:r>
        <w:r w:rsidR="001C65F7" w:rsidRPr="0038361F">
          <w:rPr>
            <w:rStyle w:val="Hyperlink"/>
            <w:rFonts w:ascii="Arial" w:hAnsi="Arial" w:cs="Arial"/>
            <w:lang w:val="mk-MK"/>
          </w:rPr>
          <w:t>3</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_Toc8640203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16</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4" w:history="1">
        <w:r w:rsidR="001C65F7" w:rsidRPr="0038361F">
          <w:rPr>
            <w:rStyle w:val="Hyperlink"/>
            <w:rFonts w:ascii="Arial" w:hAnsi="Arial" w:cs="Arial"/>
            <w:lang w:val="mk-MK"/>
          </w:rPr>
          <w:t>Табела</w:t>
        </w:r>
        <w:r w:rsidR="001C65F7" w:rsidRPr="0038361F">
          <w:rPr>
            <w:rStyle w:val="Hyperlink"/>
            <w:rFonts w:ascii="Arial" w:eastAsia="Times New Roman" w:hAnsi="Arial" w:cs="Arial"/>
            <w:lang w:val="mk-MK"/>
          </w:rPr>
          <w:t>14:</w:t>
        </w:r>
        <w:r w:rsidR="001C65F7" w:rsidRPr="0038361F">
          <w:rPr>
            <w:rStyle w:val="Hyperlink"/>
            <w:rFonts w:ascii="Arial" w:hAnsi="Arial" w:cs="Arial"/>
            <w:lang w:val="mk-MK"/>
          </w:rPr>
          <w:t>Преглед на барања по приоритетни сектори во Мерка 3</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_Toc8640204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17</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5" w:history="1">
        <w:r w:rsidR="001C65F7" w:rsidRPr="0038361F">
          <w:rPr>
            <w:rStyle w:val="Hyperlink"/>
            <w:rFonts w:ascii="Arial" w:hAnsi="Arial" w:cs="Arial"/>
            <w:lang w:val="mk-MK"/>
          </w:rPr>
          <w:t>Табела</w:t>
        </w:r>
        <w:r w:rsidR="001C65F7" w:rsidRPr="0038361F">
          <w:rPr>
            <w:rStyle w:val="Hyperlink"/>
            <w:rFonts w:ascii="Arial" w:eastAsia="Times New Roman" w:hAnsi="Arial" w:cs="Arial"/>
            <w:lang w:val="mk-MK"/>
          </w:rPr>
          <w:t>15:Преглед на исполнување на целите по барање во Мерка 7</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_Toc8640205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18</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206" w:history="1">
        <w:r w:rsidR="001C65F7" w:rsidRPr="0038361F">
          <w:rPr>
            <w:rStyle w:val="Hyperlink"/>
            <w:rFonts w:ascii="Arial" w:hAnsi="Arial" w:cs="Arial"/>
            <w:lang w:val="mk-MK"/>
          </w:rPr>
          <w:t>Табела</w:t>
        </w:r>
        <w:r w:rsidR="001C65F7" w:rsidRPr="0038361F">
          <w:rPr>
            <w:rStyle w:val="Hyperlink"/>
            <w:rFonts w:ascii="Arial" w:eastAsia="Times New Roman" w:hAnsi="Arial" w:cs="Arial"/>
            <w:lang w:val="mk-MK"/>
          </w:rPr>
          <w:t>16:</w:t>
        </w:r>
        <w:r w:rsidR="001C65F7" w:rsidRPr="0038361F">
          <w:rPr>
            <w:rStyle w:val="Hyperlink"/>
            <w:rFonts w:ascii="Arial" w:hAnsi="Arial" w:cs="Arial"/>
            <w:lang w:val="mk-MK"/>
          </w:rPr>
          <w:t>Преглед на барања по приоритетен сектор во Мерка 7</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_Toc8640206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19</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eastAsiaTheme="minorEastAsia"/>
          <w:lang w:val="mk-MK"/>
        </w:rPr>
      </w:pPr>
      <w:hyperlink w:anchor="_Toc8640207" w:history="1">
        <w:r w:rsidR="001C65F7" w:rsidRPr="0038361F">
          <w:rPr>
            <w:rStyle w:val="Hyperlink"/>
            <w:rFonts w:ascii="Arial" w:eastAsia="Times New Roman" w:hAnsi="Arial" w:cs="Arial"/>
            <w:lang w:val="mk-MK"/>
          </w:rPr>
          <w:t>Табела 17:</w:t>
        </w:r>
        <w:r w:rsidR="001C65F7" w:rsidRPr="0038361F">
          <w:rPr>
            <w:rStyle w:val="Hyperlink"/>
            <w:rFonts w:ascii="Arial" w:hAnsi="Arial" w:cs="Arial"/>
            <w:lang w:val="mk-MK"/>
          </w:rPr>
          <w:t>Преглед на барања по општини</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_Toc8640207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21</w:t>
        </w:r>
        <w:r w:rsidR="001C65F7" w:rsidRPr="0038361F">
          <w:rPr>
            <w:rFonts w:ascii="Arial" w:hAnsi="Arial" w:cs="Arial"/>
            <w:webHidden/>
            <w:lang w:val="mk-MK"/>
          </w:rPr>
          <w:fldChar w:fldCharType="end"/>
        </w:r>
      </w:hyperlink>
    </w:p>
    <w:p w:rsidR="00410356" w:rsidRPr="0038361F" w:rsidRDefault="001C2124" w:rsidP="00410356">
      <w:pPr>
        <w:rPr>
          <w:rFonts w:ascii="Arial" w:hAnsi="Arial" w:cs="Arial"/>
          <w:lang w:val="mk-MK"/>
        </w:rPr>
      </w:pPr>
      <w:r w:rsidRPr="0038361F">
        <w:rPr>
          <w:rFonts w:ascii="Arial" w:hAnsi="Arial" w:cs="Arial"/>
          <w:lang w:val="mk-MK"/>
        </w:rPr>
        <w:fldChar w:fldCharType="end"/>
      </w:r>
    </w:p>
    <w:p w:rsidR="00410356" w:rsidRPr="0038361F" w:rsidRDefault="001C65F7" w:rsidP="00410356">
      <w:pPr>
        <w:spacing w:after="0" w:line="240" w:lineRule="auto"/>
        <w:rPr>
          <w:rFonts w:ascii="Arial" w:hAnsi="Arial" w:cs="Arial"/>
          <w:b/>
          <w:sz w:val="24"/>
          <w:szCs w:val="24"/>
          <w:lang w:val="mk-MK"/>
        </w:rPr>
      </w:pPr>
      <w:r w:rsidRPr="002B2470">
        <w:rPr>
          <w:rFonts w:ascii="Arial" w:hAnsi="Arial" w:cs="Arial"/>
          <w:b/>
          <w:sz w:val="24"/>
          <w:szCs w:val="24"/>
          <w:lang w:val="mk-MK"/>
        </w:rPr>
        <w:t>Листа на прикази</w:t>
      </w:r>
      <w:r w:rsidR="00410356" w:rsidRPr="0038361F">
        <w:rPr>
          <w:rFonts w:ascii="Arial" w:hAnsi="Arial" w:cs="Arial"/>
          <w:b/>
          <w:sz w:val="24"/>
          <w:szCs w:val="24"/>
          <w:lang w:val="mk-MK"/>
        </w:rPr>
        <w:t>:</w:t>
      </w:r>
    </w:p>
    <w:p w:rsidR="001C65F7" w:rsidRPr="0038361F" w:rsidRDefault="001C2124">
      <w:pPr>
        <w:pStyle w:val="TableofFigures"/>
        <w:tabs>
          <w:tab w:val="right" w:leader="dot" w:pos="9017"/>
        </w:tabs>
        <w:rPr>
          <w:rFonts w:ascii="Arial" w:eastAsiaTheme="minorEastAsia" w:hAnsi="Arial" w:cs="Arial"/>
          <w:lang w:val="mk-MK"/>
        </w:rPr>
      </w:pPr>
      <w:r w:rsidRPr="0038361F">
        <w:rPr>
          <w:rFonts w:ascii="Arial" w:hAnsi="Arial" w:cs="Arial"/>
          <w:lang w:val="mk-MK"/>
        </w:rPr>
        <w:fldChar w:fldCharType="begin"/>
      </w:r>
      <w:r w:rsidR="00410356" w:rsidRPr="0038361F">
        <w:rPr>
          <w:rFonts w:ascii="Arial" w:hAnsi="Arial" w:cs="Arial"/>
          <w:lang w:val="mk-MK"/>
        </w:rPr>
        <w:instrText xml:space="preserve"> TOC \h \z \c "Figure" </w:instrText>
      </w:r>
      <w:r w:rsidRPr="0038361F">
        <w:rPr>
          <w:rFonts w:ascii="Arial" w:hAnsi="Arial" w:cs="Arial"/>
          <w:lang w:val="mk-MK"/>
        </w:rPr>
        <w:fldChar w:fldCharType="separate"/>
      </w:r>
      <w:hyperlink w:anchor="_Toc8640477" w:history="1">
        <w:r w:rsidR="001C65F7" w:rsidRPr="0038361F">
          <w:rPr>
            <w:rStyle w:val="Hyperlink"/>
            <w:rFonts w:ascii="Arial" w:hAnsi="Arial" w:cs="Arial"/>
            <w:lang w:val="mk-MK"/>
          </w:rPr>
          <w:t xml:space="preserve">Приказ 1: Структура на вкупното население по старосни групи, на крајот </w:t>
        </w:r>
        <w:r w:rsidR="002B2470">
          <w:rPr>
            <w:rStyle w:val="Hyperlink"/>
            <w:rFonts w:ascii="Arial" w:hAnsi="Arial" w:cs="Arial"/>
            <w:lang w:val="mk-MK"/>
          </w:rPr>
          <w:t>од</w:t>
        </w:r>
        <w:r w:rsidR="001C65F7" w:rsidRPr="0038361F">
          <w:rPr>
            <w:rStyle w:val="Hyperlink"/>
            <w:rFonts w:ascii="Arial" w:hAnsi="Arial" w:cs="Arial"/>
            <w:lang w:val="mk-MK"/>
          </w:rPr>
          <w:t xml:space="preserve"> 2015 година</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_Toc8640477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5</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78" w:history="1">
        <w:r w:rsidR="001C65F7" w:rsidRPr="0038361F">
          <w:rPr>
            <w:rStyle w:val="Hyperlink"/>
            <w:rFonts w:ascii="Arial" w:hAnsi="Arial" w:cs="Arial"/>
            <w:lang w:val="mk-MK"/>
          </w:rPr>
          <w:t>Приказ 2: Развој на македонската земјоделска трговија (во милиони евра), период 2014-2018</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_Toc8640478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9</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79" w:history="1">
        <w:r w:rsidR="001C65F7" w:rsidRPr="0038361F">
          <w:rPr>
            <w:rStyle w:val="Hyperlink"/>
            <w:rFonts w:ascii="Arial" w:hAnsi="Arial" w:cs="Arial"/>
            <w:lang w:val="mk-MK"/>
          </w:rPr>
          <w:t>Приказ 3: Преглед на барања по вредност на инвестиција во Мерка 1</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_Toc8640479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14</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0" w:history="1">
        <w:r w:rsidR="001C65F7" w:rsidRPr="0038361F">
          <w:rPr>
            <w:rStyle w:val="Hyperlink"/>
            <w:rFonts w:ascii="Arial" w:hAnsi="Arial" w:cs="Arial"/>
            <w:lang w:val="mk-MK"/>
          </w:rPr>
          <w:t>Приказ 4: Преглед на барања по култура на производство во Мерка 1</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_Toc8640480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15</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1" w:history="1">
        <w:r w:rsidR="001C65F7" w:rsidRPr="0038361F">
          <w:rPr>
            <w:rStyle w:val="Hyperlink"/>
            <w:rFonts w:ascii="Arial" w:hAnsi="Arial" w:cs="Arial"/>
            <w:lang w:val="mk-MK"/>
          </w:rPr>
          <w:t>Приказ 5: Преглед на барања по тип на инвестиција во Мерка 1</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_Toc8640481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16</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2" w:history="1">
        <w:r w:rsidR="001C65F7" w:rsidRPr="0038361F">
          <w:rPr>
            <w:rStyle w:val="Hyperlink"/>
            <w:rFonts w:ascii="Arial" w:hAnsi="Arial" w:cs="Arial"/>
            <w:lang w:val="mk-MK"/>
          </w:rPr>
          <w:t>Приказ 6: Преглед на барања по вредност на инвестиција во Мерка 3</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_Toc8640482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17</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3" w:history="1">
        <w:r w:rsidR="001C65F7" w:rsidRPr="0038361F">
          <w:rPr>
            <w:rStyle w:val="Hyperlink"/>
            <w:rFonts w:ascii="Arial" w:hAnsi="Arial" w:cs="Arial"/>
            <w:lang w:val="mk-MK"/>
          </w:rPr>
          <w:t>Приказ 7: Преглед на барања по тип на инвестиција во Мерка 3</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_Toc8640483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18</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4" w:history="1">
        <w:r w:rsidR="001C65F7" w:rsidRPr="0038361F">
          <w:rPr>
            <w:rStyle w:val="Hyperlink"/>
            <w:rFonts w:ascii="Arial" w:hAnsi="Arial" w:cs="Arial"/>
            <w:lang w:val="mk-MK"/>
          </w:rPr>
          <w:t>Приказ 8: Преглед на барања по вредност на инвестициите во Мерка 7</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_Toc8640484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19</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5" w:history="1">
        <w:r w:rsidR="001C65F7" w:rsidRPr="0038361F">
          <w:rPr>
            <w:rStyle w:val="Hyperlink"/>
            <w:rFonts w:ascii="Arial" w:hAnsi="Arial" w:cs="Arial"/>
            <w:lang w:val="mk-MK"/>
          </w:rPr>
          <w:t>Приказ 9: Преглед на барања по тип на инвестиции во Мерка 7</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_Toc8640485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20</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ascii="Arial" w:eastAsiaTheme="minorEastAsia" w:hAnsi="Arial" w:cs="Arial"/>
          <w:lang w:val="mk-MK"/>
        </w:rPr>
      </w:pPr>
      <w:hyperlink w:anchor="_Toc8640486" w:history="1">
        <w:r w:rsidR="001C65F7" w:rsidRPr="0038361F">
          <w:rPr>
            <w:rStyle w:val="Hyperlink"/>
            <w:rFonts w:ascii="Arial" w:hAnsi="Arial" w:cs="Arial"/>
            <w:lang w:val="mk-MK"/>
          </w:rPr>
          <w:t>Приказ10: Преглед на барања по статистички региони</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_Toc8640486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20</w:t>
        </w:r>
        <w:r w:rsidR="001C65F7" w:rsidRPr="0038361F">
          <w:rPr>
            <w:rFonts w:ascii="Arial" w:hAnsi="Arial" w:cs="Arial"/>
            <w:webHidden/>
            <w:lang w:val="mk-MK"/>
          </w:rPr>
          <w:fldChar w:fldCharType="end"/>
        </w:r>
      </w:hyperlink>
    </w:p>
    <w:p w:rsidR="001C65F7" w:rsidRPr="0038361F" w:rsidRDefault="00C8048F">
      <w:pPr>
        <w:pStyle w:val="TableofFigures"/>
        <w:tabs>
          <w:tab w:val="right" w:leader="dot" w:pos="9017"/>
        </w:tabs>
        <w:rPr>
          <w:rFonts w:eastAsiaTheme="minorEastAsia"/>
          <w:lang w:val="mk-MK"/>
        </w:rPr>
      </w:pPr>
      <w:hyperlink w:anchor="_Toc8640487" w:history="1">
        <w:r w:rsidR="001C65F7" w:rsidRPr="0038361F">
          <w:rPr>
            <w:rStyle w:val="Hyperlink"/>
            <w:rFonts w:ascii="Arial" w:hAnsi="Arial" w:cs="Arial"/>
            <w:lang w:val="mk-MK"/>
          </w:rPr>
          <w:t>Приказ11: Преглед на вкупни јавни трошоци по статистички региони</w:t>
        </w:r>
        <w:r w:rsidR="001C65F7" w:rsidRPr="0038361F">
          <w:rPr>
            <w:rFonts w:ascii="Arial" w:hAnsi="Arial" w:cs="Arial"/>
            <w:webHidden/>
            <w:lang w:val="mk-MK"/>
          </w:rPr>
          <w:tab/>
        </w:r>
        <w:r w:rsidR="001C65F7" w:rsidRPr="0038361F">
          <w:rPr>
            <w:rFonts w:ascii="Arial" w:hAnsi="Arial" w:cs="Arial"/>
            <w:webHidden/>
            <w:lang w:val="mk-MK"/>
          </w:rPr>
          <w:fldChar w:fldCharType="begin"/>
        </w:r>
        <w:r w:rsidR="001C65F7" w:rsidRPr="0038361F">
          <w:rPr>
            <w:rFonts w:ascii="Arial" w:hAnsi="Arial" w:cs="Arial"/>
            <w:webHidden/>
            <w:lang w:val="mk-MK"/>
          </w:rPr>
          <w:instrText xml:space="preserve"> PAGEREF _Toc8640487 \h </w:instrText>
        </w:r>
        <w:r w:rsidR="001C65F7" w:rsidRPr="0038361F">
          <w:rPr>
            <w:rFonts w:ascii="Arial" w:hAnsi="Arial" w:cs="Arial"/>
            <w:webHidden/>
            <w:lang w:val="mk-MK"/>
          </w:rPr>
        </w:r>
        <w:r w:rsidR="001C65F7" w:rsidRPr="0038361F">
          <w:rPr>
            <w:rFonts w:ascii="Arial" w:hAnsi="Arial" w:cs="Arial"/>
            <w:webHidden/>
            <w:lang w:val="mk-MK"/>
          </w:rPr>
          <w:fldChar w:fldCharType="separate"/>
        </w:r>
        <w:r w:rsidR="001C65F7" w:rsidRPr="0038361F">
          <w:rPr>
            <w:rFonts w:ascii="Arial" w:hAnsi="Arial" w:cs="Arial"/>
            <w:webHidden/>
            <w:lang w:val="mk-MK"/>
          </w:rPr>
          <w:t>21</w:t>
        </w:r>
        <w:r w:rsidR="001C65F7" w:rsidRPr="0038361F">
          <w:rPr>
            <w:rFonts w:ascii="Arial" w:hAnsi="Arial" w:cs="Arial"/>
            <w:webHidden/>
            <w:lang w:val="mk-MK"/>
          </w:rPr>
          <w:fldChar w:fldCharType="end"/>
        </w:r>
      </w:hyperlink>
    </w:p>
    <w:p w:rsidR="00410356" w:rsidRPr="0038361F" w:rsidRDefault="001C2124" w:rsidP="00410356">
      <w:pPr>
        <w:spacing w:after="0" w:line="240" w:lineRule="auto"/>
        <w:rPr>
          <w:rFonts w:ascii="Arial" w:hAnsi="Arial" w:cs="Arial"/>
          <w:lang w:val="mk-MK"/>
        </w:rPr>
      </w:pPr>
      <w:r w:rsidRPr="0038361F">
        <w:rPr>
          <w:rFonts w:ascii="Arial" w:hAnsi="Arial" w:cs="Arial"/>
          <w:lang w:val="mk-MK"/>
        </w:rPr>
        <w:fldChar w:fldCharType="end"/>
      </w:r>
    </w:p>
    <w:p w:rsidR="00410356" w:rsidRPr="0038361F" w:rsidRDefault="00410356" w:rsidP="00410356">
      <w:pPr>
        <w:spacing w:after="0" w:line="240" w:lineRule="auto"/>
        <w:rPr>
          <w:rFonts w:ascii="Arial" w:hAnsi="Arial" w:cs="Arial"/>
          <w:sz w:val="24"/>
          <w:szCs w:val="24"/>
          <w:lang w:val="mk-MK"/>
        </w:rPr>
      </w:pPr>
    </w:p>
    <w:p w:rsidR="00410356" w:rsidRPr="0038361F" w:rsidRDefault="00410356" w:rsidP="00410356">
      <w:pPr>
        <w:spacing w:after="0" w:line="240" w:lineRule="auto"/>
        <w:rPr>
          <w:rFonts w:ascii="Arial" w:hAnsi="Arial" w:cs="Arial"/>
          <w:sz w:val="24"/>
          <w:szCs w:val="24"/>
          <w:lang w:val="mk-MK"/>
        </w:rPr>
      </w:pPr>
    </w:p>
    <w:p w:rsidR="00E61540" w:rsidRPr="0038361F" w:rsidRDefault="00410356" w:rsidP="00F01896">
      <w:pPr>
        <w:spacing w:after="0" w:line="240" w:lineRule="auto"/>
        <w:rPr>
          <w:rFonts w:ascii="Arial" w:hAnsi="Arial" w:cs="Arial"/>
          <w:sz w:val="24"/>
          <w:szCs w:val="24"/>
          <w:lang w:val="mk-MK"/>
        </w:rPr>
      </w:pPr>
      <w:r w:rsidRPr="0038361F">
        <w:rPr>
          <w:rFonts w:ascii="Arial" w:hAnsi="Arial" w:cs="Arial"/>
          <w:sz w:val="24"/>
          <w:szCs w:val="24"/>
          <w:lang w:val="mk-MK"/>
        </w:rPr>
        <w:br w:type="page"/>
      </w:r>
    </w:p>
    <w:p w:rsidR="00A31A65" w:rsidRPr="0038361F" w:rsidRDefault="007862AD" w:rsidP="00A31A65">
      <w:pPr>
        <w:pStyle w:val="ListParagraph"/>
        <w:numPr>
          <w:ilvl w:val="0"/>
          <w:numId w:val="12"/>
        </w:numPr>
        <w:spacing w:after="0" w:line="240" w:lineRule="auto"/>
        <w:jc w:val="both"/>
        <w:outlineLvl w:val="0"/>
        <w:rPr>
          <w:rFonts w:ascii="Arial" w:hAnsi="Arial" w:cs="Arial"/>
          <w:b/>
          <w:sz w:val="24"/>
          <w:szCs w:val="24"/>
          <w:lang w:val="mk-MK"/>
        </w:rPr>
      </w:pPr>
      <w:bookmarkStart w:id="0" w:name="_Toc8639859"/>
      <w:r w:rsidRPr="002B2470">
        <w:rPr>
          <w:rFonts w:ascii="Arial" w:hAnsi="Arial" w:cs="Arial"/>
          <w:b/>
          <w:sz w:val="24"/>
          <w:szCs w:val="24"/>
          <w:lang w:val="mk-MK"/>
        </w:rPr>
        <w:lastRenderedPageBreak/>
        <w:t>Вовед</w:t>
      </w:r>
      <w:bookmarkEnd w:id="0"/>
      <w:r w:rsidR="00A31A65" w:rsidRPr="002B2470">
        <w:rPr>
          <w:rFonts w:ascii="Arial" w:hAnsi="Arial" w:cs="Arial"/>
          <w:b/>
          <w:sz w:val="24"/>
          <w:szCs w:val="24"/>
          <w:lang w:val="mk-MK"/>
        </w:rPr>
        <w:t xml:space="preserve"> </w:t>
      </w:r>
    </w:p>
    <w:p w:rsidR="00A31A65" w:rsidRPr="0038361F" w:rsidRDefault="00A31A65" w:rsidP="00A31A65">
      <w:pPr>
        <w:spacing w:before="120" w:after="60" w:line="240" w:lineRule="auto"/>
        <w:jc w:val="both"/>
        <w:rPr>
          <w:rFonts w:ascii="Arial" w:hAnsi="Arial" w:cs="Arial"/>
          <w:szCs w:val="24"/>
          <w:lang w:val="mk-MK"/>
        </w:rPr>
      </w:pPr>
      <w:r w:rsidRPr="0038361F">
        <w:rPr>
          <w:rFonts w:ascii="Arial" w:hAnsi="Arial" w:cs="Arial"/>
          <w:szCs w:val="24"/>
          <w:lang w:val="mk-MK"/>
        </w:rPr>
        <w:t>ИПАРД Програмата за програмскиот период 2014-2020 беше одобрена на 13 февруари 2015 година со Одлука на Комисијата C (2015) 760.</w:t>
      </w:r>
    </w:p>
    <w:p w:rsidR="00A31A65" w:rsidRPr="0038361F" w:rsidRDefault="00A31A65" w:rsidP="007862AD">
      <w:pPr>
        <w:spacing w:before="120" w:after="120" w:line="240" w:lineRule="auto"/>
        <w:jc w:val="both"/>
        <w:rPr>
          <w:rFonts w:ascii="Arial" w:hAnsi="Arial" w:cs="Arial"/>
          <w:szCs w:val="24"/>
          <w:lang w:val="mk-MK"/>
        </w:rPr>
      </w:pPr>
      <w:r w:rsidRPr="0038361F">
        <w:rPr>
          <w:rFonts w:ascii="Arial" w:hAnsi="Arial" w:cs="Arial"/>
          <w:szCs w:val="24"/>
          <w:lang w:val="mk-MK"/>
        </w:rPr>
        <w:t>Индикативните максимални износи на придонесот на Ев</w:t>
      </w:r>
      <w:r w:rsidR="002C1D8B" w:rsidRPr="0038361F">
        <w:rPr>
          <w:rFonts w:ascii="Arial" w:hAnsi="Arial" w:cs="Arial"/>
          <w:szCs w:val="24"/>
          <w:lang w:val="mk-MK"/>
        </w:rPr>
        <w:t>ропската унија за</w:t>
      </w:r>
      <w:r w:rsidR="002C1D8B" w:rsidRPr="002B2470">
        <w:rPr>
          <w:rFonts w:ascii="Arial" w:hAnsi="Arial" w:cs="Arial"/>
          <w:szCs w:val="24"/>
          <w:lang w:val="mk-MK"/>
        </w:rPr>
        <w:t xml:space="preserve"> </w:t>
      </w:r>
      <w:r w:rsidR="002B2470" w:rsidRPr="002B2470">
        <w:rPr>
          <w:rFonts w:ascii="Arial" w:hAnsi="Arial" w:cs="Arial"/>
          <w:szCs w:val="24"/>
          <w:lang w:val="mk-MK"/>
        </w:rPr>
        <w:t>спроведување</w:t>
      </w:r>
      <w:r w:rsidR="002C1D8B" w:rsidRPr="0038361F">
        <w:rPr>
          <w:rFonts w:ascii="Arial" w:hAnsi="Arial" w:cs="Arial"/>
          <w:szCs w:val="24"/>
          <w:lang w:val="mk-MK"/>
        </w:rPr>
        <w:t xml:space="preserve"> на ИПАРД </w:t>
      </w:r>
      <w:r w:rsidR="002C1D8B" w:rsidRPr="002B2470">
        <w:rPr>
          <w:rFonts w:ascii="Arial" w:hAnsi="Arial" w:cs="Arial"/>
          <w:szCs w:val="24"/>
          <w:lang w:val="mk-MK"/>
        </w:rPr>
        <w:t>П</w:t>
      </w:r>
      <w:r w:rsidRPr="0038361F">
        <w:rPr>
          <w:rFonts w:ascii="Arial" w:hAnsi="Arial" w:cs="Arial"/>
          <w:szCs w:val="24"/>
          <w:lang w:val="mk-MK"/>
        </w:rPr>
        <w:t>рограмата во рамките на ИПА II се утврдени како што следува:</w:t>
      </w:r>
    </w:p>
    <w:tbl>
      <w:tblPr>
        <w:tblStyle w:val="TableGrid"/>
        <w:tblW w:w="9802" w:type="dxa"/>
        <w:tblLook w:val="04A0" w:firstRow="1" w:lastRow="0" w:firstColumn="1" w:lastColumn="0" w:noHBand="0" w:noVBand="1"/>
      </w:tblPr>
      <w:tblGrid>
        <w:gridCol w:w="886"/>
        <w:gridCol w:w="1106"/>
        <w:gridCol w:w="1397"/>
        <w:gridCol w:w="1397"/>
        <w:gridCol w:w="1397"/>
        <w:gridCol w:w="1397"/>
        <w:gridCol w:w="1397"/>
        <w:gridCol w:w="1397"/>
      </w:tblGrid>
      <w:tr w:rsidR="007862AD" w:rsidRPr="002B2470" w:rsidTr="00C8048F">
        <w:trPr>
          <w:trHeight w:val="778"/>
        </w:trPr>
        <w:tc>
          <w:tcPr>
            <w:tcW w:w="837" w:type="dxa"/>
          </w:tcPr>
          <w:p w:rsidR="007862AD" w:rsidRPr="0038361F" w:rsidRDefault="007862AD" w:rsidP="007862AD">
            <w:pPr>
              <w:jc w:val="both"/>
              <w:rPr>
                <w:rFonts w:ascii="Arial" w:hAnsi="Arial" w:cs="Arial"/>
                <w:sz w:val="20"/>
                <w:szCs w:val="20"/>
                <w:lang w:val="mk-MK"/>
              </w:rPr>
            </w:pPr>
            <w:r w:rsidRPr="002B2470">
              <w:rPr>
                <w:rFonts w:ascii="Arial" w:hAnsi="Arial" w:cs="Arial"/>
                <w:sz w:val="20"/>
                <w:szCs w:val="20"/>
                <w:lang w:val="mk-MK"/>
              </w:rPr>
              <w:t>Година</w:t>
            </w:r>
          </w:p>
        </w:tc>
        <w:tc>
          <w:tcPr>
            <w:tcW w:w="1045"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2014</w:t>
            </w:r>
          </w:p>
        </w:tc>
        <w:tc>
          <w:tcPr>
            <w:tcW w:w="1320" w:type="dxa"/>
          </w:tcPr>
          <w:p w:rsidR="007862AD" w:rsidRPr="002B2470"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2015 </w:t>
            </w:r>
            <w:r w:rsidRPr="002B2470">
              <w:rPr>
                <w:rFonts w:ascii="Arial" w:hAnsi="Arial" w:cs="Arial"/>
                <w:sz w:val="20"/>
                <w:szCs w:val="20"/>
                <w:lang w:val="mk-MK"/>
              </w:rPr>
              <w:t>индикативна сума</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2016 </w:t>
            </w:r>
            <w:r w:rsidRPr="002B2470">
              <w:rPr>
                <w:rFonts w:ascii="Arial" w:hAnsi="Arial" w:cs="Arial"/>
                <w:sz w:val="20"/>
                <w:szCs w:val="20"/>
                <w:lang w:val="mk-MK"/>
              </w:rPr>
              <w:t>индикативна сума</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2017 </w:t>
            </w:r>
            <w:r w:rsidRPr="002B2470">
              <w:rPr>
                <w:rFonts w:ascii="Arial" w:hAnsi="Arial" w:cs="Arial"/>
                <w:sz w:val="20"/>
                <w:szCs w:val="20"/>
                <w:lang w:val="mk-MK"/>
              </w:rPr>
              <w:t>индикативна сума</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2018 </w:t>
            </w:r>
            <w:r w:rsidRPr="002B2470">
              <w:rPr>
                <w:rFonts w:ascii="Arial" w:hAnsi="Arial" w:cs="Arial"/>
                <w:sz w:val="20"/>
                <w:szCs w:val="20"/>
                <w:lang w:val="mk-MK"/>
              </w:rPr>
              <w:t>индикативна сума</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2019 </w:t>
            </w:r>
            <w:r w:rsidRPr="002B2470">
              <w:rPr>
                <w:rFonts w:ascii="Arial" w:hAnsi="Arial" w:cs="Arial"/>
                <w:sz w:val="20"/>
                <w:szCs w:val="20"/>
                <w:lang w:val="mk-MK"/>
              </w:rPr>
              <w:t>индикативна сума</w:t>
            </w:r>
          </w:p>
        </w:tc>
        <w:tc>
          <w:tcPr>
            <w:tcW w:w="1320" w:type="dxa"/>
          </w:tcPr>
          <w:p w:rsidR="007862AD" w:rsidRPr="002B2470" w:rsidRDefault="007862AD" w:rsidP="007862AD">
            <w:pPr>
              <w:jc w:val="both"/>
              <w:rPr>
                <w:rFonts w:ascii="Arial" w:hAnsi="Arial" w:cs="Arial"/>
                <w:sz w:val="20"/>
                <w:szCs w:val="20"/>
                <w:lang w:val="mk-MK"/>
              </w:rPr>
            </w:pPr>
            <w:r w:rsidRPr="0038361F">
              <w:rPr>
                <w:rFonts w:ascii="Arial" w:hAnsi="Arial" w:cs="Arial"/>
                <w:sz w:val="20"/>
                <w:szCs w:val="20"/>
                <w:lang w:val="mk-MK"/>
              </w:rPr>
              <w:t xml:space="preserve">2020 </w:t>
            </w:r>
            <w:r w:rsidRPr="002B2470">
              <w:rPr>
                <w:rFonts w:ascii="Arial" w:hAnsi="Arial" w:cs="Arial"/>
                <w:sz w:val="20"/>
                <w:szCs w:val="20"/>
                <w:lang w:val="mk-MK"/>
              </w:rPr>
              <w:t>индикативна сума</w:t>
            </w:r>
          </w:p>
        </w:tc>
      </w:tr>
      <w:tr w:rsidR="007862AD" w:rsidRPr="002B2470" w:rsidTr="00C8048F">
        <w:trPr>
          <w:trHeight w:val="237"/>
        </w:trPr>
        <w:tc>
          <w:tcPr>
            <w:tcW w:w="837" w:type="dxa"/>
          </w:tcPr>
          <w:p w:rsidR="007862AD" w:rsidRPr="002B2470" w:rsidRDefault="007862AD" w:rsidP="007862AD">
            <w:pPr>
              <w:jc w:val="both"/>
              <w:rPr>
                <w:rFonts w:ascii="Arial" w:hAnsi="Arial" w:cs="Arial"/>
                <w:sz w:val="20"/>
                <w:szCs w:val="20"/>
                <w:lang w:val="mk-MK"/>
              </w:rPr>
            </w:pPr>
            <w:r w:rsidRPr="002B2470">
              <w:rPr>
                <w:rFonts w:ascii="Arial" w:hAnsi="Arial" w:cs="Arial"/>
                <w:sz w:val="20"/>
                <w:szCs w:val="20"/>
                <w:lang w:val="mk-MK"/>
              </w:rPr>
              <w:t>Вкупно</w:t>
            </w:r>
          </w:p>
        </w:tc>
        <w:tc>
          <w:tcPr>
            <w:tcW w:w="1045"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5.000.000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5.000.000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5.000.000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6.000.000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10.000.000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14.000.000</w:t>
            </w:r>
          </w:p>
        </w:tc>
        <w:tc>
          <w:tcPr>
            <w:tcW w:w="1320" w:type="dxa"/>
          </w:tcPr>
          <w:p w:rsidR="007862AD" w:rsidRPr="0038361F" w:rsidRDefault="007862AD" w:rsidP="007862AD">
            <w:pPr>
              <w:jc w:val="both"/>
              <w:rPr>
                <w:rFonts w:ascii="Arial" w:hAnsi="Arial" w:cs="Arial"/>
                <w:sz w:val="20"/>
                <w:szCs w:val="20"/>
                <w:lang w:val="mk-MK"/>
              </w:rPr>
            </w:pPr>
            <w:r w:rsidRPr="0038361F">
              <w:rPr>
                <w:rFonts w:ascii="Arial" w:hAnsi="Arial" w:cs="Arial"/>
                <w:sz w:val="20"/>
                <w:szCs w:val="20"/>
                <w:lang w:val="mk-MK"/>
              </w:rPr>
              <w:t>15.000.000</w:t>
            </w:r>
          </w:p>
        </w:tc>
      </w:tr>
    </w:tbl>
    <w:p w:rsidR="00A31A65" w:rsidRPr="0038361F" w:rsidRDefault="00A31A65" w:rsidP="007862AD">
      <w:pPr>
        <w:spacing w:before="120" w:after="0" w:line="240" w:lineRule="auto"/>
        <w:jc w:val="both"/>
        <w:rPr>
          <w:rFonts w:ascii="Arial" w:hAnsi="Arial" w:cs="Arial"/>
          <w:szCs w:val="24"/>
          <w:lang w:val="mk-MK"/>
        </w:rPr>
      </w:pPr>
      <w:r w:rsidRPr="0038361F">
        <w:rPr>
          <w:rFonts w:ascii="Arial" w:hAnsi="Arial" w:cs="Arial"/>
          <w:szCs w:val="24"/>
          <w:lang w:val="mk-MK"/>
        </w:rPr>
        <w:t xml:space="preserve">ИПАРД Програмата 2014-2020 обезбедува поддршка преку пет мерки (четири од нив </w:t>
      </w:r>
      <w:r w:rsidRPr="002B2470">
        <w:rPr>
          <w:rFonts w:ascii="Arial" w:hAnsi="Arial" w:cs="Arial"/>
          <w:szCs w:val="24"/>
          <w:lang w:val="mk-MK"/>
        </w:rPr>
        <w:t xml:space="preserve">се </w:t>
      </w:r>
      <w:r w:rsidRPr="0038361F">
        <w:rPr>
          <w:rFonts w:ascii="Arial" w:hAnsi="Arial" w:cs="Arial"/>
          <w:szCs w:val="24"/>
          <w:lang w:val="mk-MK"/>
        </w:rPr>
        <w:t>акредитирани за време на минатиот програмски период):</w:t>
      </w:r>
    </w:p>
    <w:p w:rsidR="00A31A65" w:rsidRPr="0038361F" w:rsidRDefault="00A31A65" w:rsidP="00A31A65">
      <w:pPr>
        <w:spacing w:before="60" w:after="0" w:line="240" w:lineRule="auto"/>
        <w:jc w:val="both"/>
        <w:rPr>
          <w:rFonts w:ascii="Arial" w:hAnsi="Arial" w:cs="Arial"/>
          <w:szCs w:val="24"/>
          <w:lang w:val="mk-MK"/>
        </w:rPr>
      </w:pPr>
      <w:r w:rsidRPr="0038361F">
        <w:rPr>
          <w:rFonts w:ascii="Arial" w:hAnsi="Arial" w:cs="Arial"/>
          <w:szCs w:val="24"/>
          <w:lang w:val="mk-MK"/>
        </w:rPr>
        <w:t xml:space="preserve">1. </w:t>
      </w:r>
      <w:r w:rsidRPr="002B2470">
        <w:rPr>
          <w:rFonts w:ascii="Arial" w:hAnsi="Arial" w:cs="Arial"/>
          <w:szCs w:val="24"/>
          <w:lang w:val="mk-MK"/>
        </w:rPr>
        <w:t>Инвестиции</w:t>
      </w:r>
      <w:r w:rsidRPr="0038361F">
        <w:rPr>
          <w:rFonts w:ascii="Arial" w:hAnsi="Arial" w:cs="Arial"/>
          <w:szCs w:val="24"/>
          <w:lang w:val="mk-MK"/>
        </w:rPr>
        <w:t xml:space="preserve"> во физички средства на земјоделски стопанства</w:t>
      </w:r>
      <w:r w:rsidR="002B2470">
        <w:rPr>
          <w:rFonts w:ascii="Arial" w:hAnsi="Arial" w:cs="Arial"/>
          <w:szCs w:val="24"/>
          <w:lang w:val="mk-MK"/>
        </w:rPr>
        <w:t xml:space="preserve"> </w:t>
      </w:r>
      <w:r w:rsidRPr="0038361F">
        <w:rPr>
          <w:rFonts w:ascii="Arial" w:hAnsi="Arial" w:cs="Arial"/>
          <w:szCs w:val="24"/>
          <w:lang w:val="mk-MK"/>
        </w:rPr>
        <w:t xml:space="preserve"> </w:t>
      </w:r>
      <w:r w:rsidR="002B2470">
        <w:rPr>
          <w:rFonts w:ascii="Arial" w:hAnsi="Arial" w:cs="Arial"/>
          <w:szCs w:val="24"/>
          <w:lang w:val="mk-MK"/>
        </w:rPr>
        <w:t>̶</w:t>
      </w:r>
      <w:r w:rsidRPr="0038361F">
        <w:rPr>
          <w:rFonts w:ascii="Arial" w:hAnsi="Arial" w:cs="Arial"/>
          <w:szCs w:val="24"/>
          <w:lang w:val="mk-MK"/>
        </w:rPr>
        <w:t xml:space="preserve"> </w:t>
      </w:r>
      <w:r w:rsidR="002B2470">
        <w:rPr>
          <w:rFonts w:ascii="Arial" w:hAnsi="Arial" w:cs="Arial"/>
          <w:szCs w:val="24"/>
          <w:lang w:val="mk-MK"/>
        </w:rPr>
        <w:t xml:space="preserve"> </w:t>
      </w:r>
      <w:r w:rsidRPr="0038361F">
        <w:rPr>
          <w:rFonts w:ascii="Arial" w:hAnsi="Arial" w:cs="Arial"/>
          <w:szCs w:val="24"/>
          <w:lang w:val="mk-MK"/>
        </w:rPr>
        <w:t>Мерка 1,</w:t>
      </w:r>
    </w:p>
    <w:p w:rsidR="00A31A65" w:rsidRPr="0038361F" w:rsidRDefault="00A31A65" w:rsidP="00A31A65">
      <w:pPr>
        <w:spacing w:before="60" w:after="0" w:line="240" w:lineRule="auto"/>
        <w:jc w:val="both"/>
        <w:rPr>
          <w:rFonts w:ascii="Arial" w:hAnsi="Arial" w:cs="Arial"/>
          <w:szCs w:val="24"/>
          <w:lang w:val="mk-MK"/>
        </w:rPr>
      </w:pPr>
      <w:r w:rsidRPr="0038361F">
        <w:rPr>
          <w:rFonts w:ascii="Arial" w:hAnsi="Arial" w:cs="Arial"/>
          <w:szCs w:val="24"/>
          <w:lang w:val="mk-MK"/>
        </w:rPr>
        <w:t xml:space="preserve">2. Инвестиции во физички средства во врска со преработка и маркетинг на земјоделски и рибни производи </w:t>
      </w:r>
      <w:r w:rsidR="002B2470" w:rsidRPr="00FF75A2">
        <w:rPr>
          <w:rFonts w:ascii="Arial" w:hAnsi="Arial" w:cs="Arial"/>
          <w:szCs w:val="24"/>
          <w:lang w:val="mk-MK"/>
        </w:rPr>
        <w:t xml:space="preserve"> </w:t>
      </w:r>
      <w:r w:rsidR="002B2470">
        <w:rPr>
          <w:rFonts w:ascii="Arial" w:hAnsi="Arial" w:cs="Arial"/>
          <w:szCs w:val="24"/>
          <w:lang w:val="mk-MK"/>
        </w:rPr>
        <w:t>̶</w:t>
      </w:r>
      <w:r w:rsidR="002B2470" w:rsidRPr="00FF75A2">
        <w:rPr>
          <w:rFonts w:ascii="Arial" w:hAnsi="Arial" w:cs="Arial"/>
          <w:szCs w:val="24"/>
          <w:lang w:val="mk-MK"/>
        </w:rPr>
        <w:t xml:space="preserve"> </w:t>
      </w:r>
      <w:r w:rsidRPr="0038361F">
        <w:rPr>
          <w:rFonts w:ascii="Arial" w:hAnsi="Arial" w:cs="Arial"/>
          <w:szCs w:val="24"/>
          <w:lang w:val="mk-MK"/>
        </w:rPr>
        <w:t xml:space="preserve"> Мерка 3,</w:t>
      </w:r>
      <w:bookmarkStart w:id="1" w:name="_GoBack"/>
      <w:bookmarkEnd w:id="1"/>
    </w:p>
    <w:p w:rsidR="00A31A65" w:rsidRPr="0038361F" w:rsidRDefault="00A31A65" w:rsidP="00A31A65">
      <w:pPr>
        <w:spacing w:before="60" w:after="0" w:line="240" w:lineRule="auto"/>
        <w:jc w:val="both"/>
        <w:rPr>
          <w:rFonts w:ascii="Arial" w:hAnsi="Arial" w:cs="Arial"/>
          <w:szCs w:val="24"/>
          <w:lang w:val="mk-MK"/>
        </w:rPr>
      </w:pPr>
      <w:r w:rsidRPr="0038361F">
        <w:rPr>
          <w:rFonts w:ascii="Arial" w:hAnsi="Arial" w:cs="Arial"/>
          <w:szCs w:val="24"/>
          <w:lang w:val="mk-MK"/>
        </w:rPr>
        <w:t xml:space="preserve">3. Инвестиции во рурална јавна инфраструктура </w:t>
      </w:r>
      <w:r w:rsidR="002B2470" w:rsidRPr="00FF75A2">
        <w:rPr>
          <w:rFonts w:ascii="Arial" w:hAnsi="Arial" w:cs="Arial"/>
          <w:szCs w:val="24"/>
          <w:lang w:val="mk-MK"/>
        </w:rPr>
        <w:t xml:space="preserve"> </w:t>
      </w:r>
      <w:r w:rsidR="002B2470">
        <w:rPr>
          <w:rFonts w:ascii="Arial" w:hAnsi="Arial" w:cs="Arial"/>
          <w:szCs w:val="24"/>
          <w:lang w:val="mk-MK"/>
        </w:rPr>
        <w:t>̶</w:t>
      </w:r>
      <w:r w:rsidR="002B2470" w:rsidRPr="00FF75A2">
        <w:rPr>
          <w:rFonts w:ascii="Arial" w:hAnsi="Arial" w:cs="Arial"/>
          <w:szCs w:val="24"/>
          <w:lang w:val="mk-MK"/>
        </w:rPr>
        <w:t xml:space="preserve"> </w:t>
      </w:r>
      <w:r w:rsidRPr="0038361F">
        <w:rPr>
          <w:rFonts w:ascii="Arial" w:hAnsi="Arial" w:cs="Arial"/>
          <w:szCs w:val="24"/>
          <w:lang w:val="mk-MK"/>
        </w:rPr>
        <w:t xml:space="preserve"> Мерка 5,</w:t>
      </w:r>
    </w:p>
    <w:p w:rsidR="00A31A65" w:rsidRPr="0038361F" w:rsidRDefault="00A31A65" w:rsidP="00A31A65">
      <w:pPr>
        <w:spacing w:before="60" w:after="0" w:line="240" w:lineRule="auto"/>
        <w:jc w:val="both"/>
        <w:rPr>
          <w:rFonts w:ascii="Arial" w:hAnsi="Arial" w:cs="Arial"/>
          <w:szCs w:val="24"/>
          <w:lang w:val="mk-MK"/>
        </w:rPr>
      </w:pPr>
      <w:r w:rsidRPr="0038361F">
        <w:rPr>
          <w:rFonts w:ascii="Arial" w:hAnsi="Arial" w:cs="Arial"/>
          <w:szCs w:val="24"/>
          <w:lang w:val="mk-MK"/>
        </w:rPr>
        <w:t xml:space="preserve">4. Диверзификација на фарми и развој на бизнисот </w:t>
      </w:r>
      <w:r w:rsidR="002B2470" w:rsidRPr="00FF75A2">
        <w:rPr>
          <w:rFonts w:ascii="Arial" w:hAnsi="Arial" w:cs="Arial"/>
          <w:szCs w:val="24"/>
          <w:lang w:val="mk-MK"/>
        </w:rPr>
        <w:t xml:space="preserve"> </w:t>
      </w:r>
      <w:r w:rsidR="002B2470">
        <w:rPr>
          <w:rFonts w:ascii="Arial" w:hAnsi="Arial" w:cs="Arial"/>
          <w:szCs w:val="24"/>
          <w:lang w:val="mk-MK"/>
        </w:rPr>
        <w:t>̶</w:t>
      </w:r>
      <w:r w:rsidR="002B2470" w:rsidRPr="00FF75A2">
        <w:rPr>
          <w:rFonts w:ascii="Arial" w:hAnsi="Arial" w:cs="Arial"/>
          <w:szCs w:val="24"/>
          <w:lang w:val="mk-MK"/>
        </w:rPr>
        <w:t xml:space="preserve"> </w:t>
      </w:r>
      <w:r w:rsidRPr="0038361F">
        <w:rPr>
          <w:rFonts w:ascii="Arial" w:hAnsi="Arial" w:cs="Arial"/>
          <w:szCs w:val="24"/>
          <w:lang w:val="mk-MK"/>
        </w:rPr>
        <w:t xml:space="preserve"> Мерка 7,</w:t>
      </w:r>
    </w:p>
    <w:p w:rsidR="00A31A65" w:rsidRPr="0038361F" w:rsidRDefault="00A31A65" w:rsidP="00A31A65">
      <w:pPr>
        <w:spacing w:before="60" w:after="0" w:line="240" w:lineRule="auto"/>
        <w:jc w:val="both"/>
        <w:rPr>
          <w:rFonts w:ascii="Arial" w:hAnsi="Arial" w:cs="Arial"/>
          <w:szCs w:val="24"/>
          <w:lang w:val="mk-MK"/>
        </w:rPr>
      </w:pPr>
      <w:r w:rsidRPr="0038361F">
        <w:rPr>
          <w:rFonts w:ascii="Arial" w:hAnsi="Arial" w:cs="Arial"/>
          <w:szCs w:val="24"/>
          <w:lang w:val="mk-MK"/>
        </w:rPr>
        <w:t xml:space="preserve">5. Техничка помош </w:t>
      </w:r>
      <w:r w:rsidR="002B2470" w:rsidRPr="00FF75A2">
        <w:rPr>
          <w:rFonts w:ascii="Arial" w:hAnsi="Arial" w:cs="Arial"/>
          <w:szCs w:val="24"/>
          <w:lang w:val="mk-MK"/>
        </w:rPr>
        <w:t xml:space="preserve"> </w:t>
      </w:r>
      <w:r w:rsidR="002B2470">
        <w:rPr>
          <w:rFonts w:ascii="Arial" w:hAnsi="Arial" w:cs="Arial"/>
          <w:szCs w:val="24"/>
          <w:lang w:val="mk-MK"/>
        </w:rPr>
        <w:t>̶</w:t>
      </w:r>
      <w:r w:rsidR="002B2470" w:rsidRPr="00FF75A2">
        <w:rPr>
          <w:rFonts w:ascii="Arial" w:hAnsi="Arial" w:cs="Arial"/>
          <w:szCs w:val="24"/>
          <w:lang w:val="mk-MK"/>
        </w:rPr>
        <w:t xml:space="preserve"> </w:t>
      </w:r>
      <w:r w:rsidRPr="0038361F">
        <w:rPr>
          <w:rFonts w:ascii="Arial" w:hAnsi="Arial" w:cs="Arial"/>
          <w:szCs w:val="24"/>
          <w:lang w:val="mk-MK"/>
        </w:rPr>
        <w:t xml:space="preserve"> Мерка 9.</w:t>
      </w:r>
    </w:p>
    <w:p w:rsidR="00A31A65" w:rsidRDefault="00383BF2" w:rsidP="00A31A65">
      <w:pPr>
        <w:pStyle w:val="m343668044302477783m-3986873246552044066msolistparagraph"/>
        <w:spacing w:before="120" w:beforeAutospacing="0" w:after="0" w:afterAutospacing="0"/>
        <w:jc w:val="both"/>
        <w:rPr>
          <w:rFonts w:ascii="Arial" w:hAnsi="Arial" w:cs="Arial"/>
          <w:sz w:val="22"/>
          <w:lang w:val="mk-MK"/>
        </w:rPr>
      </w:pPr>
      <w:r w:rsidRPr="002B2470">
        <w:rPr>
          <w:rFonts w:ascii="Arial" w:hAnsi="Arial" w:cs="Arial"/>
          <w:sz w:val="22"/>
          <w:lang w:val="mk-MK"/>
        </w:rPr>
        <w:t>Спроведувањето</w:t>
      </w:r>
      <w:r w:rsidR="00A31A65" w:rsidRPr="0038361F">
        <w:rPr>
          <w:rFonts w:ascii="Arial" w:hAnsi="Arial" w:cs="Arial"/>
          <w:sz w:val="22"/>
          <w:lang w:val="mk-MK"/>
        </w:rPr>
        <w:t xml:space="preserve"> на Програмата почна со објавување на првиот повик (01/2017) во април 2017 година. За да се за</w:t>
      </w:r>
      <w:r w:rsidRPr="0038361F">
        <w:rPr>
          <w:rFonts w:ascii="Arial" w:hAnsi="Arial" w:cs="Arial"/>
          <w:sz w:val="22"/>
          <w:lang w:val="mk-MK"/>
        </w:rPr>
        <w:t xml:space="preserve">доволат потребите на </w:t>
      </w:r>
      <w:r w:rsidRPr="002B2470">
        <w:rPr>
          <w:rFonts w:ascii="Arial" w:hAnsi="Arial" w:cs="Arial"/>
          <w:sz w:val="22"/>
          <w:lang w:val="mk-MK"/>
        </w:rPr>
        <w:t>барателите</w:t>
      </w:r>
      <w:r w:rsidRPr="0038361F">
        <w:rPr>
          <w:rFonts w:ascii="Arial" w:hAnsi="Arial" w:cs="Arial"/>
          <w:sz w:val="22"/>
          <w:lang w:val="mk-MK"/>
        </w:rPr>
        <w:t>, крајниот датум за достав</w:t>
      </w:r>
      <w:r w:rsidRPr="002B2470">
        <w:rPr>
          <w:rFonts w:ascii="Arial" w:hAnsi="Arial" w:cs="Arial"/>
          <w:sz w:val="22"/>
          <w:lang w:val="mk-MK"/>
        </w:rPr>
        <w:t>ување</w:t>
      </w:r>
      <w:r w:rsidR="00A31A65" w:rsidRPr="0038361F">
        <w:rPr>
          <w:rFonts w:ascii="Arial" w:hAnsi="Arial" w:cs="Arial"/>
          <w:sz w:val="22"/>
          <w:lang w:val="mk-MK"/>
        </w:rPr>
        <w:t xml:space="preserve"> на </w:t>
      </w:r>
      <w:r w:rsidR="00A31A65" w:rsidRPr="002B2470">
        <w:rPr>
          <w:rFonts w:ascii="Arial" w:hAnsi="Arial" w:cs="Arial"/>
          <w:sz w:val="22"/>
          <w:lang w:val="mk-MK"/>
        </w:rPr>
        <w:t>барањата за</w:t>
      </w:r>
      <w:r w:rsidR="00A31A65" w:rsidRPr="0038361F">
        <w:rPr>
          <w:rFonts w:ascii="Arial" w:hAnsi="Arial" w:cs="Arial"/>
          <w:sz w:val="22"/>
          <w:lang w:val="mk-MK"/>
        </w:rPr>
        <w:t xml:space="preserve"> овој повик беше продолжен до 21 јули. Јавниот повик 01/2018 објавен во ноември 2018 година беше за доставување на </w:t>
      </w:r>
      <w:r w:rsidR="00A31A65" w:rsidRPr="002B2470">
        <w:rPr>
          <w:rFonts w:ascii="Arial" w:hAnsi="Arial" w:cs="Arial"/>
          <w:sz w:val="22"/>
          <w:lang w:val="mk-MK"/>
        </w:rPr>
        <w:t>барања</w:t>
      </w:r>
      <w:r w:rsidR="00A31A65" w:rsidRPr="0038361F">
        <w:rPr>
          <w:rFonts w:ascii="Arial" w:hAnsi="Arial" w:cs="Arial"/>
          <w:sz w:val="22"/>
          <w:lang w:val="mk-MK"/>
        </w:rPr>
        <w:t xml:space="preserve"> под </w:t>
      </w:r>
      <w:r w:rsidR="002B2470">
        <w:rPr>
          <w:rFonts w:ascii="Arial" w:hAnsi="Arial" w:cs="Arial"/>
          <w:sz w:val="22"/>
          <w:lang w:val="mk-MK"/>
        </w:rPr>
        <w:t>М</w:t>
      </w:r>
      <w:r w:rsidR="002B2470" w:rsidRPr="0038361F">
        <w:rPr>
          <w:rFonts w:ascii="Arial" w:hAnsi="Arial" w:cs="Arial"/>
          <w:sz w:val="22"/>
          <w:lang w:val="mk-MK"/>
        </w:rPr>
        <w:t xml:space="preserve">ерка </w:t>
      </w:r>
      <w:r w:rsidR="00A31A65" w:rsidRPr="0038361F">
        <w:rPr>
          <w:rFonts w:ascii="Arial" w:hAnsi="Arial" w:cs="Arial"/>
          <w:sz w:val="22"/>
          <w:lang w:val="mk-MK"/>
        </w:rPr>
        <w:t xml:space="preserve">3. Јавниот повик 02/2018 беше отворен кон крајот на декември 2018 година за поднесување </w:t>
      </w:r>
      <w:r w:rsidR="00A31A65" w:rsidRPr="002B2470">
        <w:rPr>
          <w:rFonts w:ascii="Arial" w:hAnsi="Arial" w:cs="Arial"/>
          <w:sz w:val="22"/>
          <w:lang w:val="mk-MK"/>
        </w:rPr>
        <w:t>барања</w:t>
      </w:r>
      <w:r w:rsidR="00A31A65" w:rsidRPr="0038361F">
        <w:rPr>
          <w:rFonts w:ascii="Arial" w:hAnsi="Arial" w:cs="Arial"/>
          <w:sz w:val="22"/>
          <w:lang w:val="mk-MK"/>
        </w:rPr>
        <w:t xml:space="preserve"> само под </w:t>
      </w:r>
      <w:r w:rsidR="002B2470">
        <w:rPr>
          <w:rFonts w:ascii="Arial" w:hAnsi="Arial" w:cs="Arial"/>
          <w:sz w:val="22"/>
          <w:lang w:val="mk-MK"/>
        </w:rPr>
        <w:t>М</w:t>
      </w:r>
      <w:r w:rsidR="002B2470" w:rsidRPr="0038361F">
        <w:rPr>
          <w:rFonts w:ascii="Arial" w:hAnsi="Arial" w:cs="Arial"/>
          <w:sz w:val="22"/>
          <w:lang w:val="mk-MK"/>
        </w:rPr>
        <w:t xml:space="preserve">ерка </w:t>
      </w:r>
      <w:r w:rsidR="00A31A65" w:rsidRPr="0038361F">
        <w:rPr>
          <w:rFonts w:ascii="Arial" w:hAnsi="Arial" w:cs="Arial"/>
          <w:sz w:val="22"/>
          <w:lang w:val="mk-MK"/>
        </w:rPr>
        <w:t>1.</w:t>
      </w:r>
    </w:p>
    <w:p w:rsidR="006F23FF" w:rsidRPr="0038361F" w:rsidRDefault="006F23FF" w:rsidP="00A31A65">
      <w:pPr>
        <w:pStyle w:val="m343668044302477783m-3986873246552044066msolistparagraph"/>
        <w:spacing w:before="120" w:beforeAutospacing="0" w:after="0" w:afterAutospacing="0"/>
        <w:jc w:val="both"/>
        <w:rPr>
          <w:rFonts w:ascii="Arial" w:hAnsi="Arial" w:cs="Arial"/>
          <w:sz w:val="22"/>
          <w:lang w:val="mk-MK"/>
        </w:rPr>
      </w:pPr>
    </w:p>
    <w:p w:rsidR="00A31A65" w:rsidRPr="002B2470" w:rsidRDefault="00A31A65" w:rsidP="009B65D1">
      <w:pPr>
        <w:pStyle w:val="ListParagraph"/>
        <w:numPr>
          <w:ilvl w:val="0"/>
          <w:numId w:val="12"/>
        </w:numPr>
        <w:spacing w:after="0" w:line="240" w:lineRule="auto"/>
        <w:jc w:val="both"/>
        <w:outlineLvl w:val="0"/>
        <w:rPr>
          <w:rFonts w:ascii="Arial" w:hAnsi="Arial" w:cs="Arial"/>
          <w:b/>
          <w:sz w:val="24"/>
          <w:szCs w:val="24"/>
          <w:lang w:val="mk-MK"/>
        </w:rPr>
      </w:pPr>
      <w:bookmarkStart w:id="2" w:name="_Toc8639860"/>
      <w:r w:rsidRPr="0038361F">
        <w:rPr>
          <w:rFonts w:ascii="Arial" w:hAnsi="Arial" w:cs="Arial"/>
          <w:b/>
          <w:sz w:val="24"/>
          <w:szCs w:val="24"/>
          <w:lang w:val="mk-MK"/>
        </w:rPr>
        <w:t xml:space="preserve">Промена во општите услови од значење за </w:t>
      </w:r>
      <w:r w:rsidR="00383BF2" w:rsidRPr="002B2470">
        <w:rPr>
          <w:rFonts w:ascii="Arial" w:hAnsi="Arial" w:cs="Arial"/>
          <w:b/>
          <w:sz w:val="24"/>
          <w:szCs w:val="24"/>
          <w:lang w:val="mk-MK"/>
        </w:rPr>
        <w:t xml:space="preserve">спроведување </w:t>
      </w:r>
      <w:r w:rsidR="00383BF2" w:rsidRPr="0038361F">
        <w:rPr>
          <w:rFonts w:ascii="Arial" w:hAnsi="Arial" w:cs="Arial"/>
          <w:b/>
          <w:sz w:val="24"/>
          <w:szCs w:val="24"/>
          <w:lang w:val="mk-MK"/>
        </w:rPr>
        <w:t>на</w:t>
      </w:r>
      <w:r w:rsidR="00383BF2" w:rsidRPr="002B2470">
        <w:rPr>
          <w:rFonts w:ascii="Arial" w:hAnsi="Arial" w:cs="Arial"/>
          <w:b/>
          <w:sz w:val="24"/>
          <w:szCs w:val="24"/>
          <w:lang w:val="mk-MK"/>
        </w:rPr>
        <w:t xml:space="preserve"> ИПАРД</w:t>
      </w:r>
      <w:r w:rsidR="002B2470">
        <w:rPr>
          <w:rFonts w:ascii="Arial" w:hAnsi="Arial" w:cs="Arial"/>
          <w:b/>
          <w:sz w:val="24"/>
          <w:szCs w:val="24"/>
          <w:lang w:val="mk-MK"/>
        </w:rPr>
        <w:t xml:space="preserve"> </w:t>
      </w:r>
      <w:r w:rsidR="00383BF2" w:rsidRPr="002B2470">
        <w:rPr>
          <w:rFonts w:ascii="Arial" w:hAnsi="Arial" w:cs="Arial"/>
          <w:b/>
          <w:sz w:val="24"/>
          <w:szCs w:val="24"/>
          <w:lang w:val="mk-MK"/>
        </w:rPr>
        <w:t>П</w:t>
      </w:r>
      <w:r w:rsidR="00383BF2" w:rsidRPr="0038361F">
        <w:rPr>
          <w:rFonts w:ascii="Arial" w:hAnsi="Arial" w:cs="Arial"/>
          <w:b/>
          <w:sz w:val="24"/>
          <w:szCs w:val="24"/>
          <w:lang w:val="mk-MK"/>
        </w:rPr>
        <w:t xml:space="preserve">рограмата </w:t>
      </w:r>
      <w:r w:rsidR="00383BF2" w:rsidRPr="002B2470">
        <w:rPr>
          <w:rFonts w:ascii="Arial" w:hAnsi="Arial" w:cs="Arial"/>
          <w:b/>
          <w:sz w:val="24"/>
          <w:szCs w:val="24"/>
          <w:lang w:val="mk-MK"/>
        </w:rPr>
        <w:t>2014-2020</w:t>
      </w:r>
      <w:bookmarkEnd w:id="2"/>
    </w:p>
    <w:p w:rsidR="00A31A65" w:rsidRPr="0038361F" w:rsidRDefault="00A31A65" w:rsidP="00A31A65">
      <w:pPr>
        <w:pStyle w:val="m343668044302477783m-3986873246552044066msolistparagraph"/>
        <w:spacing w:before="120" w:beforeAutospacing="0" w:after="0" w:afterAutospacing="0"/>
        <w:jc w:val="both"/>
        <w:outlineLvl w:val="1"/>
        <w:rPr>
          <w:rFonts w:ascii="Arial" w:hAnsi="Arial" w:cs="Arial"/>
          <w:b/>
          <w:lang w:val="mk-MK"/>
        </w:rPr>
      </w:pPr>
      <w:bookmarkStart w:id="3" w:name="_Toc8639861"/>
      <w:r w:rsidRPr="0038361F">
        <w:rPr>
          <w:rFonts w:ascii="Arial" w:hAnsi="Arial" w:cs="Arial"/>
          <w:b/>
          <w:lang w:val="mk-MK"/>
        </w:rPr>
        <w:t>2.1. Политичка и институционална рамка</w:t>
      </w:r>
      <w:bookmarkEnd w:id="3"/>
    </w:p>
    <w:p w:rsidR="00A31A65" w:rsidRPr="002B2470"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2B2470">
        <w:rPr>
          <w:rFonts w:ascii="Arial" w:hAnsi="Arial" w:cs="Arial"/>
          <w:sz w:val="22"/>
          <w:lang w:val="mk-MK"/>
        </w:rPr>
        <w:t xml:space="preserve">Од одобрувањето на ИПАРД Програмата 2014-2020 до крајот на периодот опфатен со овој извештај, се случија значајни промени во контекст на политичката и институционалната рамка. Политичката криза што го означи крајот на </w:t>
      </w:r>
      <w:r w:rsidR="006E320D" w:rsidRPr="008A22EF">
        <w:rPr>
          <w:rFonts w:ascii="Arial" w:hAnsi="Arial" w:cs="Arial"/>
          <w:sz w:val="22"/>
          <w:lang w:val="mk-MK"/>
        </w:rPr>
        <w:t>спроведувањето на ИПАРД 2007-2013</w:t>
      </w:r>
      <w:r w:rsidRPr="002B2470">
        <w:rPr>
          <w:rFonts w:ascii="Arial" w:hAnsi="Arial" w:cs="Arial"/>
          <w:sz w:val="22"/>
          <w:lang w:val="mk-MK"/>
        </w:rPr>
        <w:t xml:space="preserve"> резултираше со промени во владата. Периодот на политичка несигурност и продолжување на </w:t>
      </w:r>
      <w:r w:rsidR="002B2470">
        <w:rPr>
          <w:rFonts w:ascii="Arial" w:hAnsi="Arial" w:cs="Arial"/>
          <w:sz w:val="22"/>
          <w:lang w:val="mk-MK"/>
        </w:rPr>
        <w:t xml:space="preserve">формирањето </w:t>
      </w:r>
      <w:r w:rsidRPr="002B2470">
        <w:rPr>
          <w:rFonts w:ascii="Arial" w:hAnsi="Arial" w:cs="Arial"/>
          <w:sz w:val="22"/>
          <w:lang w:val="mk-MK"/>
        </w:rPr>
        <w:t>нова влада беше предизвик на многу нивоа и го забави нормалното функционирање на институциите и процесите, вклучително и некои аспекти од спроведувањето на Програмата. Во сите структури на ИПАРД беше назначен нов врвен менаџмент.</w:t>
      </w: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 xml:space="preserve">Една од поважните </w:t>
      </w:r>
      <w:r w:rsidR="009B65D1" w:rsidRPr="002B2470">
        <w:rPr>
          <w:rFonts w:ascii="Arial" w:hAnsi="Arial" w:cs="Arial"/>
          <w:sz w:val="22"/>
          <w:lang w:val="mk-MK"/>
        </w:rPr>
        <w:t>одредници</w:t>
      </w:r>
      <w:r w:rsidR="00661F10" w:rsidRPr="0038361F">
        <w:rPr>
          <w:rFonts w:ascii="Arial" w:hAnsi="Arial" w:cs="Arial"/>
          <w:sz w:val="22"/>
          <w:lang w:val="mk-MK"/>
        </w:rPr>
        <w:t xml:space="preserve"> што во голема мера се одраз</w:t>
      </w:r>
      <w:r w:rsidR="00661F10" w:rsidRPr="002B2470">
        <w:rPr>
          <w:rFonts w:ascii="Arial" w:hAnsi="Arial" w:cs="Arial"/>
          <w:sz w:val="22"/>
          <w:lang w:val="mk-MK"/>
        </w:rPr>
        <w:t>и</w:t>
      </w:r>
      <w:r w:rsidRPr="0038361F">
        <w:rPr>
          <w:rFonts w:ascii="Arial" w:hAnsi="Arial" w:cs="Arial"/>
          <w:sz w:val="22"/>
          <w:lang w:val="mk-MK"/>
        </w:rPr>
        <w:t xml:space="preserve"> на политичкиот контекст на земјата е стапувањето во сила на Преспанскиот договор, кој </w:t>
      </w:r>
      <w:r w:rsidR="00661F10" w:rsidRPr="002B2470">
        <w:rPr>
          <w:rFonts w:ascii="Arial" w:hAnsi="Arial" w:cs="Arial"/>
          <w:sz w:val="22"/>
          <w:lang w:val="mk-MK"/>
        </w:rPr>
        <w:t xml:space="preserve">го </w:t>
      </w:r>
      <w:r w:rsidR="00661F10" w:rsidRPr="0038361F">
        <w:rPr>
          <w:rFonts w:ascii="Arial" w:hAnsi="Arial" w:cs="Arial"/>
          <w:sz w:val="22"/>
          <w:lang w:val="mk-MK"/>
        </w:rPr>
        <w:t>реш</w:t>
      </w:r>
      <w:r w:rsidR="00661F10" w:rsidRPr="002B2470">
        <w:rPr>
          <w:rFonts w:ascii="Arial" w:hAnsi="Arial" w:cs="Arial"/>
          <w:sz w:val="22"/>
          <w:lang w:val="mk-MK"/>
        </w:rPr>
        <w:t>и</w:t>
      </w:r>
      <w:r w:rsidR="00661F10" w:rsidRPr="0038361F">
        <w:rPr>
          <w:rFonts w:ascii="Arial" w:hAnsi="Arial" w:cs="Arial"/>
          <w:sz w:val="22"/>
          <w:lang w:val="mk-MK"/>
        </w:rPr>
        <w:t xml:space="preserve"> долготра</w:t>
      </w:r>
      <w:r w:rsidR="00661F10" w:rsidRPr="002B2470">
        <w:rPr>
          <w:rFonts w:ascii="Arial" w:hAnsi="Arial" w:cs="Arial"/>
          <w:sz w:val="22"/>
          <w:lang w:val="mk-MK"/>
        </w:rPr>
        <w:t>ј</w:t>
      </w:r>
      <w:r w:rsidRPr="0038361F">
        <w:rPr>
          <w:rFonts w:ascii="Arial" w:hAnsi="Arial" w:cs="Arial"/>
          <w:sz w:val="22"/>
          <w:lang w:val="mk-MK"/>
        </w:rPr>
        <w:t>н</w:t>
      </w:r>
      <w:r w:rsidR="00661F10" w:rsidRPr="002B2470">
        <w:rPr>
          <w:rFonts w:ascii="Arial" w:hAnsi="Arial" w:cs="Arial"/>
          <w:sz w:val="22"/>
          <w:lang w:val="mk-MK"/>
        </w:rPr>
        <w:t>иот</w:t>
      </w:r>
      <w:r w:rsidRPr="0038361F">
        <w:rPr>
          <w:rFonts w:ascii="Arial" w:hAnsi="Arial" w:cs="Arial"/>
          <w:sz w:val="22"/>
          <w:lang w:val="mk-MK"/>
        </w:rPr>
        <w:t xml:space="preserve"> надво</w:t>
      </w:r>
      <w:r w:rsidR="00661F10" w:rsidRPr="0038361F">
        <w:rPr>
          <w:rFonts w:ascii="Arial" w:hAnsi="Arial" w:cs="Arial"/>
          <w:sz w:val="22"/>
          <w:lang w:val="mk-MK"/>
        </w:rPr>
        <w:t>решно-политички проблем и отвор</w:t>
      </w:r>
      <w:r w:rsidR="00661F10" w:rsidRPr="002B2470">
        <w:rPr>
          <w:rFonts w:ascii="Arial" w:hAnsi="Arial" w:cs="Arial"/>
          <w:sz w:val="22"/>
          <w:lang w:val="mk-MK"/>
        </w:rPr>
        <w:t>и</w:t>
      </w:r>
      <w:r w:rsidRPr="0038361F">
        <w:rPr>
          <w:rFonts w:ascii="Arial" w:hAnsi="Arial" w:cs="Arial"/>
          <w:sz w:val="22"/>
          <w:lang w:val="mk-MK"/>
        </w:rPr>
        <w:t xml:space="preserve"> европски перспективи.</w:t>
      </w: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Во април 2018 година, Комисијата го објави редовниот извештај за напредокот на Република Северна Македонија, во кој се наведува дека не е постигнат напредок за подобрување на квалитетот на податоците и реле</w:t>
      </w:r>
      <w:r w:rsidR="00661F10" w:rsidRPr="0038361F">
        <w:rPr>
          <w:rFonts w:ascii="Arial" w:hAnsi="Arial" w:cs="Arial"/>
          <w:sz w:val="22"/>
          <w:lang w:val="mk-MK"/>
        </w:rPr>
        <w:t>вантноста на регистарот на фарм</w:t>
      </w:r>
      <w:r w:rsidR="00661F10" w:rsidRPr="002B2470">
        <w:rPr>
          <w:rFonts w:ascii="Arial" w:hAnsi="Arial" w:cs="Arial"/>
          <w:sz w:val="22"/>
          <w:lang w:val="mk-MK"/>
        </w:rPr>
        <w:t>и</w:t>
      </w:r>
      <w:r w:rsidRPr="0038361F">
        <w:rPr>
          <w:rFonts w:ascii="Arial" w:hAnsi="Arial" w:cs="Arial"/>
          <w:sz w:val="22"/>
          <w:lang w:val="mk-MK"/>
        </w:rPr>
        <w:t xml:space="preserve"> и </w:t>
      </w:r>
      <w:r w:rsidR="009B65D1" w:rsidRPr="002B2470">
        <w:rPr>
          <w:rFonts w:ascii="Arial" w:hAnsi="Arial" w:cs="Arial"/>
          <w:sz w:val="22"/>
          <w:lang w:val="mk-MK"/>
        </w:rPr>
        <w:t>LPIS</w:t>
      </w:r>
      <w:r w:rsidR="009B65D1" w:rsidRPr="0038361F">
        <w:rPr>
          <w:rFonts w:ascii="Arial" w:hAnsi="Arial" w:cs="Arial"/>
          <w:sz w:val="22"/>
          <w:lang w:val="mk-MK"/>
        </w:rPr>
        <w:t xml:space="preserve"> (</w:t>
      </w:r>
      <w:r w:rsidR="009B65D1" w:rsidRPr="002B2470">
        <w:rPr>
          <w:rFonts w:ascii="Arial" w:hAnsi="Arial" w:cs="Arial"/>
          <w:sz w:val="22"/>
          <w:lang w:val="mk-MK"/>
        </w:rPr>
        <w:t>систем за идентификација на земјишни парцели)</w:t>
      </w:r>
      <w:r w:rsidRPr="0038361F">
        <w:rPr>
          <w:rFonts w:ascii="Arial" w:hAnsi="Arial" w:cs="Arial"/>
          <w:sz w:val="22"/>
          <w:lang w:val="mk-MK"/>
        </w:rPr>
        <w:t>. Моменталните структури и ресурси на М</w:t>
      </w:r>
      <w:r w:rsidR="00661F10" w:rsidRPr="002B2470">
        <w:rPr>
          <w:rFonts w:ascii="Arial" w:hAnsi="Arial" w:cs="Arial"/>
          <w:sz w:val="22"/>
          <w:lang w:val="mk-MK"/>
        </w:rPr>
        <w:t xml:space="preserve">инистерството за земјоделство, шумарство и водостопанство </w:t>
      </w:r>
      <w:r w:rsidRPr="0038361F">
        <w:rPr>
          <w:rFonts w:ascii="Arial" w:hAnsi="Arial" w:cs="Arial"/>
          <w:sz w:val="22"/>
          <w:lang w:val="mk-MK"/>
        </w:rPr>
        <w:t xml:space="preserve">и ИПАРД Агенцијата </w:t>
      </w:r>
      <w:r w:rsidRPr="002B2470">
        <w:rPr>
          <w:rFonts w:ascii="Arial" w:hAnsi="Arial" w:cs="Arial"/>
          <w:sz w:val="22"/>
          <w:lang w:val="mk-MK"/>
        </w:rPr>
        <w:t>беа</w:t>
      </w:r>
      <w:r w:rsidRPr="0038361F">
        <w:rPr>
          <w:rFonts w:ascii="Arial" w:hAnsi="Arial" w:cs="Arial"/>
          <w:sz w:val="22"/>
          <w:lang w:val="mk-MK"/>
        </w:rPr>
        <w:t xml:space="preserve"> недоволни </w:t>
      </w:r>
      <w:r w:rsidR="002B2470">
        <w:rPr>
          <w:rFonts w:ascii="Arial" w:hAnsi="Arial" w:cs="Arial"/>
          <w:sz w:val="22"/>
          <w:lang w:val="mk-MK"/>
        </w:rPr>
        <w:t>д</w:t>
      </w:r>
      <w:r w:rsidRPr="0038361F">
        <w:rPr>
          <w:rFonts w:ascii="Arial" w:hAnsi="Arial" w:cs="Arial"/>
          <w:sz w:val="22"/>
          <w:lang w:val="mk-MK"/>
        </w:rPr>
        <w:t xml:space="preserve">а работат </w:t>
      </w:r>
      <w:r w:rsidR="002B2470">
        <w:rPr>
          <w:rFonts w:ascii="Arial" w:hAnsi="Arial" w:cs="Arial"/>
          <w:sz w:val="22"/>
          <w:lang w:val="mk-MK"/>
        </w:rPr>
        <w:t xml:space="preserve">со </w:t>
      </w:r>
      <w:r w:rsidRPr="0038361F">
        <w:rPr>
          <w:rFonts w:ascii="Arial" w:hAnsi="Arial" w:cs="Arial"/>
          <w:sz w:val="22"/>
          <w:lang w:val="mk-MK"/>
        </w:rPr>
        <w:t xml:space="preserve">и </w:t>
      </w:r>
      <w:r w:rsidR="002B2470">
        <w:rPr>
          <w:rFonts w:ascii="Arial" w:hAnsi="Arial" w:cs="Arial"/>
          <w:sz w:val="22"/>
          <w:lang w:val="mk-MK"/>
        </w:rPr>
        <w:t xml:space="preserve">да го </w:t>
      </w:r>
      <w:r w:rsidRPr="0038361F">
        <w:rPr>
          <w:rFonts w:ascii="Arial" w:hAnsi="Arial" w:cs="Arial"/>
          <w:sz w:val="22"/>
          <w:lang w:val="mk-MK"/>
        </w:rPr>
        <w:t xml:space="preserve">одржуваат IACS (робустен систем за контрола). Земјата треба да ја разјасни улогата на Министерството и ИПАРД агенцијата за работа и одржување на ИАКС. Способноста </w:t>
      </w:r>
      <w:r w:rsidRPr="002B2470">
        <w:rPr>
          <w:rFonts w:ascii="Arial" w:hAnsi="Arial" w:cs="Arial"/>
          <w:sz w:val="22"/>
          <w:lang w:val="mk-MK"/>
        </w:rPr>
        <w:t>за искористување на средствата</w:t>
      </w:r>
      <w:r w:rsidR="008E7AFF" w:rsidRPr="002B2470">
        <w:rPr>
          <w:rFonts w:ascii="Arial" w:hAnsi="Arial" w:cs="Arial"/>
          <w:sz w:val="22"/>
          <w:lang w:val="mk-MK"/>
        </w:rPr>
        <w:t xml:space="preserve"> </w:t>
      </w:r>
      <w:r w:rsidRPr="002B2470">
        <w:rPr>
          <w:rFonts w:ascii="Arial" w:hAnsi="Arial" w:cs="Arial"/>
          <w:sz w:val="22"/>
          <w:lang w:val="mk-MK"/>
        </w:rPr>
        <w:t>од</w:t>
      </w:r>
      <w:r w:rsidR="008E7AFF" w:rsidRPr="0038361F">
        <w:rPr>
          <w:rFonts w:ascii="Arial" w:hAnsi="Arial" w:cs="Arial"/>
          <w:sz w:val="22"/>
          <w:lang w:val="mk-MK"/>
        </w:rPr>
        <w:t xml:space="preserve"> ИПАРД </w:t>
      </w:r>
      <w:r w:rsidR="008E7AFF" w:rsidRPr="002B2470">
        <w:rPr>
          <w:rFonts w:ascii="Arial" w:hAnsi="Arial" w:cs="Arial"/>
          <w:sz w:val="22"/>
          <w:lang w:val="mk-MK"/>
        </w:rPr>
        <w:t>2014-2020</w:t>
      </w:r>
      <w:r w:rsidRPr="0038361F">
        <w:rPr>
          <w:rFonts w:ascii="Arial" w:hAnsi="Arial" w:cs="Arial"/>
          <w:sz w:val="22"/>
          <w:lang w:val="mk-MK"/>
        </w:rPr>
        <w:t xml:space="preserve"> останува предизвик поради некомплетните барања и долготрајниот про</w:t>
      </w:r>
      <w:r w:rsidR="008E7AFF" w:rsidRPr="0038361F">
        <w:rPr>
          <w:rFonts w:ascii="Arial" w:hAnsi="Arial" w:cs="Arial"/>
          <w:sz w:val="22"/>
          <w:lang w:val="mk-MK"/>
        </w:rPr>
        <w:t xml:space="preserve">цес на одобрување на барањата. </w:t>
      </w:r>
      <w:r w:rsidRPr="0038361F">
        <w:rPr>
          <w:rFonts w:ascii="Arial" w:hAnsi="Arial" w:cs="Arial"/>
          <w:sz w:val="22"/>
          <w:lang w:val="mk-MK"/>
        </w:rPr>
        <w:t xml:space="preserve">Постојаниот одлив на вработени во Телото за </w:t>
      </w:r>
      <w:r w:rsidRPr="0038361F">
        <w:rPr>
          <w:rFonts w:ascii="Arial" w:hAnsi="Arial" w:cs="Arial"/>
          <w:sz w:val="22"/>
          <w:lang w:val="mk-MK"/>
        </w:rPr>
        <w:lastRenderedPageBreak/>
        <w:t>управување со ИПАРД и во ИПАРД Агенцијата продолжуваат да бидат предмет на сериозна загриженост.</w:t>
      </w:r>
    </w:p>
    <w:p w:rsidR="00A31A65" w:rsidRPr="0038361F" w:rsidRDefault="009C239D" w:rsidP="009C239D">
      <w:pPr>
        <w:pStyle w:val="m343668044302477783m-3986873246552044066msolistparagraph"/>
        <w:spacing w:before="120" w:beforeAutospacing="0" w:after="0" w:afterAutospacing="0"/>
        <w:ind w:left="360"/>
        <w:jc w:val="both"/>
        <w:outlineLvl w:val="1"/>
        <w:rPr>
          <w:rFonts w:ascii="Arial" w:hAnsi="Arial" w:cs="Arial"/>
          <w:b/>
          <w:lang w:val="mk-MK"/>
        </w:rPr>
      </w:pPr>
      <w:bookmarkStart w:id="4" w:name="_Toc8639862"/>
      <w:r w:rsidRPr="002B2470">
        <w:rPr>
          <w:rFonts w:ascii="Arial" w:hAnsi="Arial" w:cs="Arial"/>
          <w:b/>
          <w:lang w:val="mk-MK"/>
        </w:rPr>
        <w:t xml:space="preserve">2.2 </w:t>
      </w:r>
      <w:r w:rsidR="00A31A65" w:rsidRPr="002B2470">
        <w:rPr>
          <w:rFonts w:ascii="Arial" w:hAnsi="Arial" w:cs="Arial"/>
          <w:b/>
          <w:lang w:val="mk-MK"/>
        </w:rPr>
        <w:t>Макроекономска состојба</w:t>
      </w:r>
      <w:bookmarkEnd w:id="4"/>
    </w:p>
    <w:p w:rsidR="00A31A65" w:rsidRPr="0038361F" w:rsidRDefault="00A31A65" w:rsidP="00A31A65">
      <w:pPr>
        <w:pStyle w:val="m343668044302477783m-3986873246552044066msolistparagraph"/>
        <w:spacing w:before="120" w:beforeAutospacing="0" w:after="120" w:afterAutospacing="0"/>
        <w:jc w:val="both"/>
        <w:rPr>
          <w:rFonts w:ascii="Arial" w:hAnsi="Arial" w:cs="Arial"/>
          <w:sz w:val="22"/>
          <w:lang w:val="mk-MK"/>
        </w:rPr>
      </w:pPr>
      <w:r w:rsidRPr="0038361F">
        <w:rPr>
          <w:rFonts w:ascii="Arial" w:hAnsi="Arial" w:cs="Arial"/>
          <w:sz w:val="22"/>
          <w:lang w:val="mk-MK"/>
        </w:rPr>
        <w:t>Податоците и извештаите објавени од релевантни институции покажуваат дека економијата останува стабилна, но темпото на раст повторно е оценето како незадоволително</w:t>
      </w:r>
      <w:r w:rsidR="002B2470">
        <w:rPr>
          <w:rFonts w:ascii="Arial" w:hAnsi="Arial" w:cs="Arial"/>
          <w:sz w:val="22"/>
          <w:lang w:val="mk-MK"/>
        </w:rPr>
        <w:t>,</w:t>
      </w:r>
      <w:r w:rsidRPr="0038361F">
        <w:rPr>
          <w:rFonts w:ascii="Arial" w:hAnsi="Arial" w:cs="Arial"/>
          <w:sz w:val="22"/>
          <w:lang w:val="mk-MK"/>
        </w:rPr>
        <w:t xml:space="preserve"> погодено од зголемената политичка несигурност.</w:t>
      </w:r>
    </w:p>
    <w:p w:rsidR="00A31A65" w:rsidRPr="0038361F" w:rsidRDefault="00CE334A" w:rsidP="00A31A65">
      <w:pPr>
        <w:pStyle w:val="Caption"/>
        <w:rPr>
          <w:rFonts w:ascii="Arial" w:hAnsi="Arial" w:cs="Arial"/>
          <w:sz w:val="20"/>
          <w:szCs w:val="24"/>
          <w:lang w:val="mk-MK"/>
        </w:rPr>
      </w:pPr>
      <w:bookmarkStart w:id="5" w:name="_Toc8640191"/>
      <w:r w:rsidRPr="002B2470">
        <w:rPr>
          <w:rFonts w:ascii="Arial" w:hAnsi="Arial" w:cs="Arial"/>
          <w:i w:val="0"/>
          <w:color w:val="auto"/>
          <w:sz w:val="20"/>
          <w:szCs w:val="24"/>
          <w:lang w:val="mk-MK"/>
        </w:rPr>
        <w:t xml:space="preserve">Табела </w:t>
      </w:r>
      <w:r w:rsidRPr="005A7450">
        <w:rPr>
          <w:rFonts w:ascii="Arial" w:hAnsi="Arial" w:cs="Arial"/>
          <w:i w:val="0"/>
          <w:color w:val="auto"/>
          <w:sz w:val="20"/>
          <w:szCs w:val="24"/>
          <w:lang w:val="mk-MK"/>
        </w:rPr>
        <w:fldChar w:fldCharType="begin"/>
      </w:r>
      <w:r w:rsidRPr="002B2470">
        <w:rPr>
          <w:rFonts w:ascii="Arial" w:hAnsi="Arial" w:cs="Arial"/>
          <w:i w:val="0"/>
          <w:color w:val="auto"/>
          <w:sz w:val="20"/>
          <w:szCs w:val="24"/>
          <w:lang w:val="mk-MK"/>
        </w:rPr>
        <w:instrText xml:space="preserve"> SEQ Table \* ARABIC </w:instrText>
      </w:r>
      <w:r w:rsidRPr="005A7450">
        <w:rPr>
          <w:rFonts w:ascii="Arial" w:hAnsi="Arial" w:cs="Arial"/>
          <w:i w:val="0"/>
          <w:color w:val="auto"/>
          <w:sz w:val="20"/>
          <w:szCs w:val="24"/>
          <w:lang w:val="mk-MK"/>
        </w:rPr>
        <w:fldChar w:fldCharType="separate"/>
      </w:r>
      <w:r w:rsidRPr="002B2470">
        <w:rPr>
          <w:rFonts w:ascii="Arial" w:hAnsi="Arial" w:cs="Arial"/>
          <w:i w:val="0"/>
          <w:color w:val="auto"/>
          <w:sz w:val="20"/>
          <w:szCs w:val="24"/>
          <w:lang w:val="mk-MK"/>
        </w:rPr>
        <w:t>1</w:t>
      </w:r>
      <w:r w:rsidRPr="005A7450">
        <w:rPr>
          <w:rFonts w:ascii="Arial" w:hAnsi="Arial" w:cs="Arial"/>
          <w:i w:val="0"/>
          <w:color w:val="auto"/>
          <w:sz w:val="20"/>
          <w:szCs w:val="24"/>
          <w:lang w:val="mk-MK"/>
        </w:rPr>
        <w:fldChar w:fldCharType="end"/>
      </w:r>
      <w:r w:rsidRPr="002B2470">
        <w:rPr>
          <w:rFonts w:ascii="Arial" w:hAnsi="Arial" w:cs="Arial"/>
          <w:i w:val="0"/>
          <w:color w:val="auto"/>
          <w:sz w:val="20"/>
          <w:szCs w:val="24"/>
          <w:lang w:val="mk-MK"/>
        </w:rPr>
        <w:t>:</w:t>
      </w:r>
      <w:r w:rsidR="002B2470">
        <w:rPr>
          <w:rFonts w:ascii="Arial" w:hAnsi="Arial" w:cs="Arial"/>
          <w:i w:val="0"/>
          <w:color w:val="auto"/>
          <w:sz w:val="20"/>
          <w:szCs w:val="24"/>
          <w:lang w:val="mk-MK"/>
        </w:rPr>
        <w:t xml:space="preserve"> </w:t>
      </w:r>
      <w:r w:rsidR="00A31A65" w:rsidRPr="002B2470">
        <w:rPr>
          <w:rFonts w:ascii="Arial" w:hAnsi="Arial" w:cs="Arial"/>
          <w:i w:val="0"/>
          <w:color w:val="auto"/>
          <w:sz w:val="20"/>
          <w:szCs w:val="24"/>
          <w:lang w:val="mk-MK"/>
        </w:rPr>
        <w:t>Главни макроекономски индикатори</w:t>
      </w:r>
      <w:bookmarkEnd w:id="5"/>
    </w:p>
    <w:tbl>
      <w:tblPr>
        <w:tblStyle w:val="TableGrid"/>
        <w:tblW w:w="9247" w:type="dxa"/>
        <w:tblInd w:w="108" w:type="dxa"/>
        <w:tblLook w:val="01E0" w:firstRow="1" w:lastRow="1" w:firstColumn="1" w:lastColumn="1" w:noHBand="0" w:noVBand="0"/>
      </w:tblPr>
      <w:tblGrid>
        <w:gridCol w:w="4121"/>
        <w:gridCol w:w="806"/>
        <w:gridCol w:w="810"/>
        <w:gridCol w:w="810"/>
        <w:gridCol w:w="900"/>
        <w:gridCol w:w="900"/>
        <w:gridCol w:w="900"/>
      </w:tblGrid>
      <w:tr w:rsidR="00A31A65" w:rsidRPr="002B2470" w:rsidTr="009B65D1">
        <w:trPr>
          <w:trHeight w:val="517"/>
        </w:trPr>
        <w:tc>
          <w:tcPr>
            <w:tcW w:w="4121" w:type="dxa"/>
            <w:tcBorders>
              <w:top w:val="nil"/>
              <w:left w:val="nil"/>
            </w:tcBorders>
            <w:shd w:val="clear" w:color="auto" w:fill="auto"/>
          </w:tcPr>
          <w:p w:rsidR="00A31A65" w:rsidRPr="0038361F" w:rsidRDefault="00A31A65" w:rsidP="00A31A65">
            <w:pPr>
              <w:keepNext/>
              <w:keepLines/>
              <w:jc w:val="center"/>
              <w:rPr>
                <w:rFonts w:ascii="Arial" w:hAnsi="Arial" w:cs="Arial"/>
                <w:sz w:val="20"/>
                <w:szCs w:val="20"/>
                <w:lang w:val="mk-MK"/>
              </w:rPr>
            </w:pPr>
          </w:p>
        </w:tc>
        <w:tc>
          <w:tcPr>
            <w:tcW w:w="806" w:type="dxa"/>
            <w:shd w:val="clear" w:color="auto" w:fill="auto"/>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2012</w:t>
            </w:r>
          </w:p>
        </w:tc>
        <w:tc>
          <w:tcPr>
            <w:tcW w:w="810" w:type="dxa"/>
            <w:shd w:val="clear" w:color="auto" w:fill="auto"/>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2013</w:t>
            </w:r>
          </w:p>
        </w:tc>
        <w:tc>
          <w:tcPr>
            <w:tcW w:w="810" w:type="dxa"/>
            <w:shd w:val="clear" w:color="auto" w:fill="auto"/>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2014</w:t>
            </w:r>
          </w:p>
        </w:tc>
        <w:tc>
          <w:tcPr>
            <w:tcW w:w="900" w:type="dxa"/>
            <w:shd w:val="clear" w:color="auto" w:fill="auto"/>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2015</w:t>
            </w:r>
          </w:p>
        </w:tc>
        <w:tc>
          <w:tcPr>
            <w:tcW w:w="900" w:type="dxa"/>
            <w:shd w:val="clear" w:color="auto" w:fill="auto"/>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2016</w:t>
            </w:r>
          </w:p>
        </w:tc>
        <w:tc>
          <w:tcPr>
            <w:tcW w:w="900" w:type="dxa"/>
            <w:vAlign w:val="center"/>
          </w:tcPr>
          <w:p w:rsidR="00A31A65" w:rsidRPr="0038361F" w:rsidRDefault="00A31A65" w:rsidP="00A31A65">
            <w:pPr>
              <w:jc w:val="center"/>
              <w:rPr>
                <w:rFonts w:ascii="Arial" w:hAnsi="Arial" w:cs="Arial"/>
                <w:bCs/>
                <w:sz w:val="20"/>
                <w:szCs w:val="20"/>
                <w:lang w:val="mk-MK"/>
              </w:rPr>
            </w:pPr>
            <w:r w:rsidRPr="0038361F">
              <w:rPr>
                <w:rFonts w:ascii="Arial" w:hAnsi="Arial" w:cs="Arial"/>
                <w:bCs/>
                <w:sz w:val="20"/>
                <w:szCs w:val="20"/>
                <w:lang w:val="mk-MK"/>
              </w:rPr>
              <w:t>2017</w:t>
            </w:r>
          </w:p>
        </w:tc>
      </w:tr>
      <w:tr w:rsidR="00A31A65" w:rsidRPr="002B2470" w:rsidTr="0038361F">
        <w:trPr>
          <w:trHeight w:val="179"/>
        </w:trPr>
        <w:tc>
          <w:tcPr>
            <w:tcW w:w="4121" w:type="dxa"/>
            <w:shd w:val="clear" w:color="auto" w:fill="auto"/>
          </w:tcPr>
          <w:p w:rsidR="00A31A65" w:rsidRPr="0038361F" w:rsidRDefault="00A31A65" w:rsidP="00A31A65">
            <w:pPr>
              <w:rPr>
                <w:rFonts w:ascii="Arial" w:hAnsi="Arial" w:cs="Arial"/>
                <w:sz w:val="20"/>
                <w:szCs w:val="20"/>
                <w:lang w:val="mk-MK"/>
              </w:rPr>
            </w:pPr>
            <w:r w:rsidRPr="0038361F">
              <w:rPr>
                <w:rFonts w:ascii="Arial" w:hAnsi="Arial" w:cs="Arial"/>
                <w:sz w:val="20"/>
                <w:szCs w:val="20"/>
                <w:lang w:val="mk-MK"/>
              </w:rPr>
              <w:t>БДП во милиони евра (по тековен девизен курс)</w:t>
            </w:r>
          </w:p>
        </w:tc>
        <w:tc>
          <w:tcPr>
            <w:tcW w:w="806" w:type="dxa"/>
            <w:shd w:val="clear" w:color="auto" w:fill="auto"/>
            <w:vAlign w:val="bottom"/>
          </w:tcPr>
          <w:p w:rsidR="00A31A65" w:rsidRPr="002B2470" w:rsidRDefault="00A31A65" w:rsidP="002B2470">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7.585</w:t>
            </w:r>
          </w:p>
        </w:tc>
        <w:tc>
          <w:tcPr>
            <w:tcW w:w="810" w:type="dxa"/>
            <w:shd w:val="clear" w:color="auto" w:fill="auto"/>
            <w:vAlign w:val="bottom"/>
          </w:tcPr>
          <w:p w:rsidR="00A31A65" w:rsidRPr="002B2470" w:rsidRDefault="00A31A65" w:rsidP="008A22E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8.150</w:t>
            </w:r>
          </w:p>
        </w:tc>
        <w:tc>
          <w:tcPr>
            <w:tcW w:w="81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8.562</w:t>
            </w:r>
          </w:p>
        </w:tc>
        <w:tc>
          <w:tcPr>
            <w:tcW w:w="90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9.072</w:t>
            </w:r>
          </w:p>
        </w:tc>
        <w:tc>
          <w:tcPr>
            <w:tcW w:w="90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9.657</w:t>
            </w:r>
          </w:p>
        </w:tc>
        <w:tc>
          <w:tcPr>
            <w:tcW w:w="900" w:type="dxa"/>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10.026</w:t>
            </w:r>
          </w:p>
        </w:tc>
      </w:tr>
      <w:tr w:rsidR="00A31A65" w:rsidRPr="002B2470" w:rsidTr="0038361F">
        <w:trPr>
          <w:trHeight w:val="57"/>
        </w:trPr>
        <w:tc>
          <w:tcPr>
            <w:tcW w:w="4121" w:type="dxa"/>
            <w:shd w:val="clear" w:color="auto" w:fill="auto"/>
          </w:tcPr>
          <w:p w:rsidR="00A31A65" w:rsidRPr="002B2470" w:rsidRDefault="00A31A65" w:rsidP="00A31A65">
            <w:pPr>
              <w:rPr>
                <w:rFonts w:ascii="Arial" w:hAnsi="Arial" w:cs="Arial"/>
                <w:sz w:val="20"/>
                <w:szCs w:val="20"/>
                <w:lang w:val="mk-MK"/>
              </w:rPr>
            </w:pPr>
            <w:r w:rsidRPr="002B2470">
              <w:rPr>
                <w:rFonts w:ascii="Arial" w:hAnsi="Arial" w:cs="Arial"/>
                <w:sz w:val="20"/>
                <w:szCs w:val="20"/>
                <w:lang w:val="mk-MK"/>
              </w:rPr>
              <w:t>БДП по жител во евра (по тековен девизен курс)</w:t>
            </w:r>
          </w:p>
        </w:tc>
        <w:tc>
          <w:tcPr>
            <w:tcW w:w="806" w:type="dxa"/>
            <w:shd w:val="clear" w:color="auto" w:fill="auto"/>
            <w:vAlign w:val="bottom"/>
          </w:tcPr>
          <w:p w:rsidR="00A31A65" w:rsidRPr="002B2470" w:rsidRDefault="00A31A65" w:rsidP="002B2470">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3.680</w:t>
            </w:r>
          </w:p>
        </w:tc>
        <w:tc>
          <w:tcPr>
            <w:tcW w:w="810" w:type="dxa"/>
            <w:shd w:val="clear" w:color="auto" w:fill="auto"/>
            <w:vAlign w:val="bottom"/>
          </w:tcPr>
          <w:p w:rsidR="00A31A65" w:rsidRPr="002B2470" w:rsidDel="00D36D5D" w:rsidRDefault="00A31A65" w:rsidP="002B2470">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3.948</w:t>
            </w:r>
          </w:p>
        </w:tc>
        <w:tc>
          <w:tcPr>
            <w:tcW w:w="810" w:type="dxa"/>
            <w:shd w:val="clear" w:color="auto" w:fill="auto"/>
            <w:vAlign w:val="bottom"/>
          </w:tcPr>
          <w:p w:rsidR="00A31A65" w:rsidRPr="008A22EF" w:rsidRDefault="00A31A65" w:rsidP="008A22EF">
            <w:pPr>
              <w:jc w:val="center"/>
              <w:rPr>
                <w:rStyle w:val="Bodytext85pt"/>
                <w:rFonts w:ascii="Arial" w:eastAsiaTheme="minorHAnsi" w:hAnsi="Arial" w:cs="Arial"/>
                <w:sz w:val="20"/>
                <w:szCs w:val="20"/>
              </w:rPr>
            </w:pPr>
            <w:r w:rsidRPr="008A22EF">
              <w:rPr>
                <w:rStyle w:val="Bodytext85pt"/>
                <w:rFonts w:ascii="Arial" w:eastAsiaTheme="minorHAnsi" w:hAnsi="Arial" w:cs="Arial"/>
                <w:sz w:val="20"/>
                <w:szCs w:val="20"/>
              </w:rPr>
              <w:t>4.141</w:t>
            </w:r>
          </w:p>
        </w:tc>
        <w:tc>
          <w:tcPr>
            <w:tcW w:w="90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4.382</w:t>
            </w:r>
          </w:p>
        </w:tc>
        <w:tc>
          <w:tcPr>
            <w:tcW w:w="90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4.659</w:t>
            </w:r>
          </w:p>
        </w:tc>
        <w:tc>
          <w:tcPr>
            <w:tcW w:w="900" w:type="dxa"/>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4.831</w:t>
            </w:r>
          </w:p>
        </w:tc>
      </w:tr>
      <w:tr w:rsidR="00A31A65" w:rsidRPr="002B2470" w:rsidTr="0038361F">
        <w:trPr>
          <w:trHeight w:val="57"/>
        </w:trPr>
        <w:tc>
          <w:tcPr>
            <w:tcW w:w="4121" w:type="dxa"/>
            <w:shd w:val="clear" w:color="auto" w:fill="auto"/>
          </w:tcPr>
          <w:p w:rsidR="00A31A65" w:rsidRPr="002B2470" w:rsidRDefault="00A31A65" w:rsidP="00A31A65">
            <w:pPr>
              <w:rPr>
                <w:rFonts w:ascii="Arial" w:hAnsi="Arial" w:cs="Arial"/>
                <w:sz w:val="20"/>
                <w:szCs w:val="20"/>
                <w:lang w:val="mk-MK"/>
              </w:rPr>
            </w:pPr>
            <w:r w:rsidRPr="002B2470">
              <w:rPr>
                <w:rFonts w:ascii="Arial" w:hAnsi="Arial" w:cs="Arial"/>
                <w:sz w:val="20"/>
                <w:szCs w:val="20"/>
                <w:lang w:val="mk-MK"/>
              </w:rPr>
              <w:t>Реален раст на БДП (во%)</w:t>
            </w:r>
          </w:p>
        </w:tc>
        <w:tc>
          <w:tcPr>
            <w:tcW w:w="806" w:type="dxa"/>
            <w:shd w:val="clear" w:color="auto" w:fill="auto"/>
            <w:vAlign w:val="bottom"/>
          </w:tcPr>
          <w:p w:rsidR="00A31A65" w:rsidRPr="002B2470" w:rsidRDefault="00A31A65" w:rsidP="002B2470">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-0,5</w:t>
            </w:r>
          </w:p>
        </w:tc>
        <w:tc>
          <w:tcPr>
            <w:tcW w:w="810" w:type="dxa"/>
            <w:shd w:val="clear" w:color="auto" w:fill="auto"/>
            <w:vAlign w:val="bottom"/>
          </w:tcPr>
          <w:p w:rsidR="00A31A65" w:rsidRPr="002B2470" w:rsidRDefault="00A31A65" w:rsidP="008A22E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2,9</w:t>
            </w:r>
          </w:p>
        </w:tc>
        <w:tc>
          <w:tcPr>
            <w:tcW w:w="81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3,6</w:t>
            </w:r>
          </w:p>
        </w:tc>
        <w:tc>
          <w:tcPr>
            <w:tcW w:w="900" w:type="dxa"/>
            <w:shd w:val="clear" w:color="auto" w:fill="auto"/>
            <w:vAlign w:val="bottom"/>
          </w:tcPr>
          <w:p w:rsidR="00A31A65" w:rsidRPr="008A22EF" w:rsidRDefault="00A31A65">
            <w:pPr>
              <w:jc w:val="center"/>
              <w:rPr>
                <w:rStyle w:val="Bodytext85pt"/>
                <w:rFonts w:ascii="Arial" w:eastAsiaTheme="minorHAnsi" w:hAnsi="Arial" w:cs="Arial"/>
                <w:sz w:val="20"/>
                <w:szCs w:val="20"/>
              </w:rPr>
            </w:pPr>
            <w:r w:rsidRPr="008A22EF">
              <w:rPr>
                <w:rStyle w:val="Bodytext85pt"/>
                <w:rFonts w:ascii="Arial" w:eastAsiaTheme="minorHAnsi" w:hAnsi="Arial" w:cs="Arial"/>
                <w:sz w:val="20"/>
                <w:szCs w:val="20"/>
              </w:rPr>
              <w:t>3,9</w:t>
            </w:r>
          </w:p>
        </w:tc>
        <w:tc>
          <w:tcPr>
            <w:tcW w:w="900" w:type="dxa"/>
            <w:shd w:val="clear" w:color="auto" w:fill="auto"/>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2,8</w:t>
            </w:r>
          </w:p>
        </w:tc>
        <w:tc>
          <w:tcPr>
            <w:tcW w:w="900" w:type="dxa"/>
            <w:vAlign w:val="bottom"/>
          </w:tcPr>
          <w:p w:rsidR="00A31A65" w:rsidRPr="002B2470" w:rsidRDefault="00A31A65">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0,2</w:t>
            </w:r>
          </w:p>
        </w:tc>
      </w:tr>
      <w:tr w:rsidR="00A31A65" w:rsidRPr="002B2470" w:rsidTr="0038361F">
        <w:trPr>
          <w:trHeight w:val="57"/>
        </w:trPr>
        <w:tc>
          <w:tcPr>
            <w:tcW w:w="4121" w:type="dxa"/>
            <w:shd w:val="clear" w:color="auto" w:fill="auto"/>
          </w:tcPr>
          <w:p w:rsidR="00A31A65" w:rsidRPr="002B2470" w:rsidRDefault="00A31A65" w:rsidP="00A31A65">
            <w:pPr>
              <w:rPr>
                <w:rFonts w:ascii="Arial" w:hAnsi="Arial" w:cs="Arial"/>
                <w:sz w:val="20"/>
                <w:szCs w:val="20"/>
                <w:lang w:val="mk-MK"/>
              </w:rPr>
            </w:pPr>
            <w:r w:rsidRPr="002B2470">
              <w:rPr>
                <w:rFonts w:ascii="Arial" w:hAnsi="Arial" w:cs="Arial"/>
                <w:sz w:val="20"/>
                <w:szCs w:val="20"/>
                <w:lang w:val="mk-MK"/>
              </w:rPr>
              <w:t>Инфлација (во%)</w:t>
            </w:r>
          </w:p>
        </w:tc>
        <w:tc>
          <w:tcPr>
            <w:tcW w:w="806" w:type="dxa"/>
            <w:shd w:val="clear" w:color="auto" w:fill="auto"/>
            <w:vAlign w:val="bottom"/>
          </w:tcPr>
          <w:p w:rsidR="00A31A65" w:rsidRPr="0038361F" w:rsidRDefault="00A31A65" w:rsidP="002B2470">
            <w:pPr>
              <w:jc w:val="center"/>
              <w:rPr>
                <w:rFonts w:ascii="Arial" w:hAnsi="Arial" w:cs="Arial"/>
                <w:sz w:val="20"/>
                <w:szCs w:val="20"/>
                <w:lang w:val="mk-MK"/>
              </w:rPr>
            </w:pPr>
            <w:r w:rsidRPr="002B2470">
              <w:rPr>
                <w:rStyle w:val="Bodytext85pt"/>
                <w:rFonts w:ascii="Arial" w:eastAsiaTheme="minorHAnsi" w:hAnsi="Arial" w:cs="Arial"/>
                <w:sz w:val="20"/>
                <w:szCs w:val="20"/>
              </w:rPr>
              <w:t>4,7</w:t>
            </w:r>
          </w:p>
        </w:tc>
        <w:tc>
          <w:tcPr>
            <w:tcW w:w="810" w:type="dxa"/>
            <w:shd w:val="clear" w:color="auto" w:fill="auto"/>
            <w:vAlign w:val="bottom"/>
          </w:tcPr>
          <w:p w:rsidR="00A31A65" w:rsidRPr="0038361F" w:rsidRDefault="00A31A65" w:rsidP="002B2470">
            <w:pPr>
              <w:jc w:val="center"/>
              <w:rPr>
                <w:rFonts w:ascii="Arial" w:hAnsi="Arial" w:cs="Arial"/>
                <w:sz w:val="20"/>
                <w:szCs w:val="20"/>
                <w:lang w:val="mk-MK"/>
              </w:rPr>
            </w:pPr>
            <w:r w:rsidRPr="002B2470">
              <w:rPr>
                <w:rStyle w:val="Bodytext85pt"/>
                <w:rFonts w:ascii="Arial" w:eastAsiaTheme="minorHAnsi" w:hAnsi="Arial" w:cs="Arial"/>
                <w:sz w:val="20"/>
                <w:szCs w:val="20"/>
              </w:rPr>
              <w:t>1,4</w:t>
            </w:r>
          </w:p>
        </w:tc>
        <w:tc>
          <w:tcPr>
            <w:tcW w:w="810" w:type="dxa"/>
            <w:shd w:val="clear" w:color="auto" w:fill="auto"/>
            <w:vAlign w:val="bottom"/>
          </w:tcPr>
          <w:p w:rsidR="00A31A65" w:rsidRPr="0038361F" w:rsidRDefault="00A31A65" w:rsidP="002B2470">
            <w:pPr>
              <w:jc w:val="center"/>
              <w:rPr>
                <w:rFonts w:ascii="Arial" w:hAnsi="Arial" w:cs="Arial"/>
                <w:sz w:val="20"/>
                <w:szCs w:val="20"/>
                <w:lang w:val="mk-MK"/>
              </w:rPr>
            </w:pPr>
            <w:r w:rsidRPr="002B2470">
              <w:rPr>
                <w:rStyle w:val="Bodytext85pt"/>
                <w:rFonts w:ascii="Arial" w:eastAsiaTheme="minorHAnsi" w:hAnsi="Arial" w:cs="Arial"/>
                <w:sz w:val="20"/>
                <w:szCs w:val="20"/>
              </w:rPr>
              <w:t>-0,5</w:t>
            </w:r>
          </w:p>
        </w:tc>
        <w:tc>
          <w:tcPr>
            <w:tcW w:w="900" w:type="dxa"/>
            <w:shd w:val="clear" w:color="auto" w:fill="auto"/>
            <w:vAlign w:val="bottom"/>
          </w:tcPr>
          <w:p w:rsidR="00A31A65" w:rsidRPr="0038361F" w:rsidRDefault="00A31A65" w:rsidP="002B2470">
            <w:pPr>
              <w:jc w:val="center"/>
              <w:rPr>
                <w:rFonts w:ascii="Arial" w:hAnsi="Arial" w:cs="Arial"/>
                <w:sz w:val="20"/>
                <w:szCs w:val="20"/>
                <w:lang w:val="mk-MK"/>
              </w:rPr>
            </w:pPr>
            <w:r w:rsidRPr="002B2470">
              <w:rPr>
                <w:rStyle w:val="Bodytext85pt"/>
                <w:rFonts w:ascii="Arial" w:eastAsiaTheme="minorHAnsi" w:hAnsi="Arial" w:cs="Arial"/>
                <w:sz w:val="20"/>
                <w:szCs w:val="20"/>
              </w:rPr>
              <w:t>-0,4</w:t>
            </w:r>
          </w:p>
        </w:tc>
        <w:tc>
          <w:tcPr>
            <w:tcW w:w="900" w:type="dxa"/>
            <w:shd w:val="clear" w:color="auto" w:fill="auto"/>
            <w:vAlign w:val="bottom"/>
          </w:tcPr>
          <w:p w:rsidR="00A31A65" w:rsidRPr="0038361F" w:rsidRDefault="00A31A65" w:rsidP="002B2470">
            <w:pPr>
              <w:jc w:val="center"/>
              <w:rPr>
                <w:rFonts w:ascii="Arial" w:hAnsi="Arial" w:cs="Arial"/>
                <w:sz w:val="20"/>
                <w:szCs w:val="20"/>
                <w:lang w:val="mk-MK"/>
              </w:rPr>
            </w:pPr>
            <w:r w:rsidRPr="002B2470">
              <w:rPr>
                <w:rStyle w:val="Bodytext85pt"/>
                <w:rFonts w:ascii="Arial" w:eastAsiaTheme="minorHAnsi" w:hAnsi="Arial" w:cs="Arial"/>
                <w:sz w:val="20"/>
                <w:szCs w:val="20"/>
              </w:rPr>
              <w:t>-0,2</w:t>
            </w:r>
          </w:p>
        </w:tc>
        <w:tc>
          <w:tcPr>
            <w:tcW w:w="900" w:type="dxa"/>
            <w:vAlign w:val="bottom"/>
          </w:tcPr>
          <w:p w:rsidR="00A31A65" w:rsidRPr="002B2470" w:rsidRDefault="00A31A65" w:rsidP="008A22E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2,4</w:t>
            </w:r>
          </w:p>
        </w:tc>
      </w:tr>
      <w:tr w:rsidR="00A31A65" w:rsidRPr="002B2470" w:rsidTr="0038361F">
        <w:trPr>
          <w:trHeight w:val="57"/>
        </w:trPr>
        <w:tc>
          <w:tcPr>
            <w:tcW w:w="4121" w:type="dxa"/>
            <w:shd w:val="clear" w:color="auto" w:fill="auto"/>
          </w:tcPr>
          <w:p w:rsidR="00A31A65" w:rsidRPr="002B2470" w:rsidRDefault="00A31A65" w:rsidP="00A31A65">
            <w:pPr>
              <w:rPr>
                <w:rFonts w:ascii="Arial" w:hAnsi="Arial" w:cs="Arial"/>
                <w:sz w:val="20"/>
                <w:szCs w:val="20"/>
                <w:lang w:val="mk-MK"/>
              </w:rPr>
            </w:pPr>
            <w:r w:rsidRPr="002B2470">
              <w:rPr>
                <w:rFonts w:ascii="Arial" w:hAnsi="Arial" w:cs="Arial"/>
                <w:sz w:val="20"/>
                <w:szCs w:val="20"/>
                <w:lang w:val="mk-MK"/>
              </w:rPr>
              <w:t>Просечен девизен курс (денар / €)</w:t>
            </w:r>
          </w:p>
        </w:tc>
        <w:tc>
          <w:tcPr>
            <w:tcW w:w="806" w:type="dxa"/>
            <w:shd w:val="clear" w:color="auto" w:fill="auto"/>
            <w:vAlign w:val="bottom"/>
          </w:tcPr>
          <w:p w:rsidR="00A31A65" w:rsidRPr="0038361F" w:rsidRDefault="00A31A65" w:rsidP="002B2470">
            <w:pPr>
              <w:jc w:val="center"/>
              <w:rPr>
                <w:rFonts w:ascii="Arial" w:hAnsi="Arial" w:cs="Arial"/>
                <w:sz w:val="20"/>
                <w:szCs w:val="20"/>
                <w:lang w:val="mk-MK"/>
              </w:rPr>
            </w:pPr>
            <w:r w:rsidRPr="0038361F">
              <w:rPr>
                <w:rFonts w:ascii="Arial" w:hAnsi="Arial" w:cs="Arial"/>
                <w:sz w:val="20"/>
                <w:szCs w:val="20"/>
                <w:lang w:val="mk-MK"/>
              </w:rPr>
              <w:t>61,53</w:t>
            </w:r>
          </w:p>
        </w:tc>
        <w:tc>
          <w:tcPr>
            <w:tcW w:w="810" w:type="dxa"/>
            <w:shd w:val="clear" w:color="auto" w:fill="auto"/>
            <w:vAlign w:val="bottom"/>
          </w:tcPr>
          <w:p w:rsidR="00A31A65" w:rsidRPr="0038361F" w:rsidRDefault="00A31A65" w:rsidP="008A22EF">
            <w:pPr>
              <w:jc w:val="center"/>
              <w:rPr>
                <w:rFonts w:ascii="Arial" w:hAnsi="Arial" w:cs="Arial"/>
                <w:sz w:val="20"/>
                <w:szCs w:val="20"/>
                <w:lang w:val="mk-MK"/>
              </w:rPr>
            </w:pPr>
            <w:r w:rsidRPr="0038361F">
              <w:rPr>
                <w:rFonts w:ascii="Arial" w:hAnsi="Arial" w:cs="Arial"/>
                <w:sz w:val="20"/>
                <w:szCs w:val="20"/>
                <w:lang w:val="mk-MK"/>
              </w:rPr>
              <w:t>61,58</w:t>
            </w:r>
          </w:p>
        </w:tc>
        <w:tc>
          <w:tcPr>
            <w:tcW w:w="81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61,62</w:t>
            </w:r>
          </w:p>
        </w:tc>
        <w:tc>
          <w:tcPr>
            <w:tcW w:w="90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61,61</w:t>
            </w:r>
          </w:p>
        </w:tc>
        <w:tc>
          <w:tcPr>
            <w:tcW w:w="90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61,60</w:t>
            </w:r>
          </w:p>
        </w:tc>
        <w:tc>
          <w:tcPr>
            <w:tcW w:w="900" w:type="dxa"/>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61,57</w:t>
            </w:r>
          </w:p>
        </w:tc>
      </w:tr>
      <w:tr w:rsidR="00A31A65" w:rsidRPr="002B2470" w:rsidTr="0038361F">
        <w:trPr>
          <w:trHeight w:val="57"/>
        </w:trPr>
        <w:tc>
          <w:tcPr>
            <w:tcW w:w="4121" w:type="dxa"/>
            <w:shd w:val="clear" w:color="auto" w:fill="auto"/>
          </w:tcPr>
          <w:p w:rsidR="00A31A65" w:rsidRPr="0038361F" w:rsidRDefault="00A31A65" w:rsidP="00A31A65">
            <w:pPr>
              <w:rPr>
                <w:rFonts w:ascii="Arial" w:hAnsi="Arial" w:cs="Arial"/>
                <w:sz w:val="20"/>
                <w:szCs w:val="20"/>
                <w:lang w:val="mk-MK"/>
              </w:rPr>
            </w:pPr>
            <w:r w:rsidRPr="0038361F">
              <w:rPr>
                <w:rFonts w:ascii="Arial" w:hAnsi="Arial" w:cs="Arial"/>
                <w:sz w:val="20"/>
                <w:szCs w:val="20"/>
                <w:lang w:val="mk-MK"/>
              </w:rPr>
              <w:t>Стапка на невработеност (во%)</w:t>
            </w:r>
          </w:p>
        </w:tc>
        <w:tc>
          <w:tcPr>
            <w:tcW w:w="806" w:type="dxa"/>
            <w:shd w:val="clear" w:color="auto" w:fill="auto"/>
            <w:vAlign w:val="bottom"/>
          </w:tcPr>
          <w:p w:rsidR="00A31A65" w:rsidRPr="0038361F" w:rsidRDefault="00A31A65" w:rsidP="002B2470">
            <w:pPr>
              <w:jc w:val="center"/>
              <w:rPr>
                <w:rFonts w:ascii="Arial" w:hAnsi="Arial" w:cs="Arial"/>
                <w:sz w:val="20"/>
                <w:szCs w:val="20"/>
                <w:lang w:val="mk-MK"/>
              </w:rPr>
            </w:pPr>
            <w:r w:rsidRPr="0038361F">
              <w:rPr>
                <w:rFonts w:ascii="Arial" w:hAnsi="Arial" w:cs="Arial"/>
                <w:sz w:val="20"/>
                <w:szCs w:val="20"/>
                <w:lang w:val="mk-MK"/>
              </w:rPr>
              <w:t>31,0</w:t>
            </w:r>
          </w:p>
        </w:tc>
        <w:tc>
          <w:tcPr>
            <w:tcW w:w="810" w:type="dxa"/>
            <w:shd w:val="clear" w:color="auto" w:fill="auto"/>
            <w:vAlign w:val="bottom"/>
          </w:tcPr>
          <w:p w:rsidR="00A31A65" w:rsidRPr="0038361F" w:rsidRDefault="00A31A65" w:rsidP="008A22EF">
            <w:pPr>
              <w:jc w:val="center"/>
              <w:rPr>
                <w:rFonts w:ascii="Arial" w:hAnsi="Arial" w:cs="Arial"/>
                <w:sz w:val="20"/>
                <w:szCs w:val="20"/>
                <w:lang w:val="mk-MK"/>
              </w:rPr>
            </w:pPr>
            <w:r w:rsidRPr="0038361F">
              <w:rPr>
                <w:rFonts w:ascii="Arial" w:hAnsi="Arial" w:cs="Arial"/>
                <w:sz w:val="20"/>
                <w:szCs w:val="20"/>
                <w:lang w:val="mk-MK"/>
              </w:rPr>
              <w:t>29,0</w:t>
            </w:r>
          </w:p>
        </w:tc>
        <w:tc>
          <w:tcPr>
            <w:tcW w:w="81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28,0</w:t>
            </w:r>
          </w:p>
        </w:tc>
        <w:tc>
          <w:tcPr>
            <w:tcW w:w="90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26,1</w:t>
            </w:r>
          </w:p>
        </w:tc>
        <w:tc>
          <w:tcPr>
            <w:tcW w:w="900" w:type="dxa"/>
            <w:shd w:val="clear" w:color="auto" w:fill="auto"/>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23,7</w:t>
            </w:r>
          </w:p>
        </w:tc>
        <w:tc>
          <w:tcPr>
            <w:tcW w:w="900" w:type="dxa"/>
            <w:vAlign w:val="bottom"/>
          </w:tcPr>
          <w:p w:rsidR="00A31A65" w:rsidRPr="0038361F" w:rsidRDefault="00A31A65">
            <w:pPr>
              <w:jc w:val="center"/>
              <w:rPr>
                <w:rFonts w:ascii="Arial" w:hAnsi="Arial" w:cs="Arial"/>
                <w:sz w:val="20"/>
                <w:szCs w:val="20"/>
                <w:lang w:val="mk-MK"/>
              </w:rPr>
            </w:pPr>
            <w:r w:rsidRPr="0038361F">
              <w:rPr>
                <w:rFonts w:ascii="Arial" w:hAnsi="Arial" w:cs="Arial"/>
                <w:sz w:val="20"/>
                <w:szCs w:val="20"/>
                <w:lang w:val="mk-MK"/>
              </w:rPr>
              <w:t>22,4</w:t>
            </w:r>
          </w:p>
        </w:tc>
      </w:tr>
      <w:tr w:rsidR="00A31A65" w:rsidRPr="002B2470" w:rsidTr="0038361F">
        <w:trPr>
          <w:trHeight w:val="57"/>
        </w:trPr>
        <w:tc>
          <w:tcPr>
            <w:tcW w:w="4121" w:type="dxa"/>
            <w:shd w:val="clear" w:color="auto" w:fill="auto"/>
          </w:tcPr>
          <w:p w:rsidR="00A31A65" w:rsidRPr="002B2470" w:rsidRDefault="00A31A65" w:rsidP="00A31A65">
            <w:pPr>
              <w:rPr>
                <w:rFonts w:ascii="Arial" w:hAnsi="Arial" w:cs="Arial"/>
                <w:sz w:val="20"/>
                <w:szCs w:val="20"/>
                <w:lang w:val="mk-MK"/>
              </w:rPr>
            </w:pPr>
            <w:r w:rsidRPr="002B2470">
              <w:rPr>
                <w:rFonts w:ascii="Arial" w:hAnsi="Arial" w:cs="Arial"/>
                <w:sz w:val="20"/>
                <w:szCs w:val="20"/>
                <w:lang w:val="mk-MK"/>
              </w:rPr>
              <w:t>Извоз на стоки и услуги во милиони €</w:t>
            </w:r>
          </w:p>
        </w:tc>
        <w:tc>
          <w:tcPr>
            <w:tcW w:w="806"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3.124</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3.235</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3.747</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4.088</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4.390</w:t>
            </w:r>
          </w:p>
        </w:tc>
        <w:tc>
          <w:tcPr>
            <w:tcW w:w="900" w:type="dxa"/>
            <w:vAlign w:val="bottom"/>
          </w:tcPr>
          <w:p w:rsidR="00A31A65" w:rsidRPr="002B2470" w:rsidRDefault="00A31A65" w:rsidP="0038361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5.019</w:t>
            </w:r>
          </w:p>
        </w:tc>
      </w:tr>
      <w:tr w:rsidR="00A31A65" w:rsidRPr="002B2470" w:rsidTr="0038361F">
        <w:trPr>
          <w:trHeight w:val="57"/>
        </w:trPr>
        <w:tc>
          <w:tcPr>
            <w:tcW w:w="4121" w:type="dxa"/>
            <w:shd w:val="clear" w:color="auto" w:fill="auto"/>
          </w:tcPr>
          <w:p w:rsidR="00A31A65" w:rsidRPr="0038361F" w:rsidRDefault="00A31A65" w:rsidP="00A31A65">
            <w:pPr>
              <w:rPr>
                <w:rFonts w:ascii="Arial" w:hAnsi="Arial" w:cs="Arial"/>
                <w:sz w:val="20"/>
                <w:szCs w:val="20"/>
                <w:lang w:val="mk-MK"/>
              </w:rPr>
            </w:pPr>
            <w:r w:rsidRPr="0038361F">
              <w:rPr>
                <w:rFonts w:ascii="Arial" w:hAnsi="Arial" w:cs="Arial"/>
                <w:sz w:val="20"/>
                <w:szCs w:val="20"/>
                <w:lang w:val="mk-MK"/>
              </w:rPr>
              <w:t>Увоз на стоки и услуги во милиони €</w:t>
            </w:r>
          </w:p>
        </w:tc>
        <w:tc>
          <w:tcPr>
            <w:tcW w:w="806"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5.071</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4.983</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5.505</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5.801</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6.176</w:t>
            </w:r>
          </w:p>
        </w:tc>
        <w:tc>
          <w:tcPr>
            <w:tcW w:w="900" w:type="dxa"/>
            <w:vAlign w:val="bottom"/>
          </w:tcPr>
          <w:p w:rsidR="00A31A65" w:rsidRPr="002B2470" w:rsidRDefault="00A31A65" w:rsidP="0038361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6.835</w:t>
            </w:r>
          </w:p>
        </w:tc>
      </w:tr>
      <w:tr w:rsidR="00A31A65" w:rsidRPr="002B2470" w:rsidTr="0038361F">
        <w:trPr>
          <w:trHeight w:val="57"/>
        </w:trPr>
        <w:tc>
          <w:tcPr>
            <w:tcW w:w="4121" w:type="dxa"/>
            <w:shd w:val="clear" w:color="auto" w:fill="auto"/>
          </w:tcPr>
          <w:p w:rsidR="00A31A65" w:rsidRPr="0038361F" w:rsidRDefault="00A31A65" w:rsidP="00A31A65">
            <w:pPr>
              <w:rPr>
                <w:rFonts w:ascii="Arial" w:hAnsi="Arial" w:cs="Arial"/>
                <w:sz w:val="20"/>
                <w:szCs w:val="20"/>
                <w:lang w:val="mk-MK"/>
              </w:rPr>
            </w:pPr>
            <w:r w:rsidRPr="0038361F">
              <w:rPr>
                <w:rFonts w:ascii="Arial" w:hAnsi="Arial" w:cs="Arial"/>
                <w:sz w:val="20"/>
                <w:szCs w:val="20"/>
                <w:lang w:val="mk-MK"/>
              </w:rPr>
              <w:t>Биланс на трговија во милиони €</w:t>
            </w:r>
          </w:p>
        </w:tc>
        <w:tc>
          <w:tcPr>
            <w:tcW w:w="806"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-1.947</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-1.748</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-1.758</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-1.714</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-1.786</w:t>
            </w:r>
          </w:p>
        </w:tc>
        <w:tc>
          <w:tcPr>
            <w:tcW w:w="900" w:type="dxa"/>
            <w:vAlign w:val="bottom"/>
          </w:tcPr>
          <w:p w:rsidR="00A31A65" w:rsidRPr="002B2470" w:rsidRDefault="00A31A65" w:rsidP="0038361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-1.816</w:t>
            </w:r>
          </w:p>
        </w:tc>
      </w:tr>
      <w:tr w:rsidR="00A31A65" w:rsidRPr="002B2470" w:rsidTr="0038361F">
        <w:trPr>
          <w:trHeight w:val="57"/>
        </w:trPr>
        <w:tc>
          <w:tcPr>
            <w:tcW w:w="4121" w:type="dxa"/>
            <w:shd w:val="clear" w:color="auto" w:fill="auto"/>
          </w:tcPr>
          <w:p w:rsidR="00A31A65" w:rsidRPr="0038361F" w:rsidRDefault="00A31A65" w:rsidP="00A31A65">
            <w:pPr>
              <w:rPr>
                <w:rFonts w:ascii="Arial" w:hAnsi="Arial" w:cs="Arial"/>
                <w:sz w:val="20"/>
                <w:szCs w:val="20"/>
                <w:lang w:val="mk-MK"/>
              </w:rPr>
            </w:pPr>
            <w:r w:rsidRPr="0038361F">
              <w:rPr>
                <w:rFonts w:ascii="Arial" w:hAnsi="Arial" w:cs="Arial"/>
                <w:sz w:val="20"/>
                <w:szCs w:val="20"/>
                <w:lang w:val="mk-MK"/>
              </w:rPr>
              <w:t>Биланс на трговија во% од БДП</w:t>
            </w:r>
          </w:p>
        </w:tc>
        <w:tc>
          <w:tcPr>
            <w:tcW w:w="806"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-25,7</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-21,4</w:t>
            </w:r>
          </w:p>
        </w:tc>
        <w:tc>
          <w:tcPr>
            <w:tcW w:w="81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-20,5</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-18,9</w:t>
            </w:r>
          </w:p>
        </w:tc>
        <w:tc>
          <w:tcPr>
            <w:tcW w:w="900" w:type="dxa"/>
            <w:shd w:val="clear" w:color="auto" w:fill="auto"/>
            <w:vAlign w:val="bottom"/>
          </w:tcPr>
          <w:p w:rsidR="00A31A65" w:rsidRPr="0038361F" w:rsidRDefault="00A31A65" w:rsidP="0038361F">
            <w:pPr>
              <w:jc w:val="center"/>
              <w:rPr>
                <w:rFonts w:ascii="Arial" w:hAnsi="Arial" w:cs="Arial"/>
                <w:sz w:val="20"/>
                <w:szCs w:val="20"/>
                <w:lang w:val="mk-MK"/>
              </w:rPr>
            </w:pPr>
            <w:r w:rsidRPr="002B2470">
              <w:rPr>
                <w:rStyle w:val="Bodytext85pt"/>
                <w:rFonts w:ascii="Arial" w:eastAsiaTheme="minorHAnsi" w:hAnsi="Arial" w:cs="Arial"/>
                <w:sz w:val="20"/>
                <w:szCs w:val="20"/>
              </w:rPr>
              <w:t>-18,5</w:t>
            </w:r>
          </w:p>
        </w:tc>
        <w:tc>
          <w:tcPr>
            <w:tcW w:w="900" w:type="dxa"/>
            <w:vAlign w:val="bottom"/>
          </w:tcPr>
          <w:p w:rsidR="00A31A65" w:rsidRPr="002B2470" w:rsidRDefault="00A31A65" w:rsidP="0038361F">
            <w:pPr>
              <w:jc w:val="center"/>
              <w:rPr>
                <w:rStyle w:val="Bodytext85pt"/>
                <w:rFonts w:ascii="Arial" w:eastAsiaTheme="minorHAnsi" w:hAnsi="Arial" w:cs="Arial"/>
                <w:sz w:val="20"/>
                <w:szCs w:val="20"/>
              </w:rPr>
            </w:pPr>
            <w:r w:rsidRPr="002B2470">
              <w:rPr>
                <w:rStyle w:val="Bodytext85pt"/>
                <w:rFonts w:ascii="Arial" w:eastAsiaTheme="minorHAnsi" w:hAnsi="Arial" w:cs="Arial"/>
                <w:sz w:val="20"/>
                <w:szCs w:val="20"/>
              </w:rPr>
              <w:t>-18,0</w:t>
            </w:r>
          </w:p>
        </w:tc>
      </w:tr>
    </w:tbl>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18"/>
          <w:lang w:val="mk-MK"/>
        </w:rPr>
      </w:pPr>
      <w:r w:rsidRPr="0038361F">
        <w:rPr>
          <w:rFonts w:ascii="Arial" w:hAnsi="Arial" w:cs="Arial"/>
          <w:sz w:val="18"/>
          <w:lang w:val="mk-MK"/>
        </w:rPr>
        <w:t>Извор: Државен заво</w:t>
      </w:r>
      <w:r w:rsidR="00A918D8" w:rsidRPr="0038361F">
        <w:rPr>
          <w:rFonts w:ascii="Arial" w:hAnsi="Arial" w:cs="Arial"/>
          <w:sz w:val="18"/>
          <w:lang w:val="mk-MK"/>
        </w:rPr>
        <w:t>д за статистика (ДЗС), Народна</w:t>
      </w:r>
      <w:r w:rsidRPr="0038361F">
        <w:rPr>
          <w:rFonts w:ascii="Arial" w:hAnsi="Arial" w:cs="Arial"/>
          <w:sz w:val="18"/>
          <w:lang w:val="mk-MK"/>
        </w:rPr>
        <w:t xml:space="preserve"> банка на Република Северна Македонија (НБРНМ)</w:t>
      </w:r>
    </w:p>
    <w:p w:rsidR="008D1674" w:rsidRPr="002B2470" w:rsidRDefault="008D1674" w:rsidP="00A31A65">
      <w:pPr>
        <w:pStyle w:val="m343668044302477783m-3986873246552044066msolistparagraph"/>
        <w:spacing w:before="120" w:beforeAutospacing="0" w:after="0" w:afterAutospacing="0"/>
        <w:jc w:val="both"/>
        <w:rPr>
          <w:rFonts w:ascii="Arial" w:hAnsi="Arial" w:cs="Arial"/>
          <w:lang w:val="mk-MK"/>
        </w:rPr>
      </w:pP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Според податоците од Државниот завод за статистика, индексот на индустриското производство во февруари 2019, во споредба со февруари 2018 година, изнесува 107,3. Индустри</w:t>
      </w:r>
      <w:r w:rsidR="003617C1" w:rsidRPr="0038361F">
        <w:rPr>
          <w:rFonts w:ascii="Arial" w:hAnsi="Arial" w:cs="Arial"/>
          <w:sz w:val="22"/>
          <w:lang w:val="mk-MK"/>
        </w:rPr>
        <w:t xml:space="preserve">ското производство во секторот </w:t>
      </w:r>
      <w:r w:rsidR="003617C1" w:rsidRPr="002B2470">
        <w:rPr>
          <w:rFonts w:ascii="Arial" w:hAnsi="Arial" w:cs="Arial"/>
          <w:sz w:val="22"/>
          <w:lang w:val="mk-MK"/>
        </w:rPr>
        <w:t>р</w:t>
      </w:r>
      <w:r w:rsidRPr="0038361F">
        <w:rPr>
          <w:rFonts w:ascii="Arial" w:hAnsi="Arial" w:cs="Arial"/>
          <w:sz w:val="22"/>
          <w:lang w:val="mk-MK"/>
        </w:rPr>
        <w:t>ударство и вадење на камен во февруари 2019 година, во однос на февруари 2018 година, е зголемено за 2</w:t>
      </w:r>
      <w:r w:rsidR="002B2470">
        <w:rPr>
          <w:rFonts w:ascii="Arial" w:hAnsi="Arial" w:cs="Arial"/>
          <w:sz w:val="22"/>
          <w:lang w:val="mk-MK"/>
        </w:rPr>
        <w:t>,</w:t>
      </w:r>
      <w:r w:rsidRPr="0038361F">
        <w:rPr>
          <w:rFonts w:ascii="Arial" w:hAnsi="Arial" w:cs="Arial"/>
          <w:sz w:val="22"/>
          <w:lang w:val="mk-MK"/>
        </w:rPr>
        <w:t>9%</w:t>
      </w:r>
      <w:r w:rsidR="003617C1" w:rsidRPr="0038361F">
        <w:rPr>
          <w:rFonts w:ascii="Arial" w:hAnsi="Arial" w:cs="Arial"/>
          <w:sz w:val="22"/>
          <w:lang w:val="mk-MK"/>
        </w:rPr>
        <w:t xml:space="preserve">, во секторот </w:t>
      </w:r>
      <w:r w:rsidR="003617C1" w:rsidRPr="002B2470">
        <w:rPr>
          <w:rFonts w:ascii="Arial" w:hAnsi="Arial" w:cs="Arial"/>
          <w:sz w:val="22"/>
          <w:lang w:val="mk-MK"/>
        </w:rPr>
        <w:t>п</w:t>
      </w:r>
      <w:r w:rsidRPr="0038361F">
        <w:rPr>
          <w:rFonts w:ascii="Arial" w:hAnsi="Arial" w:cs="Arial"/>
          <w:sz w:val="22"/>
          <w:lang w:val="mk-MK"/>
        </w:rPr>
        <w:t>роизводство е зголеме</w:t>
      </w:r>
      <w:r w:rsidR="003617C1" w:rsidRPr="0038361F">
        <w:rPr>
          <w:rFonts w:ascii="Arial" w:hAnsi="Arial" w:cs="Arial"/>
          <w:sz w:val="22"/>
          <w:lang w:val="mk-MK"/>
        </w:rPr>
        <w:t>но за 7</w:t>
      </w:r>
      <w:r w:rsidR="002B2470">
        <w:rPr>
          <w:rFonts w:ascii="Arial" w:hAnsi="Arial" w:cs="Arial"/>
          <w:sz w:val="22"/>
          <w:lang w:val="mk-MK"/>
        </w:rPr>
        <w:t>,</w:t>
      </w:r>
      <w:r w:rsidR="003617C1" w:rsidRPr="0038361F">
        <w:rPr>
          <w:rFonts w:ascii="Arial" w:hAnsi="Arial" w:cs="Arial"/>
          <w:sz w:val="22"/>
          <w:lang w:val="mk-MK"/>
        </w:rPr>
        <w:t xml:space="preserve">3%, додека во секторот </w:t>
      </w:r>
      <w:r w:rsidR="003617C1" w:rsidRPr="002B2470">
        <w:rPr>
          <w:rFonts w:ascii="Arial" w:hAnsi="Arial" w:cs="Arial"/>
          <w:sz w:val="22"/>
          <w:lang w:val="mk-MK"/>
        </w:rPr>
        <w:t>с</w:t>
      </w:r>
      <w:r w:rsidRPr="0038361F">
        <w:rPr>
          <w:rFonts w:ascii="Arial" w:hAnsi="Arial" w:cs="Arial"/>
          <w:sz w:val="22"/>
          <w:lang w:val="mk-MK"/>
        </w:rPr>
        <w:t>набдување со електрична енергија, гас, пареа и климатизација се зголеми</w:t>
      </w:r>
      <w:r w:rsidR="002B2470">
        <w:rPr>
          <w:rFonts w:ascii="Arial" w:hAnsi="Arial" w:cs="Arial"/>
          <w:sz w:val="22"/>
          <w:lang w:val="mk-MK"/>
        </w:rPr>
        <w:t>л</w:t>
      </w:r>
      <w:r w:rsidRPr="0038361F">
        <w:rPr>
          <w:rFonts w:ascii="Arial" w:hAnsi="Arial" w:cs="Arial"/>
          <w:sz w:val="22"/>
          <w:lang w:val="mk-MK"/>
        </w:rPr>
        <w:t xml:space="preserve"> 4,8%.</w:t>
      </w:r>
    </w:p>
    <w:p w:rsidR="00A31A65" w:rsidRPr="0038361F" w:rsidRDefault="003617C1" w:rsidP="00A31A65">
      <w:pPr>
        <w:pStyle w:val="m343668044302477783m-3986873246552044066msolistparagraph"/>
        <w:spacing w:before="120" w:beforeAutospacing="0" w:after="0" w:afterAutospacing="0"/>
        <w:jc w:val="both"/>
        <w:rPr>
          <w:rFonts w:ascii="Arial" w:hAnsi="Arial" w:cs="Arial"/>
          <w:sz w:val="22"/>
          <w:lang w:val="mk-MK"/>
        </w:rPr>
      </w:pPr>
      <w:r w:rsidRPr="002B2470">
        <w:rPr>
          <w:rFonts w:ascii="Arial" w:hAnsi="Arial" w:cs="Arial"/>
          <w:sz w:val="22"/>
          <w:lang w:val="mk-MK"/>
        </w:rPr>
        <w:t>Зголемувањето во секторот п</w:t>
      </w:r>
      <w:r w:rsidR="00A31A65" w:rsidRPr="002B2470">
        <w:rPr>
          <w:rFonts w:ascii="Arial" w:hAnsi="Arial" w:cs="Arial"/>
          <w:sz w:val="22"/>
          <w:lang w:val="mk-MK"/>
        </w:rPr>
        <w:t xml:space="preserve">роизводство се должи на зголеменото </w:t>
      </w:r>
      <w:r w:rsidR="00A31A65" w:rsidRPr="0038361F">
        <w:rPr>
          <w:rFonts w:ascii="Arial" w:hAnsi="Arial" w:cs="Arial"/>
          <w:sz w:val="22"/>
          <w:lang w:val="mk-MK"/>
        </w:rPr>
        <w:t>производство на</w:t>
      </w:r>
      <w:r w:rsidR="00A31A65" w:rsidRPr="002B2470">
        <w:rPr>
          <w:rFonts w:ascii="Arial" w:hAnsi="Arial" w:cs="Arial"/>
          <w:sz w:val="22"/>
          <w:lang w:val="mk-MK"/>
        </w:rPr>
        <w:t>:</w:t>
      </w:r>
      <w:r w:rsidR="00A31A65" w:rsidRPr="0038361F">
        <w:rPr>
          <w:rFonts w:ascii="Arial" w:hAnsi="Arial" w:cs="Arial"/>
          <w:sz w:val="22"/>
          <w:lang w:val="mk-MK"/>
        </w:rPr>
        <w:t xml:space="preserve"> прехранбени производи, производство на пијалаци, производство на производи од тутун, производство на текстил, производство на основни фармацевтски производи и фармацевтски препарати, производство на други неметални минерални производи, производство на основни метали, производство на електрична опрема, производство на машини и опрема, и производство на моторни возила, приколки и полуприколки.</w:t>
      </w:r>
    </w:p>
    <w:p w:rsidR="00A31A65" w:rsidRPr="0038361F" w:rsidRDefault="00A31A65" w:rsidP="006059EF">
      <w:pPr>
        <w:pStyle w:val="m343668044302477783m-3986873246552044066msolistparagraph"/>
        <w:numPr>
          <w:ilvl w:val="1"/>
          <w:numId w:val="35"/>
        </w:numPr>
        <w:spacing w:before="120" w:beforeAutospacing="0" w:after="0" w:afterAutospacing="0"/>
        <w:jc w:val="both"/>
        <w:outlineLvl w:val="1"/>
        <w:rPr>
          <w:rFonts w:ascii="Arial" w:hAnsi="Arial" w:cs="Arial"/>
          <w:b/>
          <w:lang w:val="mk-MK"/>
        </w:rPr>
      </w:pPr>
      <w:bookmarkStart w:id="6" w:name="_Toc8639863"/>
      <w:r w:rsidRPr="002B2470">
        <w:rPr>
          <w:rFonts w:ascii="Arial" w:hAnsi="Arial" w:cs="Arial"/>
          <w:b/>
          <w:lang w:val="mk-MK"/>
        </w:rPr>
        <w:t>Демографска состојба</w:t>
      </w:r>
      <w:bookmarkEnd w:id="6"/>
      <w:r w:rsidRPr="002B2470">
        <w:rPr>
          <w:rFonts w:ascii="Arial" w:hAnsi="Arial" w:cs="Arial"/>
          <w:b/>
          <w:lang w:val="mk-MK"/>
        </w:rPr>
        <w:t xml:space="preserve"> </w:t>
      </w:r>
    </w:p>
    <w:p w:rsidR="00A31A65" w:rsidRPr="0038361F" w:rsidRDefault="00A31A65" w:rsidP="00A31A65">
      <w:pPr>
        <w:spacing w:before="120" w:after="0" w:line="240" w:lineRule="auto"/>
        <w:jc w:val="both"/>
        <w:rPr>
          <w:rFonts w:ascii="Arial" w:eastAsia="Calibri" w:hAnsi="Arial" w:cs="Arial"/>
          <w:szCs w:val="24"/>
          <w:lang w:val="mk-MK" w:eastAsia="en-GB"/>
        </w:rPr>
      </w:pPr>
      <w:r w:rsidRPr="0038361F">
        <w:rPr>
          <w:rFonts w:ascii="Arial" w:eastAsia="Calibri" w:hAnsi="Arial" w:cs="Arial"/>
          <w:szCs w:val="24"/>
          <w:lang w:val="mk-MK" w:eastAsia="en-GB"/>
        </w:rPr>
        <w:t>Според проценката</w:t>
      </w:r>
      <w:r w:rsidRPr="002B2470">
        <w:rPr>
          <w:rFonts w:ascii="Arial" w:eastAsia="Calibri" w:hAnsi="Arial" w:cs="Arial"/>
          <w:szCs w:val="24"/>
          <w:lang w:val="mk-MK" w:eastAsia="en-GB"/>
        </w:rPr>
        <w:t xml:space="preserve"> во одно</w:t>
      </w:r>
      <w:r w:rsidR="003617C1" w:rsidRPr="002B2470">
        <w:rPr>
          <w:rFonts w:ascii="Arial" w:eastAsia="Calibri" w:hAnsi="Arial" w:cs="Arial"/>
          <w:szCs w:val="24"/>
          <w:lang w:val="mk-MK" w:eastAsia="en-GB"/>
        </w:rPr>
        <w:t>с</w:t>
      </w:r>
      <w:r w:rsidRPr="0038361F">
        <w:rPr>
          <w:rFonts w:ascii="Arial" w:eastAsia="Calibri" w:hAnsi="Arial" w:cs="Arial"/>
          <w:szCs w:val="24"/>
          <w:lang w:val="mk-MK" w:eastAsia="en-GB"/>
        </w:rPr>
        <w:t xml:space="preserve"> на населението (заклучно со 31.12.2015 година), Република Северна Македонија има 2.071.278 жители, што е 13.994 лица или за 0,7% повеќе отколку во 2010 година и 32.764 лица или 1,6% повеќе во однос на 2005 година Во периодот од 2005 до 2015 година континуирано се зголемува бројот на странци имигранти во земјата.</w:t>
      </w:r>
    </w:p>
    <w:p w:rsidR="00A31A65" w:rsidRPr="0038361F" w:rsidRDefault="00A31A65" w:rsidP="00A31A65">
      <w:pPr>
        <w:spacing w:before="120" w:after="0" w:line="240" w:lineRule="auto"/>
        <w:jc w:val="both"/>
        <w:rPr>
          <w:rFonts w:ascii="Arial" w:eastAsia="Calibri" w:hAnsi="Arial" w:cs="Arial"/>
          <w:szCs w:val="24"/>
          <w:lang w:val="mk-MK" w:eastAsia="en-GB"/>
        </w:rPr>
      </w:pPr>
      <w:r w:rsidRPr="0038361F">
        <w:rPr>
          <w:rFonts w:ascii="Arial" w:eastAsia="Calibri" w:hAnsi="Arial" w:cs="Arial"/>
          <w:szCs w:val="24"/>
          <w:lang w:val="mk-MK" w:eastAsia="en-GB"/>
        </w:rPr>
        <w:t>Во однос на старосната структура, македонското население старее. Од 2005 до 2015 година, учеството на младата популација (0-14 години) се намали од 19,4% на 16,7%, а учеството на старото население (65 и повеќе) се зголеми од 11,1% на 13,0%.</w:t>
      </w:r>
    </w:p>
    <w:p w:rsidR="00A31A65" w:rsidRPr="0038361F" w:rsidRDefault="00A31A65" w:rsidP="00A31A65">
      <w:pPr>
        <w:spacing w:before="120" w:after="0" w:line="240" w:lineRule="auto"/>
        <w:jc w:val="both"/>
        <w:rPr>
          <w:rFonts w:ascii="Arial" w:eastAsia="Calibri" w:hAnsi="Arial" w:cs="Arial"/>
          <w:szCs w:val="24"/>
          <w:lang w:val="mk-MK" w:eastAsia="en-GB"/>
        </w:rPr>
      </w:pPr>
      <w:r w:rsidRPr="0038361F">
        <w:rPr>
          <w:rFonts w:ascii="Arial" w:eastAsia="Calibri" w:hAnsi="Arial" w:cs="Arial"/>
          <w:szCs w:val="24"/>
          <w:lang w:val="mk-MK" w:eastAsia="en-GB"/>
        </w:rPr>
        <w:t xml:space="preserve">Демографските показатели на регионално ниво покажуваат разлики што упатуваат на диспропорција во територијалната дистрибуција на населението. Скопскиот регион, како најгусто населен, има речиси десет пати поголема густина од регионот Вардар, кој е </w:t>
      </w:r>
      <w:r w:rsidR="00AD5130">
        <w:rPr>
          <w:rFonts w:ascii="Arial" w:eastAsia="Calibri" w:hAnsi="Arial" w:cs="Arial"/>
          <w:szCs w:val="24"/>
          <w:lang w:val="mk-MK" w:eastAsia="en-GB"/>
        </w:rPr>
        <w:t xml:space="preserve">со </w:t>
      </w:r>
      <w:r w:rsidRPr="0038361F">
        <w:rPr>
          <w:rFonts w:ascii="Arial" w:eastAsia="Calibri" w:hAnsi="Arial" w:cs="Arial"/>
          <w:szCs w:val="24"/>
          <w:lang w:val="mk-MK" w:eastAsia="en-GB"/>
        </w:rPr>
        <w:t>најмал</w:t>
      </w:r>
      <w:r w:rsidR="00AD5130">
        <w:rPr>
          <w:rFonts w:ascii="Arial" w:eastAsia="Calibri" w:hAnsi="Arial" w:cs="Arial"/>
          <w:szCs w:val="24"/>
          <w:lang w:val="mk-MK" w:eastAsia="en-GB"/>
        </w:rPr>
        <w:t xml:space="preserve">а </w:t>
      </w:r>
      <w:r w:rsidRPr="0038361F">
        <w:rPr>
          <w:rFonts w:ascii="Arial" w:eastAsia="Calibri" w:hAnsi="Arial" w:cs="Arial"/>
          <w:szCs w:val="24"/>
          <w:lang w:val="mk-MK" w:eastAsia="en-GB"/>
        </w:rPr>
        <w:t>густ</w:t>
      </w:r>
      <w:r w:rsidR="00AD5130">
        <w:rPr>
          <w:rFonts w:ascii="Arial" w:eastAsia="Calibri" w:hAnsi="Arial" w:cs="Arial"/>
          <w:szCs w:val="24"/>
          <w:lang w:val="mk-MK" w:eastAsia="en-GB"/>
        </w:rPr>
        <w:t xml:space="preserve">ина на </w:t>
      </w:r>
      <w:r w:rsidRPr="0038361F">
        <w:rPr>
          <w:rFonts w:ascii="Arial" w:eastAsia="Calibri" w:hAnsi="Arial" w:cs="Arial"/>
          <w:szCs w:val="24"/>
          <w:lang w:val="mk-MK" w:eastAsia="en-GB"/>
        </w:rPr>
        <w:t>населен</w:t>
      </w:r>
      <w:r w:rsidR="00AD5130">
        <w:rPr>
          <w:rFonts w:ascii="Arial" w:eastAsia="Calibri" w:hAnsi="Arial" w:cs="Arial"/>
          <w:szCs w:val="24"/>
          <w:lang w:val="mk-MK" w:eastAsia="en-GB"/>
        </w:rPr>
        <w:t>ост</w:t>
      </w:r>
      <w:r w:rsidRPr="0038361F">
        <w:rPr>
          <w:rFonts w:ascii="Arial" w:eastAsia="Calibri" w:hAnsi="Arial" w:cs="Arial"/>
          <w:szCs w:val="24"/>
          <w:lang w:val="mk-MK" w:eastAsia="en-GB"/>
        </w:rPr>
        <w:t xml:space="preserve">. Исто така, постојат разлики во старосната структура на населението. Најголем дел од младите (0-14) се регистрирани во Скопје, Полог и </w:t>
      </w:r>
      <w:r w:rsidRPr="0038361F">
        <w:rPr>
          <w:rFonts w:ascii="Arial" w:eastAsia="Calibri" w:hAnsi="Arial" w:cs="Arial"/>
          <w:szCs w:val="24"/>
          <w:lang w:val="mk-MK" w:eastAsia="en-GB"/>
        </w:rPr>
        <w:lastRenderedPageBreak/>
        <w:t xml:space="preserve">Североисточниот регион, додека највисок процент на старо население (65+) </w:t>
      </w:r>
      <w:r w:rsidR="00AD5130">
        <w:rPr>
          <w:rFonts w:ascii="Arial" w:eastAsia="Calibri" w:hAnsi="Arial" w:cs="Arial"/>
          <w:szCs w:val="24"/>
          <w:lang w:val="mk-MK" w:eastAsia="en-GB"/>
        </w:rPr>
        <w:t xml:space="preserve">се </w:t>
      </w:r>
      <w:r w:rsidRPr="0038361F">
        <w:rPr>
          <w:rFonts w:ascii="Arial" w:eastAsia="Calibri" w:hAnsi="Arial" w:cs="Arial"/>
          <w:szCs w:val="24"/>
          <w:lang w:val="mk-MK" w:eastAsia="en-GB"/>
        </w:rPr>
        <w:t>забележани во Пелагонискиот, Вардарскиот и Источниот регион. Индикаторите за просечната возраст на населението, исто така, ја потврдуваат оваа состојба.</w:t>
      </w:r>
    </w:p>
    <w:p w:rsidR="00A31A65" w:rsidRPr="0038361F" w:rsidRDefault="00A31A65" w:rsidP="00A31A65">
      <w:pPr>
        <w:spacing w:before="120" w:after="0" w:line="240" w:lineRule="auto"/>
        <w:jc w:val="both"/>
        <w:rPr>
          <w:rFonts w:ascii="Arial" w:eastAsia="Calibri" w:hAnsi="Arial" w:cs="Arial"/>
          <w:szCs w:val="24"/>
          <w:lang w:val="mk-MK" w:eastAsia="en-GB"/>
        </w:rPr>
      </w:pPr>
      <w:r w:rsidRPr="0038361F">
        <w:rPr>
          <w:rFonts w:ascii="Arial" w:eastAsia="Calibri" w:hAnsi="Arial" w:cs="Arial"/>
          <w:szCs w:val="24"/>
          <w:lang w:val="mk-MK" w:eastAsia="en-GB"/>
        </w:rPr>
        <w:t>Разликите се видливи и во бројот на раѓања и смртни случаи. Во Пелагонискиот, Вардарскиот и Источниот регион, како резултат на неповолната старосна структура и ниската плодност, бројот на смртни случаи го надминува бројот на раѓања.</w:t>
      </w:r>
    </w:p>
    <w:p w:rsidR="00A31A65" w:rsidRPr="0038361F" w:rsidRDefault="001C65F7" w:rsidP="001C65F7">
      <w:pPr>
        <w:spacing w:before="120" w:after="120" w:line="240" w:lineRule="auto"/>
        <w:jc w:val="both"/>
        <w:rPr>
          <w:rFonts w:ascii="Arial" w:hAnsi="Arial" w:cs="Arial"/>
          <w:sz w:val="20"/>
          <w:szCs w:val="20"/>
          <w:lang w:val="mk-MK"/>
        </w:rPr>
      </w:pPr>
      <w:bookmarkStart w:id="7" w:name="_Toc8640477"/>
      <w:r w:rsidRPr="002B2470">
        <w:rPr>
          <w:rFonts w:ascii="Arial" w:hAnsi="Arial" w:cs="Arial"/>
          <w:sz w:val="20"/>
          <w:szCs w:val="20"/>
          <w:lang w:val="mk-MK"/>
        </w:rPr>
        <w:t xml:space="preserve">Приказ </w:t>
      </w:r>
      <w:r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Pr="0038361F">
        <w:rPr>
          <w:rFonts w:ascii="Arial" w:hAnsi="Arial" w:cs="Arial"/>
          <w:sz w:val="20"/>
          <w:szCs w:val="20"/>
          <w:lang w:val="mk-MK"/>
        </w:rPr>
        <w:fldChar w:fldCharType="separate"/>
      </w:r>
      <w:r w:rsidRPr="0038361F">
        <w:rPr>
          <w:rFonts w:ascii="Arial" w:hAnsi="Arial" w:cs="Arial"/>
          <w:sz w:val="20"/>
          <w:szCs w:val="20"/>
          <w:lang w:val="mk-MK"/>
        </w:rPr>
        <w:t>1</w:t>
      </w:r>
      <w:r w:rsidRPr="0038361F">
        <w:rPr>
          <w:rFonts w:ascii="Arial" w:hAnsi="Arial" w:cs="Arial"/>
          <w:sz w:val="20"/>
          <w:szCs w:val="20"/>
          <w:lang w:val="mk-MK"/>
        </w:rPr>
        <w:fldChar w:fldCharType="end"/>
      </w:r>
      <w:r w:rsidRPr="0038361F">
        <w:rPr>
          <w:rFonts w:ascii="Arial" w:hAnsi="Arial" w:cs="Arial"/>
          <w:sz w:val="20"/>
          <w:szCs w:val="20"/>
          <w:lang w:val="mk-MK"/>
        </w:rPr>
        <w:t>:</w:t>
      </w:r>
      <w:r w:rsidR="00A31A65" w:rsidRPr="0038361F">
        <w:rPr>
          <w:rFonts w:ascii="Arial" w:hAnsi="Arial" w:cs="Arial"/>
          <w:sz w:val="20"/>
          <w:szCs w:val="20"/>
          <w:lang w:val="mk-MK"/>
        </w:rPr>
        <w:t xml:space="preserve"> Структура на вкупното население по старосни групи, на крајот на 2015 година</w:t>
      </w:r>
      <w:bookmarkEnd w:id="7"/>
    </w:p>
    <w:p w:rsidR="00A31A65" w:rsidRPr="0038361F" w:rsidRDefault="00A31A65" w:rsidP="00A31A65">
      <w:pPr>
        <w:spacing w:after="0" w:line="240" w:lineRule="auto"/>
        <w:jc w:val="both"/>
        <w:rPr>
          <w:rFonts w:ascii="Arial" w:eastAsia="Calibri" w:hAnsi="Arial" w:cs="Arial"/>
          <w:sz w:val="24"/>
          <w:szCs w:val="24"/>
          <w:lang w:val="mk-MK" w:eastAsia="en-GB"/>
        </w:rPr>
      </w:pPr>
      <w:r w:rsidRPr="005A7450">
        <w:rPr>
          <w:rFonts w:ascii="Arial" w:eastAsia="Calibri" w:hAnsi="Arial" w:cs="Arial"/>
          <w:noProof/>
          <w:sz w:val="24"/>
          <w:szCs w:val="24"/>
        </w:rPr>
        <w:drawing>
          <wp:inline distT="0" distB="0" distL="0" distR="0" wp14:anchorId="3B0F850B" wp14:editId="5D6FC2E6">
            <wp:extent cx="2731135" cy="1627505"/>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1135" cy="1627505"/>
                    </a:xfrm>
                    <a:prstGeom prst="rect">
                      <a:avLst/>
                    </a:prstGeom>
                    <a:noFill/>
                  </pic:spPr>
                </pic:pic>
              </a:graphicData>
            </a:graphic>
          </wp:inline>
        </w:drawing>
      </w:r>
    </w:p>
    <w:p w:rsidR="00A31A65" w:rsidRPr="0038361F" w:rsidRDefault="00A31A65" w:rsidP="00A31A65">
      <w:pPr>
        <w:spacing w:after="0" w:line="240" w:lineRule="auto"/>
        <w:jc w:val="both"/>
        <w:rPr>
          <w:rFonts w:ascii="Arial" w:eastAsia="Calibri" w:hAnsi="Arial" w:cs="Arial"/>
          <w:sz w:val="18"/>
          <w:szCs w:val="24"/>
          <w:lang w:val="mk-MK" w:eastAsia="en-GB"/>
        </w:rPr>
      </w:pPr>
      <w:r w:rsidRPr="0038361F">
        <w:rPr>
          <w:rFonts w:ascii="Arial" w:eastAsia="Calibri" w:hAnsi="Arial" w:cs="Arial"/>
          <w:sz w:val="18"/>
          <w:szCs w:val="24"/>
          <w:lang w:val="mk-MK" w:eastAsia="en-GB"/>
        </w:rPr>
        <w:t>Извор: ДЗС</w:t>
      </w:r>
    </w:p>
    <w:p w:rsidR="00A31A65" w:rsidRPr="0038361F" w:rsidRDefault="00A31A65" w:rsidP="00A31A65">
      <w:pPr>
        <w:spacing w:after="0" w:line="240" w:lineRule="auto"/>
        <w:jc w:val="both"/>
        <w:rPr>
          <w:rFonts w:ascii="Arial" w:eastAsia="Calibri" w:hAnsi="Arial" w:cs="Arial"/>
          <w:sz w:val="24"/>
          <w:szCs w:val="24"/>
          <w:lang w:val="mk-MK" w:eastAsia="en-GB"/>
        </w:rPr>
      </w:pPr>
    </w:p>
    <w:p w:rsidR="00A31A65" w:rsidRPr="0038361F" w:rsidRDefault="00A31A65" w:rsidP="006059EF">
      <w:pPr>
        <w:pStyle w:val="m343668044302477783m-3986873246552044066msolistparagraph"/>
        <w:numPr>
          <w:ilvl w:val="1"/>
          <w:numId w:val="35"/>
        </w:numPr>
        <w:spacing w:before="120" w:beforeAutospacing="0" w:after="0" w:afterAutospacing="0"/>
        <w:jc w:val="both"/>
        <w:outlineLvl w:val="1"/>
        <w:rPr>
          <w:rFonts w:ascii="Arial" w:hAnsi="Arial" w:cs="Arial"/>
          <w:b/>
          <w:lang w:val="mk-MK"/>
        </w:rPr>
      </w:pPr>
      <w:bookmarkStart w:id="8" w:name="_Toc8639864"/>
      <w:r w:rsidRPr="0038361F">
        <w:rPr>
          <w:rFonts w:ascii="Arial" w:hAnsi="Arial" w:cs="Arial"/>
          <w:b/>
          <w:lang w:val="mk-MK"/>
        </w:rPr>
        <w:t>Земјоделско производство и економија</w:t>
      </w:r>
      <w:r w:rsidRPr="0038361F">
        <w:rPr>
          <w:rStyle w:val="FootnoteReference"/>
          <w:rFonts w:ascii="Arial" w:hAnsi="Arial" w:cs="Arial"/>
          <w:b/>
          <w:lang w:val="mk-MK"/>
        </w:rPr>
        <w:footnoteReference w:id="1"/>
      </w:r>
      <w:bookmarkEnd w:id="8"/>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Земјоделството, заедно со ловот, шумарството и рибарството со учество од 10,6% во вкупниот бруто-домашен производ (БДП) во 2016 година, беше четвртиот по големина економски сектор, веднаш по секторите на услуги, индустрија и трговија на големо и мало. Храна</w:t>
      </w:r>
      <w:r w:rsidRPr="002B2470">
        <w:rPr>
          <w:rFonts w:ascii="Arial" w:hAnsi="Arial" w:cs="Arial"/>
          <w:sz w:val="22"/>
          <w:lang w:val="mk-MK"/>
        </w:rPr>
        <w:t>та</w:t>
      </w:r>
      <w:r w:rsidRPr="0038361F">
        <w:rPr>
          <w:rFonts w:ascii="Arial" w:hAnsi="Arial" w:cs="Arial"/>
          <w:sz w:val="22"/>
          <w:lang w:val="mk-MK"/>
        </w:rPr>
        <w:t>, пијалаци</w:t>
      </w:r>
      <w:r w:rsidRPr="002B2470">
        <w:rPr>
          <w:rFonts w:ascii="Arial" w:hAnsi="Arial" w:cs="Arial"/>
          <w:sz w:val="22"/>
          <w:lang w:val="mk-MK"/>
        </w:rPr>
        <w:t>те</w:t>
      </w:r>
      <w:r w:rsidRPr="0038361F">
        <w:rPr>
          <w:rFonts w:ascii="Arial" w:hAnsi="Arial" w:cs="Arial"/>
          <w:sz w:val="22"/>
          <w:lang w:val="mk-MK"/>
        </w:rPr>
        <w:t xml:space="preserve"> и тутун</w:t>
      </w:r>
      <w:r w:rsidRPr="002B2470">
        <w:rPr>
          <w:rFonts w:ascii="Arial" w:hAnsi="Arial" w:cs="Arial"/>
          <w:sz w:val="22"/>
          <w:lang w:val="mk-MK"/>
        </w:rPr>
        <w:t>от</w:t>
      </w:r>
      <w:r w:rsidRPr="0038361F">
        <w:rPr>
          <w:rFonts w:ascii="Arial" w:hAnsi="Arial" w:cs="Arial"/>
          <w:sz w:val="22"/>
          <w:lang w:val="mk-MK"/>
        </w:rPr>
        <w:t xml:space="preserve"> учествуваа со 40,0% во вкупната потрошувачка по домаќинство.</w:t>
      </w:r>
    </w:p>
    <w:p w:rsidR="00A31A65" w:rsidRPr="0038361F" w:rsidRDefault="00A31A65" w:rsidP="00A31A65">
      <w:pPr>
        <w:pStyle w:val="m343668044302477783m-3986873246552044066msolistparagraph"/>
        <w:spacing w:before="120" w:after="0"/>
        <w:jc w:val="both"/>
        <w:rPr>
          <w:rFonts w:ascii="Arial" w:hAnsi="Arial" w:cs="Arial"/>
          <w:b/>
          <w:lang w:val="mk-MK"/>
        </w:rPr>
      </w:pPr>
      <w:r w:rsidRPr="0038361F">
        <w:rPr>
          <w:rFonts w:ascii="Arial" w:hAnsi="Arial" w:cs="Arial"/>
          <w:b/>
          <w:lang w:val="mk-MK"/>
        </w:rPr>
        <w:t>Економски сметки и вредност на земјоделското производство</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Бруто додадената вредност во земјоделството за 2017 година изнесува 44.907 милиони денари, а во споредба со 2016 година номинално се намали за 12,8%.</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 xml:space="preserve">Производството на растителни култури во 2017 година, со </w:t>
      </w:r>
      <w:r w:rsidR="00AD5130" w:rsidRPr="00543756">
        <w:rPr>
          <w:rFonts w:ascii="Arial" w:hAnsi="Arial" w:cs="Arial"/>
          <w:sz w:val="22"/>
          <w:lang w:val="mk-MK"/>
        </w:rPr>
        <w:t xml:space="preserve">учество </w:t>
      </w:r>
      <w:r w:rsidR="00AD5130">
        <w:rPr>
          <w:rFonts w:ascii="Arial" w:hAnsi="Arial" w:cs="Arial"/>
          <w:sz w:val="22"/>
          <w:lang w:val="mk-MK"/>
        </w:rPr>
        <w:t xml:space="preserve">од </w:t>
      </w:r>
      <w:r w:rsidRPr="0038361F">
        <w:rPr>
          <w:rFonts w:ascii="Arial" w:hAnsi="Arial" w:cs="Arial"/>
          <w:sz w:val="22"/>
          <w:lang w:val="mk-MK"/>
        </w:rPr>
        <w:t>65,0% во вкупното производство, е намалено за 13,6% во споредба со 2016 година. Сточарството, што претставува 24,2% од вкупното производство, е намалено за 2,8% во споредба со 2016 година.</w:t>
      </w:r>
    </w:p>
    <w:p w:rsidR="003617C1" w:rsidRPr="002B2470"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Средната потрошувачка забележа пад од 4,8% во 2017 година во споредба со 2016 година. Во 2017 година, номиналниот приход во земјоделството од факторите на производство по единица труд забележа намалување од 5,7%, додека реалните приходи во земјоделството од фактори на производство забележаа пад од 5, 0%</w:t>
      </w:r>
    </w:p>
    <w:p w:rsidR="00A31A65" w:rsidRPr="002B2470" w:rsidRDefault="00A31A65" w:rsidP="00A31A65">
      <w:pPr>
        <w:pStyle w:val="m343668044302477783m-3986873246552044066msolistparagraph"/>
        <w:spacing w:before="120" w:after="0"/>
        <w:jc w:val="both"/>
        <w:rPr>
          <w:rFonts w:ascii="Arial" w:eastAsia="Times New Roman" w:hAnsi="Arial" w:cs="Arial"/>
          <w:b/>
          <w:lang w:val="mk-MK" w:eastAsia="en-US"/>
        </w:rPr>
      </w:pPr>
      <w:r w:rsidRPr="002B2470">
        <w:rPr>
          <w:rFonts w:ascii="Arial" w:eastAsia="Times New Roman" w:hAnsi="Arial" w:cs="Arial"/>
          <w:b/>
          <w:lang w:val="mk-MK" w:eastAsia="en-US"/>
        </w:rPr>
        <w:t>Земјоделско земјиште и структура на фарм</w:t>
      </w:r>
      <w:r w:rsidR="00AD5130">
        <w:rPr>
          <w:rFonts w:ascii="Arial" w:eastAsia="Times New Roman" w:hAnsi="Arial" w:cs="Arial"/>
          <w:b/>
          <w:lang w:val="mk-MK" w:eastAsia="en-US"/>
        </w:rPr>
        <w:t>и</w:t>
      </w:r>
    </w:p>
    <w:p w:rsidR="00A31A65" w:rsidRPr="00B572F3" w:rsidRDefault="00A31A65" w:rsidP="00A31A65">
      <w:pPr>
        <w:pStyle w:val="m343668044302477783m-3986873246552044066msolistparagraph"/>
        <w:spacing w:before="120" w:beforeAutospacing="0" w:after="0" w:afterAutospacing="0"/>
        <w:jc w:val="both"/>
        <w:rPr>
          <w:rFonts w:ascii="Arial" w:eastAsia="Times New Roman" w:hAnsi="Arial" w:cs="Arial"/>
          <w:sz w:val="22"/>
          <w:lang w:val="mk-MK" w:eastAsia="en-US"/>
        </w:rPr>
      </w:pPr>
      <w:r w:rsidRPr="00B572F3">
        <w:rPr>
          <w:rFonts w:ascii="Arial" w:eastAsia="Times New Roman" w:hAnsi="Arial" w:cs="Arial"/>
          <w:sz w:val="22"/>
          <w:lang w:val="mk-MK" w:eastAsia="en-US"/>
        </w:rPr>
        <w:t>Според податоците на ДЗС, 1.266 милиони хектари</w:t>
      </w:r>
      <w:r w:rsidR="00B572F3">
        <w:rPr>
          <w:rFonts w:ascii="Arial" w:eastAsia="Times New Roman" w:hAnsi="Arial" w:cs="Arial"/>
          <w:sz w:val="22"/>
          <w:lang w:val="mk-MK" w:eastAsia="en-US"/>
        </w:rPr>
        <w:t xml:space="preserve"> </w:t>
      </w:r>
      <w:r w:rsidRPr="00B572F3">
        <w:rPr>
          <w:rFonts w:ascii="Arial" w:eastAsia="Times New Roman" w:hAnsi="Arial" w:cs="Arial"/>
          <w:sz w:val="22"/>
          <w:lang w:val="mk-MK" w:eastAsia="en-US"/>
        </w:rPr>
        <w:t>или 49% од вкупната површина се земјоделско земјиште (обработливо земјиште и пасишта), 38% се под шуми, а околу 13% се вода и други површини.</w:t>
      </w:r>
    </w:p>
    <w:p w:rsidR="00A31A65" w:rsidRPr="0038361F" w:rsidRDefault="00CE334A" w:rsidP="00A31A65">
      <w:pPr>
        <w:pStyle w:val="m343668044302477783m-3986873246552044066msolistparagraph"/>
        <w:spacing w:before="120" w:beforeAutospacing="0" w:after="120" w:afterAutospacing="0"/>
        <w:jc w:val="both"/>
        <w:rPr>
          <w:rFonts w:ascii="Arial" w:eastAsia="Times New Roman" w:hAnsi="Arial" w:cs="Arial"/>
          <w:sz w:val="20"/>
          <w:lang w:val="mk-MK" w:eastAsia="en-US"/>
        </w:rPr>
      </w:pPr>
      <w:bookmarkStart w:id="9" w:name="_Toc8640192"/>
      <w:r w:rsidRPr="00B572F3">
        <w:rPr>
          <w:rFonts w:ascii="Arial" w:eastAsia="Times New Roman" w:hAnsi="Arial" w:cs="Arial"/>
          <w:sz w:val="20"/>
          <w:lang w:val="mk-MK" w:eastAsia="en-US"/>
        </w:rPr>
        <w:t xml:space="preserve">Табела </w:t>
      </w:r>
      <w:r w:rsidRPr="005A7450">
        <w:rPr>
          <w:rFonts w:ascii="Arial" w:eastAsia="Times New Roman" w:hAnsi="Arial" w:cs="Arial"/>
          <w:sz w:val="20"/>
          <w:lang w:val="mk-MK" w:eastAsia="en-US"/>
        </w:rPr>
        <w:fldChar w:fldCharType="begin"/>
      </w:r>
      <w:r w:rsidRPr="002B2470">
        <w:rPr>
          <w:rFonts w:ascii="Arial" w:eastAsia="Times New Roman" w:hAnsi="Arial" w:cs="Arial"/>
          <w:sz w:val="20"/>
          <w:lang w:val="mk-MK" w:eastAsia="en-US"/>
        </w:rPr>
        <w:instrText xml:space="preserve"> SEQ Table \* ARABIC </w:instrText>
      </w:r>
      <w:r w:rsidRPr="005A7450">
        <w:rPr>
          <w:rFonts w:ascii="Arial" w:eastAsia="Times New Roman" w:hAnsi="Arial" w:cs="Arial"/>
          <w:sz w:val="20"/>
          <w:lang w:val="mk-MK" w:eastAsia="en-US"/>
        </w:rPr>
        <w:fldChar w:fldCharType="separate"/>
      </w:r>
      <w:r w:rsidRPr="002B2470">
        <w:rPr>
          <w:rFonts w:ascii="Arial" w:eastAsia="Times New Roman" w:hAnsi="Arial" w:cs="Arial"/>
          <w:sz w:val="20"/>
          <w:lang w:val="mk-MK" w:eastAsia="en-US"/>
        </w:rPr>
        <w:t>2</w:t>
      </w:r>
      <w:r w:rsidRPr="005A7450">
        <w:rPr>
          <w:rFonts w:ascii="Arial" w:eastAsia="Times New Roman" w:hAnsi="Arial" w:cs="Arial"/>
          <w:sz w:val="20"/>
          <w:lang w:val="mk-MK" w:eastAsia="en-US"/>
        </w:rPr>
        <w:fldChar w:fldCharType="end"/>
      </w:r>
      <w:r w:rsidRPr="002B2470">
        <w:rPr>
          <w:rFonts w:ascii="Arial" w:eastAsia="Times New Roman" w:hAnsi="Arial" w:cs="Arial"/>
          <w:sz w:val="20"/>
          <w:lang w:val="mk-MK" w:eastAsia="en-US"/>
        </w:rPr>
        <w:t>:</w:t>
      </w:r>
      <w:r w:rsidR="00A31A65" w:rsidRPr="002B2470">
        <w:rPr>
          <w:rFonts w:ascii="Arial" w:eastAsia="Times New Roman" w:hAnsi="Arial" w:cs="Arial"/>
          <w:sz w:val="20"/>
          <w:lang w:val="mk-MK" w:eastAsia="en-US"/>
        </w:rPr>
        <w:t xml:space="preserve"> Земјоделски површини по категории на употреба во 000 хектари</w:t>
      </w:r>
      <w:bookmarkEnd w:id="9"/>
    </w:p>
    <w:tbl>
      <w:tblPr>
        <w:tblW w:w="493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897"/>
        <w:gridCol w:w="878"/>
        <w:gridCol w:w="974"/>
        <w:gridCol w:w="999"/>
        <w:gridCol w:w="896"/>
        <w:gridCol w:w="963"/>
      </w:tblGrid>
      <w:tr w:rsidR="00A31A65" w:rsidRPr="002B2470" w:rsidTr="00A31A65">
        <w:trPr>
          <w:trHeight w:val="238"/>
        </w:trPr>
        <w:tc>
          <w:tcPr>
            <w:tcW w:w="1851" w:type="pct"/>
            <w:tcBorders>
              <w:top w:val="nil"/>
              <w:left w:val="nil"/>
            </w:tcBorders>
          </w:tcPr>
          <w:p w:rsidR="00A31A65" w:rsidRPr="0038361F" w:rsidRDefault="00A31A65" w:rsidP="00A31A65">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p>
        </w:tc>
        <w:tc>
          <w:tcPr>
            <w:tcW w:w="504" w:type="pct"/>
          </w:tcPr>
          <w:p w:rsidR="00A31A65" w:rsidRPr="002B2470"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2B2470">
              <w:rPr>
                <w:rFonts w:ascii="Arial" w:eastAsia="Times New Roman" w:hAnsi="Arial" w:cs="Arial"/>
                <w:b/>
                <w:bCs/>
                <w:spacing w:val="-3"/>
                <w:sz w:val="20"/>
                <w:szCs w:val="20"/>
                <w:lang w:val="mk-MK"/>
              </w:rPr>
              <w:t>2012</w:t>
            </w:r>
          </w:p>
        </w:tc>
        <w:tc>
          <w:tcPr>
            <w:tcW w:w="493" w:type="pct"/>
          </w:tcPr>
          <w:p w:rsidR="00A31A65" w:rsidRPr="002B2470"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2B2470">
              <w:rPr>
                <w:rFonts w:ascii="Arial" w:eastAsia="Times New Roman" w:hAnsi="Arial" w:cs="Arial"/>
                <w:b/>
                <w:bCs/>
                <w:spacing w:val="-3"/>
                <w:sz w:val="20"/>
                <w:szCs w:val="20"/>
                <w:lang w:val="mk-MK"/>
              </w:rPr>
              <w:t>2013</w:t>
            </w:r>
          </w:p>
        </w:tc>
        <w:tc>
          <w:tcPr>
            <w:tcW w:w="547" w:type="pct"/>
          </w:tcPr>
          <w:p w:rsidR="00A31A65" w:rsidRPr="008A22EF"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8A22EF">
              <w:rPr>
                <w:rFonts w:ascii="Arial" w:eastAsia="Times New Roman" w:hAnsi="Arial" w:cs="Arial"/>
                <w:b/>
                <w:bCs/>
                <w:spacing w:val="-3"/>
                <w:sz w:val="20"/>
                <w:szCs w:val="20"/>
                <w:lang w:val="mk-MK"/>
              </w:rPr>
              <w:t>2014</w:t>
            </w:r>
          </w:p>
        </w:tc>
        <w:tc>
          <w:tcPr>
            <w:tcW w:w="561" w:type="pct"/>
          </w:tcPr>
          <w:p w:rsidR="00A31A65" w:rsidRPr="002B2470"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2B2470">
              <w:rPr>
                <w:rFonts w:ascii="Arial" w:eastAsia="Times New Roman" w:hAnsi="Arial" w:cs="Arial"/>
                <w:b/>
                <w:bCs/>
                <w:spacing w:val="-3"/>
                <w:sz w:val="20"/>
                <w:szCs w:val="20"/>
                <w:lang w:val="mk-MK"/>
              </w:rPr>
              <w:t>2015</w:t>
            </w:r>
          </w:p>
        </w:tc>
        <w:tc>
          <w:tcPr>
            <w:tcW w:w="503" w:type="pct"/>
          </w:tcPr>
          <w:p w:rsidR="00A31A65" w:rsidRPr="0038361F"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B572F3">
              <w:rPr>
                <w:rFonts w:ascii="Arial" w:eastAsia="Times New Roman" w:hAnsi="Arial" w:cs="Arial"/>
                <w:b/>
                <w:bCs/>
                <w:spacing w:val="-3"/>
                <w:sz w:val="20"/>
                <w:szCs w:val="20"/>
                <w:lang w:val="mk-MK"/>
              </w:rPr>
              <w:t>201</w:t>
            </w:r>
            <w:r w:rsidRPr="0038361F">
              <w:rPr>
                <w:rFonts w:ascii="Arial" w:eastAsia="Times New Roman" w:hAnsi="Arial" w:cs="Arial"/>
                <w:b/>
                <w:bCs/>
                <w:spacing w:val="-3"/>
                <w:sz w:val="20"/>
                <w:szCs w:val="20"/>
                <w:lang w:val="mk-MK"/>
              </w:rPr>
              <w:t>6</w:t>
            </w:r>
          </w:p>
        </w:tc>
        <w:tc>
          <w:tcPr>
            <w:tcW w:w="541" w:type="pct"/>
          </w:tcPr>
          <w:p w:rsidR="00A31A65" w:rsidRPr="0038361F" w:rsidRDefault="00A31A65" w:rsidP="008D1674">
            <w:pPr>
              <w:widowControl w:val="0"/>
              <w:autoSpaceDE w:val="0"/>
              <w:autoSpaceDN w:val="0"/>
              <w:adjustRightInd w:val="0"/>
              <w:spacing w:after="0" w:line="240" w:lineRule="auto"/>
              <w:jc w:val="center"/>
              <w:rPr>
                <w:rFonts w:ascii="Arial" w:eastAsia="Times New Roman" w:hAnsi="Arial" w:cs="Arial"/>
                <w:b/>
                <w:bCs/>
                <w:spacing w:val="-3"/>
                <w:sz w:val="20"/>
                <w:szCs w:val="20"/>
                <w:lang w:val="mk-MK"/>
              </w:rPr>
            </w:pPr>
            <w:r w:rsidRPr="002B2470">
              <w:rPr>
                <w:rFonts w:ascii="Arial" w:eastAsia="Times New Roman" w:hAnsi="Arial" w:cs="Arial"/>
                <w:b/>
                <w:bCs/>
                <w:spacing w:val="-3"/>
                <w:sz w:val="20"/>
                <w:szCs w:val="20"/>
                <w:lang w:val="mk-MK"/>
              </w:rPr>
              <w:t>201</w:t>
            </w:r>
            <w:r w:rsidRPr="0038361F">
              <w:rPr>
                <w:rFonts w:ascii="Arial" w:eastAsia="Times New Roman" w:hAnsi="Arial" w:cs="Arial"/>
                <w:b/>
                <w:bCs/>
                <w:spacing w:val="-3"/>
                <w:sz w:val="20"/>
                <w:szCs w:val="20"/>
                <w:lang w:val="mk-MK"/>
              </w:rPr>
              <w:t>7</w:t>
            </w:r>
          </w:p>
        </w:tc>
      </w:tr>
      <w:tr w:rsidR="00A31A65" w:rsidRPr="002B2470" w:rsidTr="00A31A65">
        <w:trPr>
          <w:trHeight w:val="251"/>
        </w:trPr>
        <w:tc>
          <w:tcPr>
            <w:tcW w:w="1851" w:type="pct"/>
            <w:vAlign w:val="bottom"/>
          </w:tcPr>
          <w:p w:rsidR="00A31A65" w:rsidRPr="002B2470" w:rsidRDefault="00A31A65" w:rsidP="00A31A65">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lastRenderedPageBreak/>
              <w:t>Земјоделско земјиште</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1.268</w:t>
            </w:r>
          </w:p>
        </w:tc>
        <w:tc>
          <w:tcPr>
            <w:tcW w:w="493" w:type="pct"/>
            <w:vAlign w:val="center"/>
          </w:tcPr>
          <w:p w:rsidR="00A31A65" w:rsidRPr="008A22EF" w:rsidRDefault="00A31A65" w:rsidP="008D1674">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1.261</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1.263</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1.264</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1.267</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1.266</w:t>
            </w:r>
          </w:p>
        </w:tc>
      </w:tr>
      <w:tr w:rsidR="00A31A65" w:rsidRPr="002B2470" w:rsidTr="00A31A65">
        <w:trPr>
          <w:trHeight w:val="251"/>
        </w:trPr>
        <w:tc>
          <w:tcPr>
            <w:tcW w:w="1851" w:type="pct"/>
            <w:vAlign w:val="bottom"/>
          </w:tcPr>
          <w:p w:rsidR="00A31A65" w:rsidRPr="002B2470" w:rsidRDefault="00A31A65" w:rsidP="0038361F">
            <w:pPr>
              <w:pStyle w:val="ListParagraph"/>
              <w:numPr>
                <w:ilvl w:val="0"/>
                <w:numId w:val="17"/>
              </w:numPr>
              <w:spacing w:after="0" w:line="240" w:lineRule="auto"/>
              <w:ind w:left="289" w:hanging="284"/>
              <w:rPr>
                <w:rFonts w:ascii="Arial" w:eastAsia="Times New Roman" w:hAnsi="Arial" w:cs="Arial"/>
                <w:sz w:val="20"/>
                <w:szCs w:val="20"/>
                <w:lang w:val="mk-MK"/>
              </w:rPr>
            </w:pPr>
            <w:r w:rsidRPr="002B2470">
              <w:rPr>
                <w:rFonts w:ascii="Arial" w:eastAsia="Times New Roman" w:hAnsi="Arial" w:cs="Arial"/>
                <w:sz w:val="20"/>
                <w:szCs w:val="20"/>
                <w:lang w:val="mk-MK"/>
              </w:rPr>
              <w:t>Култивирано земјиште</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510</w:t>
            </w:r>
          </w:p>
        </w:tc>
        <w:tc>
          <w:tcPr>
            <w:tcW w:w="493" w:type="pct"/>
            <w:vAlign w:val="center"/>
          </w:tcPr>
          <w:p w:rsidR="00A31A65" w:rsidRPr="006F23FF" w:rsidRDefault="00A31A65" w:rsidP="008D1674">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509</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511</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514</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516</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517</w:t>
            </w:r>
          </w:p>
        </w:tc>
      </w:tr>
      <w:tr w:rsidR="00A31A65" w:rsidRPr="002B2470" w:rsidTr="00A31A65">
        <w:trPr>
          <w:trHeight w:val="251"/>
        </w:trPr>
        <w:tc>
          <w:tcPr>
            <w:tcW w:w="1851" w:type="pct"/>
            <w:vAlign w:val="bottom"/>
          </w:tcPr>
          <w:p w:rsidR="00A31A65" w:rsidRPr="002B2470" w:rsidRDefault="00A31A65" w:rsidP="0038361F">
            <w:pPr>
              <w:pStyle w:val="ListParagraph"/>
              <w:numPr>
                <w:ilvl w:val="0"/>
                <w:numId w:val="17"/>
              </w:numPr>
              <w:spacing w:after="0" w:line="240" w:lineRule="auto"/>
              <w:ind w:left="289" w:hanging="284"/>
              <w:rPr>
                <w:rFonts w:ascii="Arial" w:eastAsia="Times New Roman" w:hAnsi="Arial" w:cs="Arial"/>
                <w:sz w:val="20"/>
                <w:szCs w:val="20"/>
                <w:lang w:val="mk-MK"/>
              </w:rPr>
            </w:pPr>
            <w:r w:rsidRPr="002B2470">
              <w:rPr>
                <w:rFonts w:ascii="Arial" w:eastAsia="Times New Roman" w:hAnsi="Arial" w:cs="Arial"/>
                <w:sz w:val="20"/>
                <w:szCs w:val="20"/>
                <w:lang w:val="mk-MK"/>
              </w:rPr>
              <w:t>Обработливо земјиште и градини</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414</w:t>
            </w:r>
          </w:p>
        </w:tc>
        <w:tc>
          <w:tcPr>
            <w:tcW w:w="493" w:type="pct"/>
            <w:vAlign w:val="center"/>
          </w:tcPr>
          <w:p w:rsidR="00A31A65" w:rsidRPr="006F23FF" w:rsidRDefault="00A31A65" w:rsidP="008D1674">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413</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413</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415</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417</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417</w:t>
            </w:r>
          </w:p>
        </w:tc>
      </w:tr>
      <w:tr w:rsidR="00A31A65" w:rsidRPr="002B2470" w:rsidTr="00A31A65">
        <w:trPr>
          <w:trHeight w:val="251"/>
        </w:trPr>
        <w:tc>
          <w:tcPr>
            <w:tcW w:w="1851" w:type="pct"/>
            <w:vAlign w:val="bottom"/>
          </w:tcPr>
          <w:p w:rsidR="00A31A65" w:rsidRPr="002B2470" w:rsidRDefault="00A31A65" w:rsidP="0038361F">
            <w:pPr>
              <w:pStyle w:val="ListParagraph"/>
              <w:numPr>
                <w:ilvl w:val="0"/>
                <w:numId w:val="17"/>
              </w:numPr>
              <w:spacing w:after="0" w:line="240" w:lineRule="auto"/>
              <w:ind w:left="289" w:hanging="284"/>
              <w:rPr>
                <w:rFonts w:ascii="Arial" w:eastAsia="Times New Roman" w:hAnsi="Arial" w:cs="Arial"/>
                <w:sz w:val="20"/>
                <w:szCs w:val="20"/>
                <w:lang w:val="mk-MK"/>
              </w:rPr>
            </w:pPr>
            <w:r w:rsidRPr="002B2470">
              <w:rPr>
                <w:rFonts w:ascii="Arial" w:eastAsia="Times New Roman" w:hAnsi="Arial" w:cs="Arial"/>
                <w:sz w:val="20"/>
                <w:szCs w:val="20"/>
                <w:lang w:val="mk-MK"/>
              </w:rPr>
              <w:t>O</w:t>
            </w:r>
            <w:r w:rsidR="00CD7465" w:rsidRPr="002B2470">
              <w:rPr>
                <w:rFonts w:ascii="Arial" w:eastAsia="Times New Roman" w:hAnsi="Arial" w:cs="Arial"/>
                <w:sz w:val="20"/>
                <w:szCs w:val="20"/>
                <w:lang w:val="mk-MK"/>
              </w:rPr>
              <w:t>воштарници</w:t>
            </w:r>
          </w:p>
        </w:tc>
        <w:tc>
          <w:tcPr>
            <w:tcW w:w="504" w:type="pct"/>
            <w:vAlign w:val="center"/>
          </w:tcPr>
          <w:p w:rsidR="00A31A65" w:rsidRPr="006F23FF" w:rsidRDefault="00A31A65" w:rsidP="008D1674">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15</w:t>
            </w:r>
          </w:p>
        </w:tc>
        <w:tc>
          <w:tcPr>
            <w:tcW w:w="493"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15</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15</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16</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16</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16</w:t>
            </w:r>
          </w:p>
        </w:tc>
      </w:tr>
      <w:tr w:rsidR="00A31A65" w:rsidRPr="002B2470" w:rsidTr="00A31A65">
        <w:trPr>
          <w:trHeight w:val="238"/>
        </w:trPr>
        <w:tc>
          <w:tcPr>
            <w:tcW w:w="1851" w:type="pct"/>
            <w:vAlign w:val="bottom"/>
          </w:tcPr>
          <w:p w:rsidR="00A31A65" w:rsidRPr="002B2470" w:rsidRDefault="00CD7465" w:rsidP="0038361F">
            <w:pPr>
              <w:pStyle w:val="ListParagraph"/>
              <w:numPr>
                <w:ilvl w:val="0"/>
                <w:numId w:val="17"/>
              </w:numPr>
              <w:spacing w:after="0" w:line="240" w:lineRule="auto"/>
              <w:ind w:left="289" w:hanging="284"/>
              <w:rPr>
                <w:rFonts w:ascii="Arial" w:eastAsia="Times New Roman" w:hAnsi="Arial" w:cs="Arial"/>
                <w:sz w:val="20"/>
                <w:szCs w:val="20"/>
                <w:lang w:val="mk-MK"/>
              </w:rPr>
            </w:pPr>
            <w:r w:rsidRPr="002B2470">
              <w:rPr>
                <w:rFonts w:ascii="Arial" w:eastAsia="Times New Roman" w:hAnsi="Arial" w:cs="Arial"/>
                <w:sz w:val="20"/>
                <w:szCs w:val="20"/>
                <w:lang w:val="mk-MK"/>
              </w:rPr>
              <w:t>Лозови насади</w:t>
            </w:r>
          </w:p>
        </w:tc>
        <w:tc>
          <w:tcPr>
            <w:tcW w:w="504" w:type="pct"/>
            <w:vAlign w:val="center"/>
          </w:tcPr>
          <w:p w:rsidR="00A31A65" w:rsidRPr="006F23FF" w:rsidRDefault="00A31A65" w:rsidP="008D1674">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21</w:t>
            </w:r>
          </w:p>
        </w:tc>
        <w:tc>
          <w:tcPr>
            <w:tcW w:w="493"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22</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23</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23</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24</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24</w:t>
            </w:r>
          </w:p>
        </w:tc>
      </w:tr>
      <w:tr w:rsidR="00A31A65" w:rsidRPr="002B2470" w:rsidTr="00A31A65">
        <w:trPr>
          <w:trHeight w:val="251"/>
        </w:trPr>
        <w:tc>
          <w:tcPr>
            <w:tcW w:w="1851" w:type="pct"/>
            <w:vAlign w:val="bottom"/>
          </w:tcPr>
          <w:p w:rsidR="00A31A65" w:rsidRPr="002B2470" w:rsidRDefault="00A31A65" w:rsidP="0038361F">
            <w:pPr>
              <w:pStyle w:val="ListParagraph"/>
              <w:numPr>
                <w:ilvl w:val="0"/>
                <w:numId w:val="17"/>
              </w:numPr>
              <w:spacing w:after="0" w:line="240" w:lineRule="auto"/>
              <w:ind w:left="289" w:hanging="284"/>
              <w:rPr>
                <w:rFonts w:ascii="Arial" w:eastAsia="Times New Roman" w:hAnsi="Arial" w:cs="Arial"/>
                <w:sz w:val="20"/>
                <w:szCs w:val="20"/>
                <w:lang w:val="mk-MK"/>
              </w:rPr>
            </w:pPr>
            <w:r w:rsidRPr="002B2470">
              <w:rPr>
                <w:rFonts w:ascii="Arial" w:eastAsia="Times New Roman" w:hAnsi="Arial" w:cs="Arial"/>
                <w:sz w:val="20"/>
                <w:szCs w:val="20"/>
                <w:lang w:val="mk-MK"/>
              </w:rPr>
              <w:t>Ливади</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60</w:t>
            </w:r>
          </w:p>
        </w:tc>
        <w:tc>
          <w:tcPr>
            <w:tcW w:w="493" w:type="pct"/>
            <w:vAlign w:val="center"/>
          </w:tcPr>
          <w:p w:rsidR="00A31A65" w:rsidRPr="006F23FF" w:rsidRDefault="00A31A65" w:rsidP="008D1674">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59</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60</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60</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59</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60</w:t>
            </w:r>
          </w:p>
        </w:tc>
      </w:tr>
      <w:tr w:rsidR="00A31A65" w:rsidRPr="002B2470" w:rsidTr="00A31A65">
        <w:trPr>
          <w:trHeight w:val="251"/>
        </w:trPr>
        <w:tc>
          <w:tcPr>
            <w:tcW w:w="1851" w:type="pct"/>
            <w:vAlign w:val="bottom"/>
          </w:tcPr>
          <w:p w:rsidR="00A31A65" w:rsidRPr="002B2470" w:rsidRDefault="00A31A65" w:rsidP="00A31A65">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Пасишта</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757</w:t>
            </w:r>
          </w:p>
        </w:tc>
        <w:tc>
          <w:tcPr>
            <w:tcW w:w="493" w:type="pct"/>
            <w:vAlign w:val="center"/>
          </w:tcPr>
          <w:p w:rsidR="00A31A65" w:rsidRPr="008A22EF" w:rsidRDefault="00A31A65" w:rsidP="008D1674">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751</w:t>
            </w:r>
          </w:p>
        </w:tc>
        <w:tc>
          <w:tcPr>
            <w:tcW w:w="547"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751</w:t>
            </w:r>
          </w:p>
        </w:tc>
        <w:tc>
          <w:tcPr>
            <w:tcW w:w="561" w:type="pct"/>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Calibri" w:hAnsi="Arial" w:cs="Arial"/>
                <w:sz w:val="20"/>
                <w:szCs w:val="20"/>
                <w:lang w:val="mk-MK"/>
              </w:rPr>
              <w:t>750</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750</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748</w:t>
            </w:r>
          </w:p>
        </w:tc>
      </w:tr>
      <w:tr w:rsidR="00A31A65" w:rsidRPr="002B2470" w:rsidTr="00A31A65">
        <w:trPr>
          <w:trHeight w:val="251"/>
        </w:trPr>
        <w:tc>
          <w:tcPr>
            <w:tcW w:w="1851" w:type="pct"/>
          </w:tcPr>
          <w:p w:rsidR="00A31A65" w:rsidRPr="002B2470" w:rsidRDefault="00A31A65" w:rsidP="00A31A65">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Езера, рибници</w:t>
            </w:r>
          </w:p>
        </w:tc>
        <w:tc>
          <w:tcPr>
            <w:tcW w:w="504"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w:t>
            </w:r>
          </w:p>
        </w:tc>
        <w:tc>
          <w:tcPr>
            <w:tcW w:w="493" w:type="pct"/>
            <w:vAlign w:val="center"/>
          </w:tcPr>
          <w:p w:rsidR="00A31A65" w:rsidRPr="008A22EF" w:rsidRDefault="00A31A65" w:rsidP="008D1674">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1</w:t>
            </w:r>
          </w:p>
        </w:tc>
        <w:tc>
          <w:tcPr>
            <w:tcW w:w="547"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w:t>
            </w:r>
          </w:p>
        </w:tc>
        <w:tc>
          <w:tcPr>
            <w:tcW w:w="561" w:type="pct"/>
            <w:vAlign w:val="center"/>
          </w:tcPr>
          <w:p w:rsidR="00A31A65" w:rsidRPr="002B2470" w:rsidRDefault="00A31A65" w:rsidP="008D1674">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1</w:t>
            </w:r>
          </w:p>
        </w:tc>
        <w:tc>
          <w:tcPr>
            <w:tcW w:w="503"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541" w:type="pct"/>
            <w:vAlign w:val="center"/>
          </w:tcPr>
          <w:p w:rsidR="00A31A65" w:rsidRPr="0038361F" w:rsidRDefault="00A31A65" w:rsidP="008D1674">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r>
    </w:tbl>
    <w:p w:rsidR="00A31A65" w:rsidRPr="0038361F" w:rsidRDefault="00A31A65" w:rsidP="00A31A65">
      <w:pPr>
        <w:pStyle w:val="m343668044302477783m-3986873246552044066msolistparagraph"/>
        <w:spacing w:before="0" w:beforeAutospacing="0" w:after="0" w:afterAutospacing="0"/>
        <w:jc w:val="both"/>
        <w:rPr>
          <w:rFonts w:ascii="Arial" w:hAnsi="Arial" w:cs="Arial"/>
          <w:sz w:val="18"/>
          <w:lang w:val="mk-MK"/>
        </w:rPr>
      </w:pPr>
      <w:r w:rsidRPr="0038361F">
        <w:rPr>
          <w:rFonts w:ascii="Arial" w:hAnsi="Arial" w:cs="Arial"/>
          <w:sz w:val="18"/>
          <w:lang w:val="mk-MK"/>
        </w:rPr>
        <w:t>Извор: ДЗС</w:t>
      </w: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lang w:val="mk-MK"/>
        </w:rPr>
        <w:t xml:space="preserve">Во Република Северна Македонија има 178.125 земјоделски стопанства. Во просек, едно земјоделско стопанство користи 1,8 хектари земјоделско земјиште и одгледува 2,1 </w:t>
      </w:r>
      <w:r w:rsidR="009B65D1" w:rsidRPr="002B2470">
        <w:rPr>
          <w:rFonts w:ascii="Arial" w:hAnsi="Arial" w:cs="Arial"/>
          <w:sz w:val="22"/>
          <w:lang w:val="mk-MK"/>
        </w:rPr>
        <w:t>условни грла</w:t>
      </w:r>
      <w:r w:rsidRPr="0038361F">
        <w:rPr>
          <w:rFonts w:ascii="Arial" w:hAnsi="Arial" w:cs="Arial"/>
          <w:sz w:val="22"/>
          <w:lang w:val="mk-MK"/>
        </w:rPr>
        <w:t xml:space="preserve">. Вкупната искористена земјоделска површина од земјоделските стопанства е 320.738 хектари, а од вкупниот број на имоти, 60,8% </w:t>
      </w:r>
      <w:r w:rsidRPr="0038361F">
        <w:rPr>
          <w:rFonts w:ascii="Arial" w:hAnsi="Arial" w:cs="Arial"/>
          <w:sz w:val="22"/>
          <w:szCs w:val="22"/>
          <w:lang w:val="mk-MK"/>
        </w:rPr>
        <w:t xml:space="preserve">искористиле до 1 хектар земјоделска површина. Земјоделските стопанства имаат 381.361 </w:t>
      </w:r>
      <w:r w:rsidR="009B65D1" w:rsidRPr="002B2470">
        <w:rPr>
          <w:rFonts w:ascii="Arial" w:hAnsi="Arial" w:cs="Arial"/>
          <w:sz w:val="22"/>
          <w:szCs w:val="22"/>
          <w:lang w:val="mk-MK"/>
        </w:rPr>
        <w:t>условни грла</w:t>
      </w:r>
      <w:r w:rsidRPr="0038361F">
        <w:rPr>
          <w:rFonts w:ascii="Arial" w:hAnsi="Arial" w:cs="Arial"/>
          <w:sz w:val="22"/>
          <w:szCs w:val="22"/>
          <w:lang w:val="mk-MK"/>
        </w:rPr>
        <w:t xml:space="preserve">. Од техниките за примена на арското ѓубриво, 37,9% од земјоделските стопанства користеле примена </w:t>
      </w:r>
      <w:r w:rsidR="00B572F3">
        <w:rPr>
          <w:rFonts w:ascii="Arial" w:hAnsi="Arial" w:cs="Arial"/>
          <w:sz w:val="22"/>
          <w:szCs w:val="22"/>
          <w:lang w:val="mk-MK"/>
        </w:rPr>
        <w:t xml:space="preserve">со расфрлување </w:t>
      </w:r>
      <w:r w:rsidRPr="0038361F">
        <w:rPr>
          <w:rFonts w:ascii="Arial" w:hAnsi="Arial" w:cs="Arial"/>
          <w:sz w:val="22"/>
          <w:szCs w:val="22"/>
          <w:lang w:val="mk-MK"/>
        </w:rPr>
        <w:t>на ѓубриво</w:t>
      </w:r>
      <w:r w:rsidR="00B572F3">
        <w:rPr>
          <w:rFonts w:ascii="Arial" w:hAnsi="Arial" w:cs="Arial"/>
          <w:sz w:val="22"/>
          <w:szCs w:val="22"/>
          <w:lang w:val="mk-MK"/>
        </w:rPr>
        <w:t>то</w:t>
      </w:r>
      <w:r w:rsidRPr="0038361F">
        <w:rPr>
          <w:rFonts w:ascii="Arial" w:hAnsi="Arial" w:cs="Arial"/>
          <w:sz w:val="22"/>
          <w:szCs w:val="22"/>
          <w:lang w:val="mk-MK"/>
        </w:rPr>
        <w:t xml:space="preserve"> без вградување, додека најчесто користен метод за наводнување е методот на површинск</w:t>
      </w:r>
      <w:r w:rsidR="00B572F3">
        <w:rPr>
          <w:rFonts w:ascii="Arial" w:hAnsi="Arial" w:cs="Arial"/>
          <w:sz w:val="22"/>
          <w:szCs w:val="22"/>
          <w:lang w:val="mk-MK"/>
        </w:rPr>
        <w:t>о</w:t>
      </w:r>
      <w:r w:rsidRPr="0038361F">
        <w:rPr>
          <w:rFonts w:ascii="Arial" w:hAnsi="Arial" w:cs="Arial"/>
          <w:sz w:val="22"/>
          <w:szCs w:val="22"/>
          <w:lang w:val="mk-MK"/>
        </w:rPr>
        <w:t xml:space="preserve"> наводнување.</w:t>
      </w:r>
    </w:p>
    <w:p w:rsidR="00A31A65" w:rsidRPr="002B2470" w:rsidRDefault="00A31A65" w:rsidP="00A31A65">
      <w:pPr>
        <w:pStyle w:val="m343668044302477783m-3986873246552044066msolistparagraph"/>
        <w:spacing w:before="120" w:after="0"/>
        <w:jc w:val="both"/>
        <w:rPr>
          <w:rFonts w:ascii="Arial" w:eastAsia="Times New Roman" w:hAnsi="Arial" w:cs="Arial"/>
          <w:b/>
          <w:lang w:val="mk-MK" w:eastAsia="en-US"/>
        </w:rPr>
      </w:pPr>
      <w:r w:rsidRPr="002B2470">
        <w:rPr>
          <w:rFonts w:ascii="Arial" w:eastAsia="Times New Roman" w:hAnsi="Arial" w:cs="Arial"/>
          <w:b/>
          <w:lang w:val="mk-MK" w:eastAsia="en-US"/>
        </w:rPr>
        <w:t>Земјоделско производство</w:t>
      </w:r>
    </w:p>
    <w:p w:rsidR="006059EF" w:rsidRPr="00B572F3" w:rsidRDefault="00A31A65" w:rsidP="00A31A65">
      <w:pPr>
        <w:pStyle w:val="m343668044302477783m-3986873246552044066msolistparagraph"/>
        <w:spacing w:before="120" w:beforeAutospacing="0" w:after="0" w:afterAutospacing="0"/>
        <w:jc w:val="both"/>
        <w:rPr>
          <w:rFonts w:ascii="Arial" w:eastAsia="Times New Roman" w:hAnsi="Arial" w:cs="Arial"/>
          <w:sz w:val="22"/>
          <w:lang w:val="mk-MK" w:eastAsia="en-US"/>
        </w:rPr>
      </w:pPr>
      <w:r w:rsidRPr="002B2470">
        <w:rPr>
          <w:rFonts w:ascii="Arial" w:eastAsia="Times New Roman" w:hAnsi="Arial" w:cs="Arial"/>
          <w:sz w:val="22"/>
          <w:lang w:val="mk-MK" w:eastAsia="en-US"/>
        </w:rPr>
        <w:t>Структурата за производство на култури во земјата е поделена на пет главни групи: производство на житар</w:t>
      </w:r>
      <w:r w:rsidR="00B572F3">
        <w:rPr>
          <w:rFonts w:ascii="Arial" w:eastAsia="Times New Roman" w:hAnsi="Arial" w:cs="Arial"/>
          <w:sz w:val="22"/>
          <w:lang w:val="mk-MK" w:eastAsia="en-US"/>
        </w:rPr>
        <w:t>к</w:t>
      </w:r>
      <w:r w:rsidRPr="002B2470">
        <w:rPr>
          <w:rFonts w:ascii="Arial" w:eastAsia="Times New Roman" w:hAnsi="Arial" w:cs="Arial"/>
          <w:sz w:val="22"/>
          <w:lang w:val="mk-MK" w:eastAsia="en-US"/>
        </w:rPr>
        <w:t>и, индустриски, фуражни, хортикултурни култури, овоштарници и лозови насади. Структурата на одгледувана површина и градинарски култури (вкупно 278.000 ha</w:t>
      </w:r>
      <w:r w:rsidRPr="00B572F3">
        <w:rPr>
          <w:rFonts w:ascii="Arial" w:eastAsia="Times New Roman" w:hAnsi="Arial" w:cs="Arial"/>
          <w:sz w:val="22"/>
          <w:lang w:val="mk-MK" w:eastAsia="en-US"/>
        </w:rPr>
        <w:t>), сочинува околу 58% од житата, 18%</w:t>
      </w:r>
      <w:r w:rsidR="00B572F3">
        <w:rPr>
          <w:rFonts w:ascii="Arial" w:eastAsia="Times New Roman" w:hAnsi="Arial" w:cs="Arial"/>
          <w:sz w:val="22"/>
          <w:lang w:val="mk-MK" w:eastAsia="en-US"/>
        </w:rPr>
        <w:t xml:space="preserve"> </w:t>
      </w:r>
      <w:r w:rsidRPr="00B572F3">
        <w:rPr>
          <w:rFonts w:ascii="Arial" w:eastAsia="Times New Roman" w:hAnsi="Arial" w:cs="Arial"/>
          <w:sz w:val="22"/>
          <w:lang w:val="mk-MK" w:eastAsia="en-US"/>
        </w:rPr>
        <w:t>од зеленчукови</w:t>
      </w:r>
      <w:r w:rsidR="00B572F3">
        <w:rPr>
          <w:rFonts w:ascii="Arial" w:eastAsia="Times New Roman" w:hAnsi="Arial" w:cs="Arial"/>
          <w:sz w:val="22"/>
          <w:lang w:val="mk-MK" w:eastAsia="en-US"/>
        </w:rPr>
        <w:t>те</w:t>
      </w:r>
      <w:r w:rsidRPr="00B572F3">
        <w:rPr>
          <w:rFonts w:ascii="Arial" w:eastAsia="Times New Roman" w:hAnsi="Arial" w:cs="Arial"/>
          <w:sz w:val="22"/>
          <w:lang w:val="mk-MK" w:eastAsia="en-US"/>
        </w:rPr>
        <w:t xml:space="preserve"> култури, 14% од фуражни култури и 9% од индустриските растенија. Овоштарниците зафаќаат површина од 16.000 ха или 4%, додека лозови</w:t>
      </w:r>
      <w:r w:rsidR="00B572F3">
        <w:rPr>
          <w:rFonts w:ascii="Arial" w:eastAsia="Times New Roman" w:hAnsi="Arial" w:cs="Arial"/>
          <w:sz w:val="22"/>
          <w:lang w:val="mk-MK" w:eastAsia="en-US"/>
        </w:rPr>
        <w:t>те</w:t>
      </w:r>
      <w:r w:rsidRPr="00B572F3">
        <w:rPr>
          <w:rFonts w:ascii="Arial" w:eastAsia="Times New Roman" w:hAnsi="Arial" w:cs="Arial"/>
          <w:sz w:val="22"/>
          <w:lang w:val="mk-MK" w:eastAsia="en-US"/>
        </w:rPr>
        <w:t xml:space="preserve"> насади </w:t>
      </w:r>
      <w:r w:rsidR="00B572F3">
        <w:rPr>
          <w:rFonts w:ascii="Arial" w:eastAsia="Times New Roman" w:hAnsi="Arial" w:cs="Arial"/>
          <w:sz w:val="22"/>
          <w:lang w:val="mk-MK" w:eastAsia="en-US"/>
        </w:rPr>
        <w:t xml:space="preserve">се </w:t>
      </w:r>
      <w:r w:rsidRPr="00B572F3">
        <w:rPr>
          <w:rFonts w:ascii="Arial" w:eastAsia="Times New Roman" w:hAnsi="Arial" w:cs="Arial"/>
          <w:sz w:val="22"/>
          <w:lang w:val="mk-MK" w:eastAsia="en-US"/>
        </w:rPr>
        <w:t>околу 22.918 ха (според ДЗС) или 4% од вкупното обработливо земјиште.</w:t>
      </w:r>
    </w:p>
    <w:p w:rsidR="00A31A65" w:rsidRPr="002B2470" w:rsidRDefault="00A31A65" w:rsidP="00A31A65">
      <w:pPr>
        <w:pStyle w:val="m343668044302477783m-3986873246552044066msolistparagraph"/>
        <w:spacing w:before="120" w:beforeAutospacing="0" w:after="0" w:afterAutospacing="0"/>
        <w:jc w:val="both"/>
        <w:rPr>
          <w:rFonts w:ascii="Arial" w:eastAsia="Times New Roman" w:hAnsi="Arial" w:cs="Arial"/>
          <w:sz w:val="22"/>
          <w:lang w:val="mk-MK" w:eastAsia="en-US"/>
        </w:rPr>
      </w:pPr>
      <w:r w:rsidRPr="0038361F">
        <w:rPr>
          <w:rFonts w:ascii="Arial" w:eastAsia="Times New Roman" w:hAnsi="Arial" w:cs="Arial"/>
          <w:sz w:val="22"/>
          <w:lang w:val="mk-MK" w:eastAsia="en-US"/>
        </w:rPr>
        <w:t xml:space="preserve">Според податоците на ДЗС од 2018 година во споредба со 2017 година, има тренд на пораст на обработливата површина под житни култури од површина од 148.367 ha </w:t>
      </w:r>
      <w:r w:rsidR="00B572F3">
        <w:rPr>
          <w:rFonts w:ascii="Arial" w:eastAsia="Times New Roman" w:hAnsi="Arial" w:cs="Arial"/>
          <w:sz w:val="22"/>
          <w:lang w:val="mk-MK" w:eastAsia="en-US"/>
        </w:rPr>
        <w:t>на</w:t>
      </w:r>
      <w:r w:rsidRPr="0038361F">
        <w:rPr>
          <w:rFonts w:ascii="Arial" w:eastAsia="Times New Roman" w:hAnsi="Arial" w:cs="Arial"/>
          <w:sz w:val="22"/>
          <w:lang w:val="mk-MK" w:eastAsia="en-US"/>
        </w:rPr>
        <w:t xml:space="preserve"> површина од 154.261 ha, индустриските култури во 2017 година се намалија на 20.034 ha од 20.353 ha поради намален</w:t>
      </w:r>
      <w:r w:rsidR="00B572F3">
        <w:rPr>
          <w:rFonts w:ascii="Arial" w:eastAsia="Times New Roman" w:hAnsi="Arial" w:cs="Arial"/>
          <w:sz w:val="22"/>
          <w:lang w:val="mk-MK" w:eastAsia="en-US"/>
        </w:rPr>
        <w:t xml:space="preserve">ата </w:t>
      </w:r>
      <w:r w:rsidRPr="0038361F">
        <w:rPr>
          <w:rFonts w:ascii="Arial" w:eastAsia="Times New Roman" w:hAnsi="Arial" w:cs="Arial"/>
          <w:sz w:val="22"/>
          <w:lang w:val="mk-MK" w:eastAsia="en-US"/>
        </w:rPr>
        <w:t>површина под тутун (15.961 ha во 2017 година). Фуражните култури се сеат на површина од 31.989 ha со благ пораст од околу 4% во споредба со 2017 година. Производството на зеленчук</w:t>
      </w:r>
      <w:r w:rsidR="00B572F3">
        <w:rPr>
          <w:rFonts w:ascii="Arial" w:eastAsia="Times New Roman" w:hAnsi="Arial" w:cs="Arial"/>
          <w:sz w:val="22"/>
          <w:lang w:val="mk-MK" w:eastAsia="en-US"/>
        </w:rPr>
        <w:t>,</w:t>
      </w:r>
      <w:r w:rsidRPr="0038361F">
        <w:rPr>
          <w:rFonts w:ascii="Arial" w:eastAsia="Times New Roman" w:hAnsi="Arial" w:cs="Arial"/>
          <w:sz w:val="22"/>
          <w:lang w:val="mk-MK" w:eastAsia="en-US"/>
        </w:rPr>
        <w:t xml:space="preserve"> исто така</w:t>
      </w:r>
      <w:r w:rsidR="00B572F3">
        <w:rPr>
          <w:rFonts w:ascii="Arial" w:eastAsia="Times New Roman" w:hAnsi="Arial" w:cs="Arial"/>
          <w:sz w:val="22"/>
          <w:lang w:val="mk-MK" w:eastAsia="en-US"/>
        </w:rPr>
        <w:t>,</w:t>
      </w:r>
      <w:r w:rsidRPr="0038361F">
        <w:rPr>
          <w:rFonts w:ascii="Arial" w:eastAsia="Times New Roman" w:hAnsi="Arial" w:cs="Arial"/>
          <w:sz w:val="22"/>
          <w:lang w:val="mk-MK" w:eastAsia="en-US"/>
        </w:rPr>
        <w:t xml:space="preserve"> се намали во 2017 година на 59.072 ha од 59.499 ha. Лозови</w:t>
      </w:r>
      <w:r w:rsidR="00B572F3">
        <w:rPr>
          <w:rFonts w:ascii="Arial" w:eastAsia="Times New Roman" w:hAnsi="Arial" w:cs="Arial"/>
          <w:sz w:val="22"/>
          <w:lang w:val="mk-MK" w:eastAsia="en-US"/>
        </w:rPr>
        <w:t>те</w:t>
      </w:r>
      <w:r w:rsidRPr="0038361F">
        <w:rPr>
          <w:rFonts w:ascii="Arial" w:eastAsia="Times New Roman" w:hAnsi="Arial" w:cs="Arial"/>
          <w:sz w:val="22"/>
          <w:lang w:val="mk-MK" w:eastAsia="en-US"/>
        </w:rPr>
        <w:t xml:space="preserve"> насади </w:t>
      </w:r>
      <w:r w:rsidR="00B572F3">
        <w:rPr>
          <w:rFonts w:ascii="Arial" w:eastAsia="Times New Roman" w:hAnsi="Arial" w:cs="Arial"/>
          <w:sz w:val="22"/>
          <w:lang w:val="mk-MK" w:eastAsia="en-US"/>
        </w:rPr>
        <w:t>зафаќаат</w:t>
      </w:r>
      <w:r w:rsidR="00B572F3" w:rsidRPr="0038361F">
        <w:rPr>
          <w:rFonts w:ascii="Arial" w:eastAsia="Times New Roman" w:hAnsi="Arial" w:cs="Arial"/>
          <w:sz w:val="22"/>
          <w:lang w:val="mk-MK" w:eastAsia="en-US"/>
        </w:rPr>
        <w:t xml:space="preserve"> </w:t>
      </w:r>
      <w:r w:rsidRPr="0038361F">
        <w:rPr>
          <w:rFonts w:ascii="Arial" w:eastAsia="Times New Roman" w:hAnsi="Arial" w:cs="Arial"/>
          <w:sz w:val="22"/>
          <w:lang w:val="mk-MK" w:eastAsia="en-US"/>
        </w:rPr>
        <w:t xml:space="preserve">23.760 ha во 2018 година, со благо зголемување за 362 ha или околу 1,5% во споредба со претходната година. Производството на овошје претрпе значително намалување на производните капацитети во 2017 година во однос на 2016 година (176.351 ha на 92.609 ha). Областа во производство на јаболка се намалила од 101.088 ха на 43.366 ха, </w:t>
      </w:r>
      <w:r w:rsidR="00B572F3">
        <w:rPr>
          <w:rFonts w:ascii="Arial" w:eastAsia="Times New Roman" w:hAnsi="Arial" w:cs="Arial"/>
          <w:sz w:val="22"/>
          <w:lang w:val="mk-MK" w:eastAsia="en-US"/>
        </w:rPr>
        <w:t xml:space="preserve">а на </w:t>
      </w:r>
      <w:r w:rsidRPr="0038361F">
        <w:rPr>
          <w:rFonts w:ascii="Arial" w:eastAsia="Times New Roman" w:hAnsi="Arial" w:cs="Arial"/>
          <w:sz w:val="22"/>
          <w:lang w:val="mk-MK" w:eastAsia="en-US"/>
        </w:rPr>
        <w:t>сливи од 33.684 на 17.880 ха. Само производство</w:t>
      </w:r>
      <w:r w:rsidR="00B572F3">
        <w:rPr>
          <w:rFonts w:ascii="Arial" w:eastAsia="Times New Roman" w:hAnsi="Arial" w:cs="Arial"/>
          <w:sz w:val="22"/>
          <w:lang w:val="mk-MK" w:eastAsia="en-US"/>
        </w:rPr>
        <w:t>то</w:t>
      </w:r>
      <w:r w:rsidRPr="0038361F">
        <w:rPr>
          <w:rFonts w:ascii="Arial" w:eastAsia="Times New Roman" w:hAnsi="Arial" w:cs="Arial"/>
          <w:sz w:val="22"/>
          <w:lang w:val="mk-MK" w:eastAsia="en-US"/>
        </w:rPr>
        <w:t xml:space="preserve"> на вишна и ореви се зголеми, приближно двојно (4.408 ha на 8.072 ha и 2.341 ha на 5.147 ha).</w:t>
      </w:r>
    </w:p>
    <w:p w:rsidR="00A31A65" w:rsidRPr="008A22EF" w:rsidRDefault="00A31A65" w:rsidP="00A31A65">
      <w:pPr>
        <w:pStyle w:val="m343668044302477783m-3986873246552044066msolistparagraph"/>
        <w:spacing w:before="120" w:after="0"/>
        <w:jc w:val="both"/>
        <w:rPr>
          <w:rFonts w:ascii="Arial" w:eastAsia="Times New Roman" w:hAnsi="Arial" w:cs="Arial"/>
          <w:sz w:val="22"/>
          <w:lang w:val="mk-MK" w:eastAsia="en-US"/>
        </w:rPr>
      </w:pPr>
      <w:r w:rsidRPr="002B2470">
        <w:rPr>
          <w:rFonts w:ascii="Arial" w:eastAsia="Times New Roman" w:hAnsi="Arial" w:cs="Arial"/>
          <w:sz w:val="22"/>
          <w:lang w:val="mk-MK" w:eastAsia="en-US"/>
        </w:rPr>
        <w:t xml:space="preserve">Во 2017 година вкупниот број овци изнесуваше 724.555 глави останувајќи на </w:t>
      </w:r>
      <w:r w:rsidR="008A22EF">
        <w:rPr>
          <w:rFonts w:ascii="Arial" w:eastAsia="Times New Roman" w:hAnsi="Arial" w:cs="Arial"/>
          <w:sz w:val="22"/>
          <w:lang w:val="mk-MK" w:eastAsia="en-US"/>
        </w:rPr>
        <w:t>речиси</w:t>
      </w:r>
      <w:r w:rsidRPr="002B2470">
        <w:rPr>
          <w:rFonts w:ascii="Arial" w:eastAsia="Times New Roman" w:hAnsi="Arial" w:cs="Arial"/>
          <w:sz w:val="22"/>
          <w:lang w:val="mk-MK" w:eastAsia="en-US"/>
        </w:rPr>
        <w:t xml:space="preserve"> исто ниво како и минатата година (723.295). Регистрираниот добиток изнесува 255.036, што</w:t>
      </w:r>
      <w:r w:rsidR="008A22EF">
        <w:rPr>
          <w:rFonts w:ascii="Arial" w:eastAsia="Times New Roman" w:hAnsi="Arial" w:cs="Arial"/>
          <w:sz w:val="22"/>
          <w:lang w:val="mk-MK" w:eastAsia="en-US"/>
        </w:rPr>
        <w:t>,</w:t>
      </w:r>
      <w:r w:rsidRPr="002B2470">
        <w:rPr>
          <w:rFonts w:ascii="Arial" w:eastAsia="Times New Roman" w:hAnsi="Arial" w:cs="Arial"/>
          <w:sz w:val="22"/>
          <w:lang w:val="mk-MK" w:eastAsia="en-US"/>
        </w:rPr>
        <w:t xml:space="preserve"> исто така</w:t>
      </w:r>
      <w:r w:rsidR="008A22EF">
        <w:rPr>
          <w:rFonts w:ascii="Arial" w:eastAsia="Times New Roman" w:hAnsi="Arial" w:cs="Arial"/>
          <w:sz w:val="22"/>
          <w:lang w:val="mk-MK" w:eastAsia="en-US"/>
        </w:rPr>
        <w:t>,</w:t>
      </w:r>
      <w:r w:rsidRPr="002B2470">
        <w:rPr>
          <w:rFonts w:ascii="Arial" w:eastAsia="Times New Roman" w:hAnsi="Arial" w:cs="Arial"/>
          <w:sz w:val="22"/>
          <w:lang w:val="mk-MK" w:eastAsia="en-US"/>
        </w:rPr>
        <w:t xml:space="preserve"> </w:t>
      </w:r>
      <w:r w:rsidR="008A22EF">
        <w:rPr>
          <w:rFonts w:ascii="Arial" w:eastAsia="Times New Roman" w:hAnsi="Arial" w:cs="Arial"/>
          <w:sz w:val="22"/>
          <w:lang w:val="mk-MK" w:eastAsia="en-US"/>
        </w:rPr>
        <w:t xml:space="preserve">е </w:t>
      </w:r>
      <w:r w:rsidRPr="002B2470">
        <w:rPr>
          <w:rFonts w:ascii="Arial" w:eastAsia="Times New Roman" w:hAnsi="Arial" w:cs="Arial"/>
          <w:sz w:val="22"/>
          <w:lang w:val="mk-MK" w:eastAsia="en-US"/>
        </w:rPr>
        <w:t>мал</w:t>
      </w:r>
      <w:r w:rsidR="008A22EF">
        <w:rPr>
          <w:rFonts w:ascii="Arial" w:eastAsia="Times New Roman" w:hAnsi="Arial" w:cs="Arial"/>
          <w:sz w:val="22"/>
          <w:lang w:val="mk-MK" w:eastAsia="en-US"/>
        </w:rPr>
        <w:t xml:space="preserve">о </w:t>
      </w:r>
      <w:r w:rsidRPr="002B2470">
        <w:rPr>
          <w:rFonts w:ascii="Arial" w:eastAsia="Times New Roman" w:hAnsi="Arial" w:cs="Arial"/>
          <w:sz w:val="22"/>
          <w:lang w:val="mk-MK" w:eastAsia="en-US"/>
        </w:rPr>
        <w:t>зголемува</w:t>
      </w:r>
      <w:r w:rsidR="008A22EF">
        <w:rPr>
          <w:rFonts w:ascii="Arial" w:eastAsia="Times New Roman" w:hAnsi="Arial" w:cs="Arial"/>
          <w:sz w:val="22"/>
          <w:lang w:val="mk-MK" w:eastAsia="en-US"/>
        </w:rPr>
        <w:t>ње</w:t>
      </w:r>
      <w:r w:rsidRPr="002B2470">
        <w:rPr>
          <w:rFonts w:ascii="Arial" w:eastAsia="Times New Roman" w:hAnsi="Arial" w:cs="Arial"/>
          <w:sz w:val="22"/>
          <w:lang w:val="mk-MK" w:eastAsia="en-US"/>
        </w:rPr>
        <w:t xml:space="preserve"> во споредба со 2016 година (254.768). Во 2017 годин</w:t>
      </w:r>
      <w:r w:rsidRPr="008A22EF">
        <w:rPr>
          <w:rFonts w:ascii="Arial" w:eastAsia="Times New Roman" w:hAnsi="Arial" w:cs="Arial"/>
          <w:sz w:val="22"/>
          <w:lang w:val="mk-MK" w:eastAsia="en-US"/>
        </w:rPr>
        <w:t>а, бројот на свињите (202.197) се зголемил во споредба со 2016 година и се зголемил за 12,5% во однос на 2012 година. Домашно производство од 13.105 тони свинско месо покрива околу 90% од побарувачката на пазарот за свежо свинско месо.</w:t>
      </w:r>
    </w:p>
    <w:p w:rsidR="00A31A65" w:rsidRPr="008A22EF" w:rsidRDefault="00A31A65" w:rsidP="00A31A65">
      <w:pPr>
        <w:pStyle w:val="m343668044302477783m-3986873246552044066msolistparagraph"/>
        <w:spacing w:before="120" w:beforeAutospacing="0" w:after="0" w:afterAutospacing="0"/>
        <w:jc w:val="both"/>
        <w:rPr>
          <w:rFonts w:ascii="Arial" w:eastAsia="Times New Roman" w:hAnsi="Arial" w:cs="Arial"/>
          <w:sz w:val="22"/>
          <w:lang w:val="mk-MK" w:eastAsia="en-US"/>
        </w:rPr>
      </w:pPr>
      <w:r w:rsidRPr="002B2470">
        <w:rPr>
          <w:rFonts w:ascii="Arial" w:eastAsia="Times New Roman" w:hAnsi="Arial" w:cs="Arial"/>
          <w:sz w:val="22"/>
          <w:lang w:val="mk-MK" w:eastAsia="en-US"/>
        </w:rPr>
        <w:t xml:space="preserve">Вкупниот број на живина во 2017 година изнесуваше 1,84 милиони, во споредба со 2014 година, што е намалено за 361.377 глави или 16,4%. Производството на јајца е примарна активност на македонската индустрија за живинарство. 1,47 милиони глави </w:t>
      </w:r>
      <w:r w:rsidRPr="002B2470">
        <w:rPr>
          <w:rFonts w:ascii="Arial" w:eastAsia="Times New Roman" w:hAnsi="Arial" w:cs="Arial"/>
          <w:sz w:val="22"/>
          <w:lang w:val="mk-MK" w:eastAsia="en-US"/>
        </w:rPr>
        <w:lastRenderedPageBreak/>
        <w:t>од вкупниот број припаѓа на бројот на кокошки. Бројот на пчелни семејства во 2017 година изнесува 75.406, што е близу до просекот о</w:t>
      </w:r>
      <w:r w:rsidR="008A22EF">
        <w:rPr>
          <w:rFonts w:ascii="Arial" w:eastAsia="Times New Roman" w:hAnsi="Arial" w:cs="Arial"/>
          <w:sz w:val="22"/>
          <w:lang w:val="mk-MK" w:eastAsia="en-US"/>
        </w:rPr>
        <w:t>д</w:t>
      </w:r>
      <w:r w:rsidRPr="008A22EF">
        <w:rPr>
          <w:rFonts w:ascii="Arial" w:eastAsia="Times New Roman" w:hAnsi="Arial" w:cs="Arial"/>
          <w:sz w:val="22"/>
          <w:lang w:val="mk-MK" w:eastAsia="en-US"/>
        </w:rPr>
        <w:t xml:space="preserve"> претходните години.</w:t>
      </w:r>
    </w:p>
    <w:p w:rsidR="00A31A65" w:rsidRPr="002B2470" w:rsidRDefault="00A31A65" w:rsidP="00A31A65">
      <w:pPr>
        <w:pStyle w:val="m343668044302477783m-3986873246552044066msolistparagraph"/>
        <w:spacing w:before="120" w:beforeAutospacing="0" w:after="0" w:afterAutospacing="0"/>
        <w:jc w:val="both"/>
        <w:rPr>
          <w:rFonts w:ascii="Arial" w:eastAsia="Times New Roman" w:hAnsi="Arial" w:cs="Arial"/>
          <w:sz w:val="22"/>
          <w:lang w:val="mk-MK" w:eastAsia="en-US"/>
        </w:rPr>
      </w:pPr>
    </w:p>
    <w:p w:rsidR="00A31A65" w:rsidRPr="0038361F" w:rsidRDefault="00A31A65" w:rsidP="00A31A65">
      <w:pPr>
        <w:spacing w:before="120" w:after="120" w:line="240" w:lineRule="auto"/>
        <w:jc w:val="both"/>
        <w:rPr>
          <w:rFonts w:ascii="Arial" w:eastAsia="Times New Roman" w:hAnsi="Arial" w:cs="Arial"/>
          <w:b/>
          <w:sz w:val="24"/>
          <w:szCs w:val="24"/>
          <w:lang w:val="mk-MK"/>
        </w:rPr>
      </w:pPr>
      <w:r w:rsidRPr="0038361F">
        <w:rPr>
          <w:rFonts w:ascii="Arial" w:eastAsia="Times New Roman" w:hAnsi="Arial" w:cs="Arial"/>
          <w:b/>
          <w:sz w:val="24"/>
          <w:szCs w:val="24"/>
          <w:lang w:val="mk-MK"/>
        </w:rPr>
        <w:t>Вработување во земјоделството и руралните области</w:t>
      </w:r>
    </w:p>
    <w:p w:rsidR="00A31A65" w:rsidRPr="0038361F" w:rsidRDefault="00A31A65" w:rsidP="00A31A65">
      <w:pPr>
        <w:spacing w:before="120" w:after="120" w:line="240" w:lineRule="auto"/>
        <w:jc w:val="both"/>
        <w:rPr>
          <w:rFonts w:ascii="Arial" w:eastAsia="Times New Roman" w:hAnsi="Arial" w:cs="Arial"/>
          <w:szCs w:val="24"/>
          <w:lang w:val="mk-MK"/>
        </w:rPr>
      </w:pPr>
      <w:r w:rsidRPr="0038361F">
        <w:rPr>
          <w:rFonts w:ascii="Arial" w:eastAsia="Times New Roman" w:hAnsi="Arial" w:cs="Arial"/>
          <w:szCs w:val="24"/>
          <w:lang w:val="mk-MK"/>
        </w:rPr>
        <w:t>Работната сила во земјоделскиот сектор во Република Северна Македонија главно се состои од трудова работа на индивидуално ниво на фарма. Најголемиот дел од руралното население се занимава со земјоделски активности (првенствено во домаќинствата) и ретко со други неземјоделски активности каде постојат можности. Просечните исплатени плати во земјоделството се меѓу најниските нивоа во споредба со другите сектори на економијата. Зголемувањето на платата во 2018 година е резултат на зголемување на минималната плата во земјата.</w:t>
      </w:r>
    </w:p>
    <w:p w:rsidR="008D1674" w:rsidRPr="006F23FF" w:rsidRDefault="008D1674" w:rsidP="00A31A65">
      <w:pPr>
        <w:pStyle w:val="Caption"/>
        <w:spacing w:after="120"/>
        <w:rPr>
          <w:rFonts w:ascii="Arial" w:eastAsia="Times New Roman" w:hAnsi="Arial" w:cs="Arial"/>
          <w:i w:val="0"/>
          <w:color w:val="auto"/>
          <w:sz w:val="20"/>
          <w:szCs w:val="24"/>
          <w:lang w:val="mk-MK"/>
        </w:rPr>
      </w:pPr>
    </w:p>
    <w:p w:rsidR="00A31A65" w:rsidRPr="0038361F" w:rsidRDefault="00CE334A" w:rsidP="00A31A65">
      <w:pPr>
        <w:pStyle w:val="Caption"/>
        <w:spacing w:after="120"/>
        <w:rPr>
          <w:rFonts w:ascii="Arial" w:eastAsia="Times New Roman" w:hAnsi="Arial" w:cs="Arial"/>
          <w:i w:val="0"/>
          <w:iCs w:val="0"/>
          <w:color w:val="auto"/>
          <w:sz w:val="20"/>
          <w:szCs w:val="24"/>
          <w:lang w:val="mk-MK"/>
        </w:rPr>
      </w:pPr>
      <w:bookmarkStart w:id="10" w:name="_Toc8640193"/>
      <w:r w:rsidRPr="006F23FF">
        <w:rPr>
          <w:rFonts w:ascii="Arial" w:eastAsia="Times New Roman" w:hAnsi="Arial" w:cs="Arial"/>
          <w:i w:val="0"/>
          <w:color w:val="auto"/>
          <w:sz w:val="20"/>
          <w:szCs w:val="24"/>
          <w:lang w:val="mk-MK"/>
        </w:rPr>
        <w:t xml:space="preserve">Табела </w:t>
      </w:r>
      <w:r w:rsidRPr="005A7450">
        <w:rPr>
          <w:rFonts w:ascii="Arial" w:eastAsia="Times New Roman" w:hAnsi="Arial" w:cs="Arial"/>
          <w:i w:val="0"/>
          <w:color w:val="auto"/>
          <w:sz w:val="20"/>
          <w:szCs w:val="24"/>
          <w:lang w:val="mk-MK"/>
        </w:rPr>
        <w:fldChar w:fldCharType="begin"/>
      </w:r>
      <w:r w:rsidRPr="002B2470">
        <w:rPr>
          <w:rFonts w:ascii="Arial" w:eastAsia="Times New Roman" w:hAnsi="Arial" w:cs="Arial"/>
          <w:i w:val="0"/>
          <w:color w:val="auto"/>
          <w:sz w:val="20"/>
          <w:szCs w:val="24"/>
          <w:lang w:val="mk-MK"/>
        </w:rPr>
        <w:instrText xml:space="preserve"> SEQ Table \* ARABIC </w:instrText>
      </w:r>
      <w:r w:rsidRPr="005A7450">
        <w:rPr>
          <w:rFonts w:ascii="Arial" w:eastAsia="Times New Roman" w:hAnsi="Arial" w:cs="Arial"/>
          <w:i w:val="0"/>
          <w:color w:val="auto"/>
          <w:sz w:val="20"/>
          <w:szCs w:val="24"/>
          <w:lang w:val="mk-MK"/>
        </w:rPr>
        <w:fldChar w:fldCharType="separate"/>
      </w:r>
      <w:r w:rsidRPr="002B2470">
        <w:rPr>
          <w:rFonts w:ascii="Arial" w:eastAsia="Times New Roman" w:hAnsi="Arial" w:cs="Arial"/>
          <w:i w:val="0"/>
          <w:color w:val="auto"/>
          <w:sz w:val="20"/>
          <w:szCs w:val="24"/>
          <w:lang w:val="mk-MK"/>
        </w:rPr>
        <w:t>3</w:t>
      </w:r>
      <w:r w:rsidRPr="005A7450">
        <w:rPr>
          <w:rFonts w:ascii="Arial" w:eastAsia="Times New Roman" w:hAnsi="Arial" w:cs="Arial"/>
          <w:i w:val="0"/>
          <w:color w:val="auto"/>
          <w:sz w:val="20"/>
          <w:szCs w:val="24"/>
          <w:lang w:val="mk-MK"/>
        </w:rPr>
        <w:fldChar w:fldCharType="end"/>
      </w:r>
      <w:r w:rsidRPr="002B2470">
        <w:rPr>
          <w:rFonts w:ascii="Arial" w:eastAsia="Times New Roman" w:hAnsi="Arial" w:cs="Arial"/>
          <w:i w:val="0"/>
          <w:color w:val="auto"/>
          <w:sz w:val="20"/>
          <w:szCs w:val="24"/>
          <w:lang w:val="mk-MK"/>
        </w:rPr>
        <w:t>:</w:t>
      </w:r>
      <w:r w:rsidR="00A31A65" w:rsidRPr="002B2470">
        <w:rPr>
          <w:rFonts w:ascii="Arial" w:eastAsia="Times New Roman" w:hAnsi="Arial" w:cs="Arial"/>
          <w:i w:val="0"/>
          <w:color w:val="auto"/>
          <w:sz w:val="20"/>
          <w:szCs w:val="24"/>
          <w:lang w:val="mk-MK"/>
        </w:rPr>
        <w:t xml:space="preserve"> Просечна нето плата по вработен во €</w:t>
      </w:r>
      <w:bookmarkEnd w:id="10"/>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8"/>
        <w:gridCol w:w="927"/>
        <w:gridCol w:w="927"/>
        <w:gridCol w:w="926"/>
        <w:gridCol w:w="921"/>
        <w:gridCol w:w="955"/>
        <w:gridCol w:w="924"/>
      </w:tblGrid>
      <w:tr w:rsidR="0038118D" w:rsidRPr="002B2470" w:rsidTr="0038118D">
        <w:trPr>
          <w:trHeight w:val="270"/>
          <w:jc w:val="center"/>
        </w:trPr>
        <w:tc>
          <w:tcPr>
            <w:tcW w:w="1908" w:type="pct"/>
          </w:tcPr>
          <w:p w:rsidR="0038118D" w:rsidRPr="002B2470" w:rsidRDefault="0038118D" w:rsidP="00A31A65">
            <w:pPr>
              <w:keepNext/>
              <w:keepLines/>
              <w:spacing w:after="0" w:line="240" w:lineRule="auto"/>
              <w:rPr>
                <w:rFonts w:ascii="Arial" w:eastAsia="Calibri" w:hAnsi="Arial" w:cs="Arial"/>
                <w:b/>
                <w:bCs/>
                <w:sz w:val="20"/>
                <w:szCs w:val="20"/>
                <w:lang w:val="mk-MK"/>
              </w:rPr>
            </w:pPr>
            <w:r w:rsidRPr="002B2470">
              <w:rPr>
                <w:rFonts w:ascii="Arial" w:eastAsia="Calibri" w:hAnsi="Arial" w:cs="Arial"/>
                <w:b/>
                <w:bCs/>
                <w:sz w:val="20"/>
                <w:szCs w:val="20"/>
                <w:lang w:val="mk-MK"/>
              </w:rPr>
              <w:t>Опис</w:t>
            </w:r>
          </w:p>
        </w:tc>
        <w:tc>
          <w:tcPr>
            <w:tcW w:w="513"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3</w:t>
            </w:r>
          </w:p>
        </w:tc>
        <w:tc>
          <w:tcPr>
            <w:tcW w:w="513"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4</w:t>
            </w:r>
          </w:p>
        </w:tc>
        <w:tc>
          <w:tcPr>
            <w:tcW w:w="513"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5</w:t>
            </w:r>
          </w:p>
        </w:tc>
        <w:tc>
          <w:tcPr>
            <w:tcW w:w="510"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6</w:t>
            </w:r>
          </w:p>
        </w:tc>
        <w:tc>
          <w:tcPr>
            <w:tcW w:w="529"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7</w:t>
            </w:r>
          </w:p>
        </w:tc>
        <w:tc>
          <w:tcPr>
            <w:tcW w:w="512" w:type="pct"/>
          </w:tcPr>
          <w:p w:rsidR="0038118D" w:rsidRPr="0038361F" w:rsidRDefault="0038118D" w:rsidP="00A31A65">
            <w:pPr>
              <w:keepNext/>
              <w:keepLines/>
              <w:spacing w:after="0" w:line="240" w:lineRule="auto"/>
              <w:jc w:val="center"/>
              <w:rPr>
                <w:rFonts w:ascii="Arial" w:eastAsia="Calibri" w:hAnsi="Arial" w:cs="Arial"/>
                <w:b/>
                <w:bCs/>
                <w:sz w:val="20"/>
                <w:szCs w:val="20"/>
                <w:lang w:val="mk-MK"/>
              </w:rPr>
            </w:pPr>
            <w:r w:rsidRPr="0038361F">
              <w:rPr>
                <w:rFonts w:ascii="Arial" w:eastAsia="Calibri" w:hAnsi="Arial" w:cs="Arial"/>
                <w:b/>
                <w:bCs/>
                <w:sz w:val="20"/>
                <w:szCs w:val="20"/>
                <w:lang w:val="mk-MK"/>
              </w:rPr>
              <w:t xml:space="preserve">јан. </w:t>
            </w:r>
            <w:r w:rsidRPr="002B2470">
              <w:rPr>
                <w:rFonts w:ascii="Arial" w:eastAsia="Calibri" w:hAnsi="Arial" w:cs="Arial"/>
                <w:b/>
                <w:bCs/>
                <w:sz w:val="20"/>
                <w:szCs w:val="20"/>
                <w:lang w:val="mk-MK"/>
              </w:rPr>
              <w:t>201</w:t>
            </w:r>
            <w:r w:rsidRPr="0038361F">
              <w:rPr>
                <w:rFonts w:ascii="Arial" w:eastAsia="Calibri" w:hAnsi="Arial" w:cs="Arial"/>
                <w:b/>
                <w:bCs/>
                <w:sz w:val="20"/>
                <w:szCs w:val="20"/>
                <w:lang w:val="mk-MK"/>
              </w:rPr>
              <w:t>8</w:t>
            </w:r>
          </w:p>
        </w:tc>
      </w:tr>
      <w:tr w:rsidR="0038118D" w:rsidRPr="002B2470" w:rsidTr="0038361F">
        <w:trPr>
          <w:trHeight w:val="270"/>
          <w:jc w:val="center"/>
        </w:trPr>
        <w:tc>
          <w:tcPr>
            <w:tcW w:w="1908" w:type="pct"/>
          </w:tcPr>
          <w:p w:rsidR="0038118D" w:rsidRPr="0038361F" w:rsidRDefault="0038118D" w:rsidP="00A31A65">
            <w:pPr>
              <w:keepNext/>
              <w:keepLines/>
              <w:spacing w:after="0" w:line="240" w:lineRule="auto"/>
              <w:rPr>
                <w:rFonts w:ascii="Arial" w:eastAsia="Calibri" w:hAnsi="Arial" w:cs="Arial"/>
                <w:sz w:val="20"/>
                <w:szCs w:val="20"/>
                <w:lang w:val="mk-MK"/>
              </w:rPr>
            </w:pPr>
            <w:r w:rsidRPr="0038361F">
              <w:rPr>
                <w:rFonts w:ascii="Arial" w:eastAsia="Calibri" w:hAnsi="Arial" w:cs="Arial"/>
                <w:sz w:val="20"/>
                <w:szCs w:val="20"/>
                <w:lang w:val="mk-MK"/>
              </w:rPr>
              <w:t>Земјоделство, шумарство и рибарство</w:t>
            </w:r>
          </w:p>
        </w:tc>
        <w:tc>
          <w:tcPr>
            <w:tcW w:w="513" w:type="pct"/>
            <w:vAlign w:val="center"/>
          </w:tcPr>
          <w:p w:rsidR="0038118D" w:rsidRPr="002B2470" w:rsidRDefault="0038118D" w:rsidP="006F23FF">
            <w:pPr>
              <w:keepNext/>
              <w:keepLines/>
              <w:spacing w:after="0" w:line="240" w:lineRule="auto"/>
              <w:jc w:val="center"/>
              <w:rPr>
                <w:rFonts w:ascii="Arial" w:eastAsia="Calibri" w:hAnsi="Arial" w:cs="Arial"/>
                <w:sz w:val="20"/>
                <w:szCs w:val="20"/>
                <w:lang w:val="mk-MK"/>
              </w:rPr>
            </w:pPr>
            <w:r w:rsidRPr="002B2470">
              <w:rPr>
                <w:rFonts w:ascii="Arial" w:eastAsia="Calibri" w:hAnsi="Arial" w:cs="Arial"/>
                <w:sz w:val="20"/>
                <w:szCs w:val="20"/>
                <w:lang w:val="mk-MK"/>
              </w:rPr>
              <w:t>257</w:t>
            </w:r>
          </w:p>
        </w:tc>
        <w:tc>
          <w:tcPr>
            <w:tcW w:w="513" w:type="pct"/>
            <w:vAlign w:val="center"/>
          </w:tcPr>
          <w:p w:rsidR="0038118D" w:rsidRPr="002B2470" w:rsidRDefault="0038118D">
            <w:pPr>
              <w:keepNext/>
              <w:keepLines/>
              <w:spacing w:after="0" w:line="240" w:lineRule="auto"/>
              <w:jc w:val="center"/>
              <w:rPr>
                <w:rFonts w:ascii="Arial" w:eastAsia="Calibri" w:hAnsi="Arial" w:cs="Arial"/>
                <w:sz w:val="20"/>
                <w:szCs w:val="20"/>
                <w:lang w:val="mk-MK"/>
              </w:rPr>
            </w:pPr>
            <w:r w:rsidRPr="002B2470">
              <w:rPr>
                <w:rFonts w:ascii="Arial" w:eastAsia="Calibri" w:hAnsi="Arial" w:cs="Arial"/>
                <w:sz w:val="20"/>
                <w:szCs w:val="20"/>
                <w:lang w:val="mk-MK"/>
              </w:rPr>
              <w:t>255</w:t>
            </w:r>
          </w:p>
        </w:tc>
        <w:tc>
          <w:tcPr>
            <w:tcW w:w="513" w:type="pct"/>
            <w:vAlign w:val="center"/>
          </w:tcPr>
          <w:p w:rsidR="0038118D" w:rsidRPr="0038361F" w:rsidRDefault="0038118D">
            <w:pPr>
              <w:keepNext/>
              <w:keepLines/>
              <w:spacing w:after="0" w:line="240" w:lineRule="auto"/>
              <w:jc w:val="center"/>
              <w:rPr>
                <w:rFonts w:ascii="Arial" w:eastAsia="Calibri" w:hAnsi="Arial" w:cs="Arial"/>
                <w:sz w:val="20"/>
                <w:szCs w:val="20"/>
                <w:lang w:val="mk-MK"/>
              </w:rPr>
            </w:pPr>
            <w:r w:rsidRPr="0038361F">
              <w:rPr>
                <w:rFonts w:ascii="Arial" w:eastAsia="Calibri" w:hAnsi="Arial" w:cs="Arial"/>
                <w:sz w:val="20"/>
                <w:szCs w:val="20"/>
                <w:lang w:val="mk-MK"/>
              </w:rPr>
              <w:t>247</w:t>
            </w:r>
          </w:p>
        </w:tc>
        <w:tc>
          <w:tcPr>
            <w:tcW w:w="510" w:type="pct"/>
            <w:vAlign w:val="center"/>
          </w:tcPr>
          <w:p w:rsidR="0038118D" w:rsidRPr="0038361F" w:rsidRDefault="0038118D">
            <w:pPr>
              <w:keepNext/>
              <w:keepLines/>
              <w:spacing w:after="0" w:line="240" w:lineRule="auto"/>
              <w:jc w:val="center"/>
              <w:rPr>
                <w:rFonts w:ascii="Arial" w:eastAsia="Calibri" w:hAnsi="Arial" w:cs="Arial"/>
                <w:sz w:val="20"/>
                <w:szCs w:val="20"/>
                <w:lang w:val="mk-MK"/>
              </w:rPr>
            </w:pPr>
            <w:r w:rsidRPr="0038361F">
              <w:rPr>
                <w:rFonts w:ascii="Arial" w:eastAsia="Calibri" w:hAnsi="Arial" w:cs="Arial"/>
                <w:sz w:val="20"/>
                <w:szCs w:val="20"/>
                <w:lang w:val="mk-MK"/>
              </w:rPr>
              <w:t>283</w:t>
            </w:r>
          </w:p>
        </w:tc>
        <w:tc>
          <w:tcPr>
            <w:tcW w:w="529" w:type="pct"/>
            <w:vAlign w:val="center"/>
          </w:tcPr>
          <w:p w:rsidR="0038118D" w:rsidRPr="0038361F" w:rsidRDefault="0038118D">
            <w:pPr>
              <w:keepNext/>
              <w:keepLines/>
              <w:spacing w:after="0" w:line="240" w:lineRule="auto"/>
              <w:jc w:val="center"/>
              <w:rPr>
                <w:rFonts w:ascii="Arial" w:eastAsia="Calibri" w:hAnsi="Arial" w:cs="Arial"/>
                <w:sz w:val="20"/>
                <w:szCs w:val="20"/>
                <w:lang w:val="mk-MK"/>
              </w:rPr>
            </w:pPr>
            <w:r w:rsidRPr="0038361F">
              <w:rPr>
                <w:rFonts w:ascii="Arial" w:eastAsia="Calibri" w:hAnsi="Arial" w:cs="Arial"/>
                <w:sz w:val="20"/>
                <w:szCs w:val="20"/>
                <w:lang w:val="mk-MK"/>
              </w:rPr>
              <w:t>272</w:t>
            </w:r>
          </w:p>
        </w:tc>
        <w:tc>
          <w:tcPr>
            <w:tcW w:w="512" w:type="pct"/>
            <w:vAlign w:val="center"/>
          </w:tcPr>
          <w:p w:rsidR="0038118D" w:rsidRPr="0038361F" w:rsidRDefault="0038118D">
            <w:pPr>
              <w:keepNext/>
              <w:keepLines/>
              <w:spacing w:after="0" w:line="240" w:lineRule="auto"/>
              <w:jc w:val="center"/>
              <w:rPr>
                <w:rFonts w:ascii="Arial" w:eastAsia="Calibri" w:hAnsi="Arial" w:cs="Arial"/>
                <w:sz w:val="20"/>
                <w:szCs w:val="20"/>
                <w:lang w:val="mk-MK"/>
              </w:rPr>
            </w:pPr>
            <w:r w:rsidRPr="0038361F">
              <w:rPr>
                <w:rFonts w:ascii="Arial" w:eastAsia="Calibri" w:hAnsi="Arial" w:cs="Arial"/>
                <w:sz w:val="20"/>
                <w:szCs w:val="20"/>
                <w:lang w:val="mk-MK"/>
              </w:rPr>
              <w:t>306</w:t>
            </w:r>
          </w:p>
        </w:tc>
      </w:tr>
    </w:tbl>
    <w:p w:rsidR="00A31A65" w:rsidRPr="0038361F" w:rsidRDefault="00A31A65" w:rsidP="00A31A65">
      <w:pPr>
        <w:spacing w:after="0" w:line="240" w:lineRule="auto"/>
        <w:jc w:val="both"/>
        <w:rPr>
          <w:rFonts w:ascii="Arial" w:eastAsia="Times New Roman" w:hAnsi="Arial" w:cs="Arial"/>
          <w:sz w:val="18"/>
          <w:szCs w:val="24"/>
          <w:lang w:val="mk-MK"/>
        </w:rPr>
      </w:pPr>
      <w:r w:rsidRPr="002B2470">
        <w:rPr>
          <w:rFonts w:ascii="Arial" w:eastAsia="Times New Roman" w:hAnsi="Arial" w:cs="Arial"/>
          <w:sz w:val="18"/>
          <w:szCs w:val="24"/>
          <w:lang w:val="mk-MK"/>
        </w:rPr>
        <w:t>Извор ДЗС, 201</w:t>
      </w:r>
      <w:r w:rsidRPr="0038361F">
        <w:rPr>
          <w:rFonts w:ascii="Arial" w:eastAsia="Times New Roman" w:hAnsi="Arial" w:cs="Arial"/>
          <w:sz w:val="18"/>
          <w:szCs w:val="24"/>
          <w:lang w:val="mk-MK"/>
        </w:rPr>
        <w:t>9</w:t>
      </w:r>
    </w:p>
    <w:p w:rsidR="00A31A65" w:rsidRPr="0038361F" w:rsidRDefault="00CE334A" w:rsidP="00A31A65">
      <w:pPr>
        <w:pStyle w:val="Caption"/>
        <w:spacing w:before="120" w:after="120"/>
        <w:rPr>
          <w:rFonts w:ascii="Arial" w:eastAsia="Times New Roman" w:hAnsi="Arial" w:cs="Arial"/>
          <w:i w:val="0"/>
          <w:iCs w:val="0"/>
          <w:color w:val="auto"/>
          <w:sz w:val="20"/>
          <w:szCs w:val="24"/>
          <w:lang w:val="mk-MK"/>
        </w:rPr>
      </w:pPr>
      <w:bookmarkStart w:id="11" w:name="_Toc8640194"/>
      <w:r w:rsidRPr="002B2470">
        <w:rPr>
          <w:rFonts w:ascii="Arial" w:eastAsia="Times New Roman" w:hAnsi="Arial" w:cs="Arial"/>
          <w:i w:val="0"/>
          <w:color w:val="auto"/>
          <w:sz w:val="20"/>
          <w:szCs w:val="24"/>
          <w:lang w:val="mk-MK"/>
        </w:rPr>
        <w:t xml:space="preserve">Табела </w:t>
      </w:r>
      <w:r w:rsidRPr="0038361F">
        <w:rPr>
          <w:rFonts w:ascii="Arial" w:eastAsia="Times New Roman" w:hAnsi="Arial" w:cs="Arial"/>
          <w:i w:val="0"/>
          <w:color w:val="auto"/>
          <w:sz w:val="20"/>
          <w:szCs w:val="24"/>
          <w:lang w:val="mk-MK"/>
        </w:rPr>
        <w:fldChar w:fldCharType="begin"/>
      </w:r>
      <w:r w:rsidRPr="002B2470">
        <w:rPr>
          <w:rFonts w:ascii="Arial" w:eastAsia="Times New Roman" w:hAnsi="Arial" w:cs="Arial"/>
          <w:i w:val="0"/>
          <w:color w:val="auto"/>
          <w:sz w:val="20"/>
          <w:szCs w:val="24"/>
          <w:lang w:val="mk-MK"/>
        </w:rPr>
        <w:instrText xml:space="preserve"> SEQ Table \* ARABIC </w:instrText>
      </w:r>
      <w:r w:rsidRPr="0038361F">
        <w:rPr>
          <w:rFonts w:ascii="Arial" w:eastAsia="Times New Roman" w:hAnsi="Arial" w:cs="Arial"/>
          <w:i w:val="0"/>
          <w:color w:val="auto"/>
          <w:sz w:val="20"/>
          <w:szCs w:val="24"/>
          <w:lang w:val="mk-MK"/>
        </w:rPr>
        <w:fldChar w:fldCharType="separate"/>
      </w:r>
      <w:r w:rsidRPr="0038361F">
        <w:rPr>
          <w:rFonts w:ascii="Arial" w:eastAsia="Times New Roman" w:hAnsi="Arial" w:cs="Arial"/>
          <w:i w:val="0"/>
          <w:color w:val="auto"/>
          <w:sz w:val="20"/>
          <w:szCs w:val="24"/>
          <w:lang w:val="mk-MK"/>
        </w:rPr>
        <w:t>4</w:t>
      </w:r>
      <w:r w:rsidRPr="0038361F">
        <w:rPr>
          <w:rFonts w:ascii="Arial" w:eastAsia="Times New Roman" w:hAnsi="Arial" w:cs="Arial"/>
          <w:i w:val="0"/>
          <w:color w:val="auto"/>
          <w:sz w:val="20"/>
          <w:szCs w:val="24"/>
          <w:lang w:val="mk-MK"/>
        </w:rPr>
        <w:fldChar w:fldCharType="end"/>
      </w:r>
      <w:r w:rsidR="00A31A65" w:rsidRPr="002B2470">
        <w:rPr>
          <w:rFonts w:ascii="Arial" w:eastAsia="Times New Roman" w:hAnsi="Arial" w:cs="Arial"/>
          <w:i w:val="0"/>
          <w:color w:val="auto"/>
          <w:sz w:val="20"/>
          <w:szCs w:val="24"/>
          <w:lang w:val="mk-MK"/>
        </w:rPr>
        <w:t>: Вработени во земјоделството, шумарството и рибарството</w:t>
      </w:r>
      <w:bookmarkEnd w:id="11"/>
    </w:p>
    <w:tbl>
      <w:tblPr>
        <w:tblW w:w="500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8"/>
        <w:gridCol w:w="930"/>
        <w:gridCol w:w="930"/>
        <w:gridCol w:w="930"/>
        <w:gridCol w:w="921"/>
        <w:gridCol w:w="953"/>
        <w:gridCol w:w="924"/>
      </w:tblGrid>
      <w:tr w:rsidR="00FC2EC4" w:rsidRPr="002B2470" w:rsidTr="00FC2EC4">
        <w:trPr>
          <w:trHeight w:val="270"/>
        </w:trPr>
        <w:tc>
          <w:tcPr>
            <w:tcW w:w="1905" w:type="pct"/>
          </w:tcPr>
          <w:p w:rsidR="00FC2EC4" w:rsidRPr="002B2470" w:rsidRDefault="00FC2EC4" w:rsidP="00A31A65">
            <w:pPr>
              <w:keepNext/>
              <w:keepLines/>
              <w:spacing w:after="0" w:line="240" w:lineRule="auto"/>
              <w:rPr>
                <w:rFonts w:ascii="Arial" w:eastAsia="Calibri" w:hAnsi="Arial" w:cs="Arial"/>
                <w:b/>
                <w:bCs/>
                <w:sz w:val="20"/>
                <w:szCs w:val="24"/>
                <w:lang w:val="mk-MK"/>
              </w:rPr>
            </w:pPr>
            <w:r w:rsidRPr="002B2470">
              <w:rPr>
                <w:rFonts w:ascii="Arial" w:eastAsia="Calibri" w:hAnsi="Arial" w:cs="Arial"/>
                <w:b/>
                <w:bCs/>
                <w:sz w:val="20"/>
                <w:szCs w:val="24"/>
                <w:lang w:val="mk-MK"/>
              </w:rPr>
              <w:t>Опис</w:t>
            </w:r>
          </w:p>
        </w:tc>
        <w:tc>
          <w:tcPr>
            <w:tcW w:w="515" w:type="pct"/>
          </w:tcPr>
          <w:p w:rsidR="00FC2EC4" w:rsidRPr="002B2470" w:rsidRDefault="00FC2EC4" w:rsidP="00A31A65">
            <w:pPr>
              <w:keepNext/>
              <w:keepLines/>
              <w:spacing w:after="0" w:line="240" w:lineRule="auto"/>
              <w:jc w:val="center"/>
              <w:rPr>
                <w:rFonts w:ascii="Arial" w:eastAsia="Calibri" w:hAnsi="Arial" w:cs="Arial"/>
                <w:b/>
                <w:bCs/>
                <w:sz w:val="20"/>
                <w:szCs w:val="24"/>
                <w:lang w:val="mk-MK"/>
              </w:rPr>
            </w:pPr>
            <w:r w:rsidRPr="002B2470">
              <w:rPr>
                <w:rFonts w:ascii="Arial" w:eastAsia="Calibri" w:hAnsi="Arial" w:cs="Arial"/>
                <w:b/>
                <w:bCs/>
                <w:sz w:val="20"/>
                <w:szCs w:val="24"/>
                <w:lang w:val="mk-MK"/>
              </w:rPr>
              <w:t>2013</w:t>
            </w:r>
          </w:p>
        </w:tc>
        <w:tc>
          <w:tcPr>
            <w:tcW w:w="515" w:type="pct"/>
          </w:tcPr>
          <w:p w:rsidR="00FC2EC4" w:rsidRPr="008A22EF" w:rsidRDefault="00FC2EC4" w:rsidP="00A31A65">
            <w:pPr>
              <w:keepNext/>
              <w:keepLines/>
              <w:spacing w:after="0" w:line="240" w:lineRule="auto"/>
              <w:jc w:val="center"/>
              <w:rPr>
                <w:rFonts w:ascii="Arial" w:eastAsia="Calibri" w:hAnsi="Arial" w:cs="Arial"/>
                <w:b/>
                <w:bCs/>
                <w:sz w:val="20"/>
                <w:szCs w:val="24"/>
                <w:lang w:val="mk-MK"/>
              </w:rPr>
            </w:pPr>
            <w:r w:rsidRPr="008A22EF">
              <w:rPr>
                <w:rFonts w:ascii="Arial" w:eastAsia="Calibri" w:hAnsi="Arial" w:cs="Arial"/>
                <w:b/>
                <w:bCs/>
                <w:sz w:val="20"/>
                <w:szCs w:val="24"/>
                <w:lang w:val="mk-MK"/>
              </w:rPr>
              <w:t>2014</w:t>
            </w:r>
          </w:p>
        </w:tc>
        <w:tc>
          <w:tcPr>
            <w:tcW w:w="515" w:type="pct"/>
          </w:tcPr>
          <w:p w:rsidR="00FC2EC4" w:rsidRPr="0038361F" w:rsidRDefault="00FC2EC4" w:rsidP="00A31A65">
            <w:pPr>
              <w:keepNext/>
              <w:keepLines/>
              <w:spacing w:after="0" w:line="240" w:lineRule="auto"/>
              <w:jc w:val="center"/>
              <w:rPr>
                <w:rFonts w:ascii="Arial" w:eastAsia="Calibri" w:hAnsi="Arial" w:cs="Arial"/>
                <w:b/>
                <w:bCs/>
                <w:sz w:val="20"/>
                <w:szCs w:val="24"/>
                <w:lang w:val="mk-MK"/>
              </w:rPr>
            </w:pPr>
            <w:r w:rsidRPr="008A22EF">
              <w:rPr>
                <w:rFonts w:ascii="Arial" w:eastAsia="Calibri" w:hAnsi="Arial" w:cs="Arial"/>
                <w:b/>
                <w:bCs/>
                <w:sz w:val="20"/>
                <w:szCs w:val="24"/>
                <w:lang w:val="mk-MK"/>
              </w:rPr>
              <w:t>201</w:t>
            </w:r>
            <w:r w:rsidRPr="0038361F">
              <w:rPr>
                <w:rFonts w:ascii="Arial" w:eastAsia="Calibri" w:hAnsi="Arial" w:cs="Arial"/>
                <w:b/>
                <w:bCs/>
                <w:sz w:val="20"/>
                <w:szCs w:val="24"/>
                <w:lang w:val="mk-MK"/>
              </w:rPr>
              <w:t>5</w:t>
            </w:r>
          </w:p>
        </w:tc>
        <w:tc>
          <w:tcPr>
            <w:tcW w:w="510" w:type="pct"/>
          </w:tcPr>
          <w:p w:rsidR="00FC2EC4" w:rsidRPr="0038361F" w:rsidRDefault="00FC2EC4" w:rsidP="00A31A65">
            <w:pPr>
              <w:keepNext/>
              <w:keepLines/>
              <w:spacing w:after="0" w:line="240" w:lineRule="auto"/>
              <w:jc w:val="center"/>
              <w:rPr>
                <w:rFonts w:ascii="Arial" w:eastAsia="Calibri" w:hAnsi="Arial" w:cs="Arial"/>
                <w:b/>
                <w:bCs/>
                <w:sz w:val="20"/>
                <w:szCs w:val="24"/>
                <w:lang w:val="mk-MK"/>
              </w:rPr>
            </w:pPr>
            <w:r w:rsidRPr="002B2470">
              <w:rPr>
                <w:rFonts w:ascii="Arial" w:eastAsia="Calibri" w:hAnsi="Arial" w:cs="Arial"/>
                <w:b/>
                <w:bCs/>
                <w:sz w:val="20"/>
                <w:szCs w:val="24"/>
                <w:lang w:val="mk-MK"/>
              </w:rPr>
              <w:t>201</w:t>
            </w:r>
            <w:r w:rsidRPr="0038361F">
              <w:rPr>
                <w:rFonts w:ascii="Arial" w:eastAsia="Calibri" w:hAnsi="Arial" w:cs="Arial"/>
                <w:b/>
                <w:bCs/>
                <w:sz w:val="20"/>
                <w:szCs w:val="24"/>
                <w:lang w:val="mk-MK"/>
              </w:rPr>
              <w:t>6</w:t>
            </w:r>
          </w:p>
        </w:tc>
        <w:tc>
          <w:tcPr>
            <w:tcW w:w="528" w:type="pct"/>
          </w:tcPr>
          <w:p w:rsidR="00FC2EC4" w:rsidRPr="0038361F" w:rsidRDefault="00FC2EC4" w:rsidP="00A31A65">
            <w:pPr>
              <w:keepNext/>
              <w:keepLines/>
              <w:spacing w:after="0" w:line="240" w:lineRule="auto"/>
              <w:jc w:val="center"/>
              <w:rPr>
                <w:rFonts w:ascii="Arial" w:eastAsia="Calibri" w:hAnsi="Arial" w:cs="Arial"/>
                <w:b/>
                <w:bCs/>
                <w:sz w:val="20"/>
                <w:szCs w:val="24"/>
                <w:lang w:val="mk-MK"/>
              </w:rPr>
            </w:pPr>
            <w:r w:rsidRPr="002B2470">
              <w:rPr>
                <w:rFonts w:ascii="Arial" w:eastAsia="Calibri" w:hAnsi="Arial" w:cs="Arial"/>
                <w:b/>
                <w:bCs/>
                <w:sz w:val="20"/>
                <w:szCs w:val="24"/>
                <w:lang w:val="mk-MK"/>
              </w:rPr>
              <w:t>201</w:t>
            </w:r>
            <w:r w:rsidRPr="0038361F">
              <w:rPr>
                <w:rFonts w:ascii="Arial" w:eastAsia="Calibri" w:hAnsi="Arial" w:cs="Arial"/>
                <w:b/>
                <w:bCs/>
                <w:sz w:val="20"/>
                <w:szCs w:val="24"/>
                <w:lang w:val="mk-MK"/>
              </w:rPr>
              <w:t>7</w:t>
            </w:r>
          </w:p>
        </w:tc>
        <w:tc>
          <w:tcPr>
            <w:tcW w:w="513" w:type="pct"/>
          </w:tcPr>
          <w:p w:rsidR="00FC2EC4" w:rsidRPr="0038361F" w:rsidRDefault="00FC2EC4" w:rsidP="00A31A65">
            <w:pPr>
              <w:keepNext/>
              <w:keepLines/>
              <w:spacing w:after="0" w:line="240" w:lineRule="auto"/>
              <w:jc w:val="center"/>
              <w:rPr>
                <w:rFonts w:ascii="Arial" w:eastAsia="Calibri" w:hAnsi="Arial" w:cs="Arial"/>
                <w:b/>
                <w:bCs/>
                <w:sz w:val="20"/>
                <w:szCs w:val="24"/>
                <w:lang w:val="mk-MK"/>
              </w:rPr>
            </w:pPr>
            <w:r w:rsidRPr="002B2470">
              <w:rPr>
                <w:rFonts w:ascii="Arial" w:eastAsia="Calibri" w:hAnsi="Arial" w:cs="Arial"/>
                <w:b/>
                <w:bCs/>
                <w:sz w:val="20"/>
                <w:szCs w:val="24"/>
                <w:lang w:val="mk-MK"/>
              </w:rPr>
              <w:t>201</w:t>
            </w:r>
            <w:r w:rsidRPr="0038361F">
              <w:rPr>
                <w:rFonts w:ascii="Arial" w:eastAsia="Calibri" w:hAnsi="Arial" w:cs="Arial"/>
                <w:b/>
                <w:bCs/>
                <w:sz w:val="20"/>
                <w:szCs w:val="24"/>
                <w:lang w:val="mk-MK"/>
              </w:rPr>
              <w:t>8</w:t>
            </w:r>
          </w:p>
        </w:tc>
      </w:tr>
      <w:tr w:rsidR="00FC2EC4" w:rsidRPr="002B2470" w:rsidTr="0038361F">
        <w:trPr>
          <w:trHeight w:val="270"/>
        </w:trPr>
        <w:tc>
          <w:tcPr>
            <w:tcW w:w="1905" w:type="pct"/>
          </w:tcPr>
          <w:p w:rsidR="00FC2EC4" w:rsidRPr="0038361F" w:rsidRDefault="00FC2EC4" w:rsidP="00A31A65">
            <w:pPr>
              <w:keepNext/>
              <w:keepLines/>
              <w:spacing w:after="0" w:line="240" w:lineRule="auto"/>
              <w:rPr>
                <w:rFonts w:ascii="Arial" w:eastAsia="Calibri" w:hAnsi="Arial" w:cs="Arial"/>
                <w:sz w:val="20"/>
                <w:szCs w:val="24"/>
                <w:lang w:val="mk-MK"/>
              </w:rPr>
            </w:pPr>
            <w:r w:rsidRPr="0038361F">
              <w:rPr>
                <w:rFonts w:ascii="Arial" w:eastAsia="Calibri" w:hAnsi="Arial" w:cs="Arial"/>
                <w:sz w:val="20"/>
                <w:szCs w:val="24"/>
                <w:lang w:val="mk-MK"/>
              </w:rPr>
              <w:t>Земјоделство, шумарство и рибарство</w:t>
            </w:r>
          </w:p>
        </w:tc>
        <w:tc>
          <w:tcPr>
            <w:tcW w:w="515" w:type="pct"/>
            <w:vAlign w:val="center"/>
          </w:tcPr>
          <w:p w:rsidR="00FC2EC4" w:rsidRPr="002B2470" w:rsidRDefault="00FC2EC4" w:rsidP="006F23FF">
            <w:pPr>
              <w:keepNext/>
              <w:keepLines/>
              <w:spacing w:after="0" w:line="240" w:lineRule="auto"/>
              <w:jc w:val="center"/>
              <w:rPr>
                <w:rFonts w:ascii="Arial" w:eastAsia="Calibri" w:hAnsi="Arial" w:cs="Arial"/>
                <w:sz w:val="20"/>
                <w:szCs w:val="24"/>
                <w:lang w:val="mk-MK"/>
              </w:rPr>
            </w:pPr>
            <w:r w:rsidRPr="002B2470">
              <w:rPr>
                <w:rFonts w:ascii="Arial" w:eastAsia="Calibri" w:hAnsi="Arial" w:cs="Arial"/>
                <w:sz w:val="20"/>
                <w:szCs w:val="24"/>
                <w:lang w:val="mk-MK"/>
              </w:rPr>
              <w:t>12.348</w:t>
            </w:r>
          </w:p>
        </w:tc>
        <w:tc>
          <w:tcPr>
            <w:tcW w:w="515" w:type="pct"/>
            <w:vAlign w:val="center"/>
          </w:tcPr>
          <w:p w:rsidR="00FC2EC4" w:rsidRPr="002B2470" w:rsidRDefault="00FC2EC4">
            <w:pPr>
              <w:keepNext/>
              <w:keepLines/>
              <w:spacing w:after="0" w:line="240" w:lineRule="auto"/>
              <w:jc w:val="center"/>
              <w:rPr>
                <w:rFonts w:ascii="Arial" w:eastAsia="Calibri" w:hAnsi="Arial" w:cs="Arial"/>
                <w:sz w:val="20"/>
                <w:szCs w:val="24"/>
                <w:lang w:val="mk-MK"/>
              </w:rPr>
            </w:pPr>
            <w:r w:rsidRPr="002B2470">
              <w:rPr>
                <w:rFonts w:ascii="Arial" w:eastAsia="Calibri" w:hAnsi="Arial" w:cs="Arial"/>
                <w:sz w:val="20"/>
                <w:szCs w:val="24"/>
                <w:lang w:val="mk-MK"/>
              </w:rPr>
              <w:t>12.649</w:t>
            </w:r>
          </w:p>
        </w:tc>
        <w:tc>
          <w:tcPr>
            <w:tcW w:w="515" w:type="pct"/>
            <w:vAlign w:val="center"/>
          </w:tcPr>
          <w:p w:rsidR="00FC2EC4" w:rsidRPr="0038361F" w:rsidRDefault="00FC2EC4">
            <w:pPr>
              <w:keepNext/>
              <w:keepLines/>
              <w:spacing w:after="0" w:line="240" w:lineRule="auto"/>
              <w:jc w:val="center"/>
              <w:rPr>
                <w:rFonts w:ascii="Arial" w:eastAsia="Calibri" w:hAnsi="Arial" w:cs="Arial"/>
                <w:sz w:val="20"/>
                <w:szCs w:val="24"/>
                <w:lang w:val="mk-MK"/>
              </w:rPr>
            </w:pPr>
            <w:r w:rsidRPr="0038361F">
              <w:rPr>
                <w:rFonts w:ascii="Arial" w:eastAsia="Calibri" w:hAnsi="Arial" w:cs="Arial"/>
                <w:sz w:val="20"/>
                <w:szCs w:val="24"/>
                <w:lang w:val="mk-MK"/>
              </w:rPr>
              <w:t>11.561</w:t>
            </w:r>
          </w:p>
        </w:tc>
        <w:tc>
          <w:tcPr>
            <w:tcW w:w="510" w:type="pct"/>
            <w:vAlign w:val="center"/>
          </w:tcPr>
          <w:p w:rsidR="00FC2EC4" w:rsidRPr="0038361F" w:rsidRDefault="00FC2EC4">
            <w:pPr>
              <w:keepNext/>
              <w:keepLines/>
              <w:spacing w:after="0" w:line="240" w:lineRule="auto"/>
              <w:jc w:val="center"/>
              <w:rPr>
                <w:rFonts w:ascii="Arial" w:eastAsia="Calibri" w:hAnsi="Arial" w:cs="Arial"/>
                <w:sz w:val="20"/>
                <w:szCs w:val="24"/>
                <w:lang w:val="mk-MK"/>
              </w:rPr>
            </w:pPr>
            <w:r w:rsidRPr="0038361F">
              <w:rPr>
                <w:rFonts w:ascii="Arial" w:eastAsia="Calibri" w:hAnsi="Arial" w:cs="Arial"/>
                <w:sz w:val="20"/>
                <w:szCs w:val="24"/>
                <w:lang w:val="mk-MK"/>
              </w:rPr>
              <w:t>11.133</w:t>
            </w:r>
          </w:p>
        </w:tc>
        <w:tc>
          <w:tcPr>
            <w:tcW w:w="528" w:type="pct"/>
            <w:vAlign w:val="center"/>
          </w:tcPr>
          <w:p w:rsidR="00FC2EC4" w:rsidRPr="0038361F" w:rsidRDefault="00FC2EC4">
            <w:pPr>
              <w:keepNext/>
              <w:keepLines/>
              <w:spacing w:after="0" w:line="240" w:lineRule="auto"/>
              <w:jc w:val="center"/>
              <w:rPr>
                <w:rFonts w:ascii="Arial" w:eastAsia="Calibri" w:hAnsi="Arial" w:cs="Arial"/>
                <w:sz w:val="20"/>
                <w:szCs w:val="24"/>
                <w:lang w:val="mk-MK"/>
              </w:rPr>
            </w:pPr>
            <w:r w:rsidRPr="0038361F">
              <w:rPr>
                <w:rFonts w:ascii="Arial" w:eastAsia="Calibri" w:hAnsi="Arial" w:cs="Arial"/>
                <w:sz w:val="20"/>
                <w:szCs w:val="24"/>
                <w:lang w:val="mk-MK"/>
              </w:rPr>
              <w:t>11.665</w:t>
            </w:r>
          </w:p>
        </w:tc>
        <w:tc>
          <w:tcPr>
            <w:tcW w:w="513" w:type="pct"/>
            <w:vAlign w:val="center"/>
          </w:tcPr>
          <w:p w:rsidR="00FC2EC4" w:rsidRPr="0038361F" w:rsidRDefault="00FC2EC4">
            <w:pPr>
              <w:keepNext/>
              <w:keepLines/>
              <w:spacing w:after="0" w:line="240" w:lineRule="auto"/>
              <w:jc w:val="center"/>
              <w:rPr>
                <w:rFonts w:ascii="Arial" w:eastAsia="Calibri" w:hAnsi="Arial" w:cs="Arial"/>
                <w:sz w:val="20"/>
                <w:szCs w:val="24"/>
                <w:lang w:val="mk-MK"/>
              </w:rPr>
            </w:pPr>
            <w:r w:rsidRPr="0038361F">
              <w:rPr>
                <w:rFonts w:ascii="Arial" w:eastAsia="Calibri" w:hAnsi="Arial" w:cs="Arial"/>
                <w:sz w:val="20"/>
                <w:szCs w:val="24"/>
                <w:lang w:val="mk-MK"/>
              </w:rPr>
              <w:t>11.725</w:t>
            </w:r>
          </w:p>
        </w:tc>
      </w:tr>
    </w:tbl>
    <w:p w:rsidR="00A31A65" w:rsidRPr="0038361F" w:rsidRDefault="00A31A65" w:rsidP="00A31A65">
      <w:pPr>
        <w:spacing w:after="0" w:line="240" w:lineRule="auto"/>
        <w:jc w:val="both"/>
        <w:rPr>
          <w:rFonts w:ascii="Arial" w:eastAsia="Times New Roman" w:hAnsi="Arial" w:cs="Arial"/>
          <w:sz w:val="18"/>
          <w:szCs w:val="24"/>
          <w:lang w:val="mk-MK"/>
        </w:rPr>
      </w:pPr>
      <w:r w:rsidRPr="002B2470">
        <w:rPr>
          <w:rFonts w:ascii="Arial" w:eastAsia="Times New Roman" w:hAnsi="Arial" w:cs="Arial"/>
          <w:sz w:val="18"/>
          <w:szCs w:val="24"/>
          <w:lang w:val="mk-MK"/>
        </w:rPr>
        <w:t>Извор: ДЗС, 201</w:t>
      </w:r>
      <w:r w:rsidRPr="0038361F">
        <w:rPr>
          <w:rFonts w:ascii="Arial" w:eastAsia="Times New Roman" w:hAnsi="Arial" w:cs="Arial"/>
          <w:sz w:val="18"/>
          <w:szCs w:val="24"/>
          <w:lang w:val="mk-MK"/>
        </w:rPr>
        <w:t>9</w:t>
      </w:r>
    </w:p>
    <w:p w:rsidR="00A31A65" w:rsidRPr="0038361F" w:rsidRDefault="00A31A65" w:rsidP="00A31A65">
      <w:pPr>
        <w:spacing w:before="120" w:after="0" w:line="240" w:lineRule="auto"/>
        <w:jc w:val="both"/>
        <w:rPr>
          <w:rFonts w:ascii="Arial" w:hAnsi="Arial" w:cs="Arial"/>
          <w:b/>
          <w:sz w:val="24"/>
          <w:szCs w:val="24"/>
          <w:lang w:val="mk-MK"/>
        </w:rPr>
      </w:pPr>
      <w:r w:rsidRPr="0038361F">
        <w:rPr>
          <w:rFonts w:ascii="Arial" w:hAnsi="Arial" w:cs="Arial"/>
          <w:b/>
          <w:sz w:val="24"/>
          <w:szCs w:val="24"/>
          <w:lang w:val="mk-MK"/>
        </w:rPr>
        <w:t>Општа трговија и трговија со агро-храна и рибни производи</w:t>
      </w:r>
    </w:p>
    <w:p w:rsidR="00A31A65" w:rsidRPr="0038361F" w:rsidRDefault="00A31A65" w:rsidP="00A31A65">
      <w:pPr>
        <w:spacing w:before="120" w:after="0" w:line="240" w:lineRule="auto"/>
        <w:jc w:val="both"/>
        <w:rPr>
          <w:rFonts w:ascii="Arial" w:hAnsi="Arial" w:cs="Arial"/>
          <w:szCs w:val="24"/>
          <w:lang w:val="mk-MK"/>
        </w:rPr>
      </w:pPr>
      <w:r w:rsidRPr="0038361F">
        <w:rPr>
          <w:rFonts w:ascii="Arial" w:hAnsi="Arial" w:cs="Arial"/>
          <w:szCs w:val="24"/>
          <w:lang w:val="mk-MK"/>
        </w:rPr>
        <w:t>Во 2017 година вкупната трговија (индустриски и агро-прехранбени производи) (извоз + увоз) во однос на 2016 година е зголемена за 13,4%. Вкупниот извоз (индустриски и агро-прехрамбени производи) во 2017 година во споредба со 2016 година е зголемен за 15,6%, а вкупниот увоз покажува зголемување од 11,7%. Извозот на агро-прехранбени производи во 2017 година во споредба со 2016 година е зголемен за 1% (од 530,5 милиони евра во 2016 година на 536,2 милиони евра во 2017 година), а увозот на агро-прехранбени производи во 2017 година во споредба со 2016 година за 5,8% (од 718 милиони евра до 759,8 милиони евра).</w:t>
      </w:r>
    </w:p>
    <w:p w:rsidR="00A31A65" w:rsidRPr="0038361F" w:rsidRDefault="00A31A65" w:rsidP="00A31A65">
      <w:pPr>
        <w:spacing w:before="120" w:after="0" w:line="240" w:lineRule="auto"/>
        <w:jc w:val="both"/>
        <w:rPr>
          <w:rFonts w:ascii="Arial" w:hAnsi="Arial" w:cs="Arial"/>
          <w:szCs w:val="24"/>
          <w:lang w:val="mk-MK"/>
        </w:rPr>
      </w:pPr>
      <w:r w:rsidRPr="0038361F">
        <w:rPr>
          <w:rFonts w:ascii="Arial" w:hAnsi="Arial" w:cs="Arial"/>
          <w:szCs w:val="24"/>
          <w:lang w:val="mk-MK"/>
        </w:rPr>
        <w:t>Во 2018 година, вкупната трговија (индустриски и агро-прехранбени производи) (извоз + увоз) во однос на 2017 година е зголемена за 14,4%. Вкупниот извоз (индустриски и агро-прехранбени производи) во 2018 година во споредба со 2017 година е зголемен за 17%, а вкупниот увоз покажува зголемување од 12,4%. Извозот на агро-прехранбени производи во 2018 година во споредба со 2017 година е зголемен за 1,7% (од 536,2 милиони евра во 2017 година на 545,5 милиони евра во 2018 година), а увозот на агро-прехранбени производи во 2018 година во споредба со 2017 година се зголеми за 4,2% (од 759,8 милиони евра на 792,2 милиони евра).</w:t>
      </w:r>
    </w:p>
    <w:p w:rsidR="00A31A65" w:rsidRPr="0038361F" w:rsidRDefault="00A31A65" w:rsidP="00A31A65">
      <w:pPr>
        <w:spacing w:before="120" w:after="0" w:line="240" w:lineRule="auto"/>
        <w:jc w:val="both"/>
        <w:rPr>
          <w:rFonts w:ascii="Arial" w:hAnsi="Arial" w:cs="Arial"/>
          <w:szCs w:val="24"/>
          <w:lang w:val="mk-MK"/>
        </w:rPr>
      </w:pPr>
      <w:r w:rsidRPr="0038361F">
        <w:rPr>
          <w:rFonts w:ascii="Arial" w:hAnsi="Arial" w:cs="Arial"/>
          <w:szCs w:val="24"/>
          <w:lang w:val="mk-MK"/>
        </w:rPr>
        <w:t>Учеството на извозот на агро-прехранбени и рибни производи во вкупниот извоз од Република Северна Македонија во 2018 година е намалено во однос на учеството во 2017 година и изнесува 9,31%. Учеството на увозот на агро-прехранбени и рибни производи во вкупниот увоз во Република Северна Македонија во 2018 година, исто така, се намали во однос на учеството во 2017 година и изнесува 10,32%.</w:t>
      </w:r>
    </w:p>
    <w:p w:rsidR="00A31A65" w:rsidRPr="0038361F" w:rsidRDefault="00A31A65" w:rsidP="00A31A65">
      <w:pPr>
        <w:spacing w:before="120" w:after="0" w:line="240" w:lineRule="auto"/>
        <w:jc w:val="both"/>
        <w:rPr>
          <w:rFonts w:ascii="Arial" w:hAnsi="Arial" w:cs="Arial"/>
          <w:szCs w:val="24"/>
          <w:lang w:val="mk-MK"/>
        </w:rPr>
      </w:pPr>
      <w:r w:rsidRPr="0038361F">
        <w:rPr>
          <w:rFonts w:ascii="Arial" w:hAnsi="Arial" w:cs="Arial"/>
          <w:szCs w:val="24"/>
          <w:lang w:val="mk-MK"/>
        </w:rPr>
        <w:t>Трговскиот дефицит во 2017 година е намален за 19,2% и изнесува 223,6 милиони евра, додека во 2018 година трговскиот дефицит е зголемен за 10,3% и изнесува 246,6 милиони евра.</w:t>
      </w:r>
    </w:p>
    <w:p w:rsidR="00A31A65" w:rsidRPr="008A22EF" w:rsidRDefault="000305EB" w:rsidP="00A31A65">
      <w:pPr>
        <w:spacing w:before="120" w:after="120" w:line="240" w:lineRule="auto"/>
        <w:jc w:val="both"/>
        <w:rPr>
          <w:rFonts w:ascii="Arial" w:eastAsia="Times New Roman" w:hAnsi="Arial" w:cs="Arial"/>
          <w:sz w:val="20"/>
          <w:szCs w:val="24"/>
          <w:lang w:val="mk-MK"/>
        </w:rPr>
      </w:pPr>
      <w:bookmarkStart w:id="12" w:name="_Toc8640195"/>
      <w:r w:rsidRPr="002B2470">
        <w:rPr>
          <w:rFonts w:ascii="Arial" w:eastAsia="Times New Roman" w:hAnsi="Arial" w:cs="Arial"/>
          <w:sz w:val="20"/>
          <w:szCs w:val="24"/>
          <w:lang w:val="mk-MK"/>
        </w:rPr>
        <w:lastRenderedPageBreak/>
        <w:t xml:space="preserve">Табела </w:t>
      </w:r>
      <w:r w:rsidRPr="002B2470">
        <w:rPr>
          <w:rFonts w:ascii="Arial" w:eastAsia="Times New Roman" w:hAnsi="Arial" w:cs="Arial"/>
          <w:sz w:val="20"/>
          <w:szCs w:val="24"/>
          <w:lang w:val="mk-MK"/>
        </w:rPr>
        <w:fldChar w:fldCharType="begin"/>
      </w:r>
      <w:r w:rsidRPr="002B2470">
        <w:rPr>
          <w:rFonts w:ascii="Arial" w:eastAsia="Times New Roman" w:hAnsi="Arial" w:cs="Arial"/>
          <w:sz w:val="20"/>
          <w:szCs w:val="24"/>
          <w:lang w:val="mk-MK"/>
        </w:rPr>
        <w:instrText xml:space="preserve"> SEQ Table \* ARABIC </w:instrText>
      </w:r>
      <w:r w:rsidRPr="002B2470">
        <w:rPr>
          <w:rFonts w:ascii="Arial" w:eastAsia="Times New Roman" w:hAnsi="Arial" w:cs="Arial"/>
          <w:sz w:val="20"/>
          <w:szCs w:val="24"/>
          <w:lang w:val="mk-MK"/>
        </w:rPr>
        <w:fldChar w:fldCharType="separate"/>
      </w:r>
      <w:r w:rsidRPr="0038361F">
        <w:rPr>
          <w:rFonts w:ascii="Arial" w:eastAsia="Times New Roman" w:hAnsi="Arial" w:cs="Arial"/>
          <w:sz w:val="20"/>
          <w:szCs w:val="24"/>
          <w:lang w:val="mk-MK"/>
        </w:rPr>
        <w:t>5</w:t>
      </w:r>
      <w:r w:rsidRPr="002B2470">
        <w:rPr>
          <w:rFonts w:ascii="Arial" w:eastAsia="Times New Roman" w:hAnsi="Arial" w:cs="Arial"/>
          <w:sz w:val="20"/>
          <w:szCs w:val="24"/>
          <w:lang w:val="mk-MK"/>
        </w:rPr>
        <w:fldChar w:fldCharType="end"/>
      </w:r>
      <w:r w:rsidRPr="002B2470">
        <w:rPr>
          <w:rFonts w:ascii="Arial" w:eastAsia="Times New Roman" w:hAnsi="Arial" w:cs="Arial"/>
          <w:sz w:val="20"/>
          <w:szCs w:val="24"/>
          <w:lang w:val="mk-MK"/>
        </w:rPr>
        <w:t>:</w:t>
      </w:r>
      <w:r w:rsidR="00A31A65" w:rsidRPr="002B2470">
        <w:rPr>
          <w:rFonts w:ascii="Arial" w:eastAsia="Times New Roman" w:hAnsi="Arial" w:cs="Arial"/>
          <w:sz w:val="20"/>
          <w:szCs w:val="24"/>
          <w:lang w:val="mk-MK"/>
        </w:rPr>
        <w:t xml:space="preserve"> Вкупна трговија и трговија со земјоделски и рибни производи 2014-2018 (во милиони евра)</w:t>
      </w:r>
      <w:bookmarkEnd w:id="12"/>
    </w:p>
    <w:tbl>
      <w:tblPr>
        <w:tblW w:w="91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0"/>
        <w:gridCol w:w="993"/>
        <w:gridCol w:w="2530"/>
        <w:gridCol w:w="2340"/>
        <w:gridCol w:w="2350"/>
      </w:tblGrid>
      <w:tr w:rsidR="00A31A65" w:rsidRPr="002B2470" w:rsidTr="000305EB">
        <w:trPr>
          <w:trHeight w:val="1098"/>
          <w:jc w:val="center"/>
        </w:trPr>
        <w:tc>
          <w:tcPr>
            <w:tcW w:w="1893" w:type="dxa"/>
            <w:gridSpan w:val="2"/>
            <w:shd w:val="clear" w:color="auto" w:fill="auto"/>
            <w:vAlign w:val="center"/>
            <w:hideMark/>
          </w:tcPr>
          <w:p w:rsidR="00A31A65" w:rsidRPr="002B2470" w:rsidRDefault="00A31A65" w:rsidP="00A31A65">
            <w:pPr>
              <w:spacing w:after="0" w:line="240" w:lineRule="auto"/>
              <w:rPr>
                <w:rFonts w:ascii="Arial" w:eastAsia="Times New Roman" w:hAnsi="Arial" w:cs="Arial"/>
                <w:sz w:val="20"/>
                <w:szCs w:val="24"/>
                <w:lang w:val="mk-MK"/>
              </w:rPr>
            </w:pPr>
            <w:r w:rsidRPr="002B2470">
              <w:rPr>
                <w:rFonts w:ascii="Arial" w:eastAsia="Times New Roman" w:hAnsi="Arial" w:cs="Arial"/>
                <w:sz w:val="20"/>
                <w:szCs w:val="24"/>
                <w:lang w:val="mk-MK"/>
              </w:rPr>
              <w:t> </w:t>
            </w:r>
          </w:p>
        </w:tc>
        <w:tc>
          <w:tcPr>
            <w:tcW w:w="2530" w:type="dxa"/>
            <w:shd w:val="clear" w:color="auto" w:fill="auto"/>
            <w:vAlign w:val="center"/>
            <w:hideMark/>
          </w:tcPr>
          <w:p w:rsidR="00A31A65" w:rsidRPr="002B2470" w:rsidRDefault="00A31A65" w:rsidP="000F66B9">
            <w:pPr>
              <w:spacing w:after="0" w:line="240" w:lineRule="auto"/>
              <w:jc w:val="center"/>
              <w:rPr>
                <w:rFonts w:ascii="Arial" w:eastAsia="Times New Roman" w:hAnsi="Arial" w:cs="Arial"/>
                <w:b/>
                <w:sz w:val="20"/>
                <w:szCs w:val="24"/>
                <w:lang w:val="mk-MK"/>
              </w:rPr>
            </w:pPr>
            <w:r w:rsidRPr="002B2470">
              <w:rPr>
                <w:rFonts w:ascii="Arial" w:eastAsia="Times New Roman" w:hAnsi="Arial" w:cs="Arial"/>
                <w:b/>
                <w:sz w:val="20"/>
                <w:szCs w:val="24"/>
                <w:lang w:val="mk-MK"/>
              </w:rPr>
              <w:t>Вкупно трговија (индустриски + земјоделски производи)</w:t>
            </w:r>
          </w:p>
        </w:tc>
        <w:tc>
          <w:tcPr>
            <w:tcW w:w="2340" w:type="dxa"/>
            <w:shd w:val="clear" w:color="auto" w:fill="auto"/>
            <w:vAlign w:val="center"/>
            <w:hideMark/>
          </w:tcPr>
          <w:p w:rsidR="00A31A65" w:rsidRPr="002B2470" w:rsidRDefault="00A31A65" w:rsidP="000F66B9">
            <w:pPr>
              <w:spacing w:after="0" w:line="240" w:lineRule="auto"/>
              <w:jc w:val="center"/>
              <w:rPr>
                <w:rFonts w:ascii="Arial" w:eastAsia="Times New Roman" w:hAnsi="Arial" w:cs="Arial"/>
                <w:b/>
                <w:sz w:val="20"/>
                <w:szCs w:val="24"/>
                <w:lang w:val="mk-MK"/>
              </w:rPr>
            </w:pPr>
            <w:r w:rsidRPr="002B2470">
              <w:rPr>
                <w:rFonts w:ascii="Arial" w:eastAsia="Times New Roman" w:hAnsi="Arial" w:cs="Arial"/>
                <w:b/>
                <w:sz w:val="20"/>
                <w:szCs w:val="24"/>
                <w:lang w:val="mk-MK"/>
              </w:rPr>
              <w:t>Вкупно трговија со земјоделски, преработени и рибни производи</w:t>
            </w:r>
          </w:p>
        </w:tc>
        <w:tc>
          <w:tcPr>
            <w:tcW w:w="2350" w:type="dxa"/>
            <w:shd w:val="clear" w:color="auto" w:fill="auto"/>
            <w:vAlign w:val="center"/>
            <w:hideMark/>
          </w:tcPr>
          <w:p w:rsidR="00A31A65" w:rsidRPr="002B2470" w:rsidRDefault="00A31A65" w:rsidP="000F66B9">
            <w:pPr>
              <w:spacing w:after="0" w:line="240" w:lineRule="auto"/>
              <w:jc w:val="center"/>
              <w:rPr>
                <w:rFonts w:ascii="Arial" w:eastAsia="Times New Roman" w:hAnsi="Arial" w:cs="Arial"/>
                <w:b/>
                <w:sz w:val="20"/>
                <w:szCs w:val="24"/>
                <w:lang w:val="mk-MK"/>
              </w:rPr>
            </w:pPr>
            <w:r w:rsidRPr="002B2470">
              <w:rPr>
                <w:rFonts w:ascii="Arial" w:eastAsia="Times New Roman" w:hAnsi="Arial" w:cs="Arial"/>
                <w:b/>
                <w:sz w:val="20"/>
                <w:szCs w:val="24"/>
                <w:lang w:val="mk-MK"/>
              </w:rPr>
              <w:t>Удел на земјоделски, преработени и рибни производи во вкупната трговија</w:t>
            </w:r>
          </w:p>
        </w:tc>
      </w:tr>
      <w:tr w:rsidR="00A31A65" w:rsidRPr="002B2470" w:rsidTr="000305EB">
        <w:trPr>
          <w:trHeight w:val="300"/>
          <w:jc w:val="center"/>
        </w:trPr>
        <w:tc>
          <w:tcPr>
            <w:tcW w:w="900" w:type="dxa"/>
            <w:vMerge w:val="restart"/>
            <w:shd w:val="clear" w:color="auto" w:fill="auto"/>
            <w:vAlign w:val="center"/>
            <w:hideMark/>
          </w:tcPr>
          <w:p w:rsidR="00A31A65" w:rsidRPr="0038361F" w:rsidRDefault="00A31A65" w:rsidP="00A31A65">
            <w:pPr>
              <w:spacing w:after="0" w:line="240" w:lineRule="auto"/>
              <w:jc w:val="right"/>
              <w:rPr>
                <w:rFonts w:ascii="Arial" w:eastAsia="Times New Roman" w:hAnsi="Arial" w:cs="Arial"/>
                <w:b/>
                <w:bCs/>
                <w:color w:val="000000"/>
                <w:sz w:val="20"/>
                <w:szCs w:val="20"/>
                <w:lang w:val="mk-MK"/>
              </w:rPr>
            </w:pPr>
            <w:r w:rsidRPr="0038361F">
              <w:rPr>
                <w:rFonts w:ascii="Arial" w:eastAsia="Times New Roman" w:hAnsi="Arial" w:cs="Arial"/>
                <w:b/>
                <w:bCs/>
                <w:color w:val="000000"/>
                <w:sz w:val="20"/>
                <w:szCs w:val="20"/>
                <w:lang w:val="mk-MK"/>
              </w:rPr>
              <w:t>2014</w:t>
            </w: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Извоз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3.722,95</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486,24</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13,06%</w:t>
            </w:r>
          </w:p>
        </w:tc>
      </w:tr>
      <w:tr w:rsidR="00A31A65" w:rsidRPr="002B2470" w:rsidTr="000305EB">
        <w:trPr>
          <w:trHeight w:val="285"/>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Увоз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5.484,96</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649,02</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11,83%</w:t>
            </w:r>
          </w:p>
        </w:tc>
      </w:tr>
      <w:tr w:rsidR="00A31A65" w:rsidRPr="002B2470" w:rsidTr="000305EB">
        <w:trPr>
          <w:trHeight w:val="300"/>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Баланс</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-1.762,01</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-162,78</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9,24%</w:t>
            </w:r>
          </w:p>
        </w:tc>
      </w:tr>
      <w:tr w:rsidR="00A31A65" w:rsidRPr="002B2470" w:rsidTr="000305EB">
        <w:trPr>
          <w:trHeight w:val="300"/>
          <w:jc w:val="center"/>
        </w:trPr>
        <w:tc>
          <w:tcPr>
            <w:tcW w:w="900" w:type="dxa"/>
            <w:vMerge w:val="restart"/>
            <w:shd w:val="clear" w:color="auto" w:fill="auto"/>
            <w:vAlign w:val="center"/>
            <w:hideMark/>
          </w:tcPr>
          <w:p w:rsidR="00A31A65" w:rsidRPr="0038361F" w:rsidRDefault="00A31A65" w:rsidP="00A31A65">
            <w:pPr>
              <w:spacing w:after="0" w:line="240" w:lineRule="auto"/>
              <w:jc w:val="right"/>
              <w:rPr>
                <w:rFonts w:ascii="Arial" w:eastAsia="Times New Roman" w:hAnsi="Arial" w:cs="Arial"/>
                <w:b/>
                <w:bCs/>
                <w:color w:val="000000"/>
                <w:sz w:val="20"/>
                <w:szCs w:val="20"/>
                <w:lang w:val="mk-MK"/>
              </w:rPr>
            </w:pPr>
            <w:r w:rsidRPr="0038361F">
              <w:rPr>
                <w:rFonts w:ascii="Arial" w:eastAsia="Times New Roman" w:hAnsi="Arial" w:cs="Arial"/>
                <w:b/>
                <w:bCs/>
                <w:color w:val="000000"/>
                <w:sz w:val="20"/>
                <w:szCs w:val="20"/>
                <w:lang w:val="mk-MK"/>
              </w:rPr>
              <w:t>2015</w:t>
            </w: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Извоз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4.051,23</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486,7</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12,01%</w:t>
            </w:r>
          </w:p>
        </w:tc>
      </w:tr>
      <w:tr w:rsidR="00A31A65" w:rsidRPr="002B2470" w:rsidTr="000305EB">
        <w:trPr>
          <w:trHeight w:val="285"/>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Увоз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5.776,93</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700,6</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12,13%</w:t>
            </w:r>
          </w:p>
        </w:tc>
      </w:tr>
      <w:tr w:rsidR="00A31A65" w:rsidRPr="002B2470" w:rsidTr="000305EB">
        <w:trPr>
          <w:trHeight w:val="300"/>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Баланс</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-1.725,70</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-213,9</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12,39%</w:t>
            </w:r>
          </w:p>
        </w:tc>
      </w:tr>
      <w:tr w:rsidR="00A31A65" w:rsidRPr="002B2470" w:rsidTr="000305EB">
        <w:trPr>
          <w:trHeight w:val="300"/>
          <w:jc w:val="center"/>
        </w:trPr>
        <w:tc>
          <w:tcPr>
            <w:tcW w:w="900" w:type="dxa"/>
            <w:vMerge w:val="restart"/>
            <w:shd w:val="clear" w:color="auto" w:fill="auto"/>
            <w:vAlign w:val="center"/>
            <w:hideMark/>
          </w:tcPr>
          <w:p w:rsidR="00A31A65" w:rsidRPr="0038361F" w:rsidRDefault="00A31A65" w:rsidP="00A31A65">
            <w:pPr>
              <w:spacing w:after="0" w:line="240" w:lineRule="auto"/>
              <w:jc w:val="right"/>
              <w:rPr>
                <w:rFonts w:ascii="Arial" w:eastAsia="Times New Roman" w:hAnsi="Arial" w:cs="Arial"/>
                <w:b/>
                <w:bCs/>
                <w:color w:val="000000"/>
                <w:sz w:val="20"/>
                <w:szCs w:val="20"/>
                <w:lang w:val="mk-MK"/>
              </w:rPr>
            </w:pPr>
            <w:r w:rsidRPr="0038361F">
              <w:rPr>
                <w:rFonts w:ascii="Arial" w:eastAsia="Times New Roman" w:hAnsi="Arial" w:cs="Arial"/>
                <w:b/>
                <w:bCs/>
                <w:color w:val="000000"/>
                <w:sz w:val="20"/>
                <w:szCs w:val="20"/>
                <w:lang w:val="mk-MK"/>
              </w:rPr>
              <w:t>2016</w:t>
            </w: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Извоз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4.329,27</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530,52</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12,25%</w:t>
            </w:r>
          </w:p>
        </w:tc>
      </w:tr>
      <w:tr w:rsidR="00A31A65" w:rsidRPr="002B2470" w:rsidTr="000305EB">
        <w:trPr>
          <w:trHeight w:val="285"/>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Увоз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6.106,73</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718,01</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11,76%</w:t>
            </w:r>
          </w:p>
        </w:tc>
      </w:tr>
      <w:tr w:rsidR="00A31A65" w:rsidRPr="002B2470" w:rsidTr="000305EB">
        <w:trPr>
          <w:trHeight w:val="300"/>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Баланс</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-1.777,46</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-187,49</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10,55%</w:t>
            </w:r>
          </w:p>
        </w:tc>
      </w:tr>
      <w:tr w:rsidR="00A31A65" w:rsidRPr="002B2470" w:rsidTr="000305EB">
        <w:trPr>
          <w:trHeight w:val="300"/>
          <w:jc w:val="center"/>
        </w:trPr>
        <w:tc>
          <w:tcPr>
            <w:tcW w:w="900" w:type="dxa"/>
            <w:vMerge w:val="restart"/>
            <w:shd w:val="clear" w:color="auto" w:fill="auto"/>
            <w:vAlign w:val="center"/>
            <w:hideMark/>
          </w:tcPr>
          <w:p w:rsidR="00A31A65" w:rsidRPr="0038361F" w:rsidRDefault="00A31A65" w:rsidP="00A31A65">
            <w:pPr>
              <w:spacing w:after="0" w:line="240" w:lineRule="auto"/>
              <w:jc w:val="right"/>
              <w:rPr>
                <w:rFonts w:ascii="Arial" w:eastAsia="Times New Roman" w:hAnsi="Arial" w:cs="Arial"/>
                <w:b/>
                <w:bCs/>
                <w:color w:val="000000"/>
                <w:sz w:val="20"/>
                <w:szCs w:val="20"/>
                <w:lang w:val="mk-MK"/>
              </w:rPr>
            </w:pPr>
            <w:r w:rsidRPr="0038361F">
              <w:rPr>
                <w:rFonts w:ascii="Arial" w:eastAsia="Times New Roman" w:hAnsi="Arial" w:cs="Arial"/>
                <w:b/>
                <w:bCs/>
                <w:color w:val="000000"/>
                <w:sz w:val="20"/>
                <w:szCs w:val="20"/>
                <w:lang w:val="mk-MK"/>
              </w:rPr>
              <w:t>2017</w:t>
            </w:r>
          </w:p>
        </w:tc>
        <w:tc>
          <w:tcPr>
            <w:tcW w:w="993" w:type="dxa"/>
            <w:shd w:val="clear" w:color="auto" w:fill="auto"/>
            <w:noWrap/>
            <w:vAlign w:val="center"/>
            <w:hideMark/>
          </w:tcPr>
          <w:p w:rsidR="00A31A65" w:rsidRPr="002B2470" w:rsidRDefault="00A31A65" w:rsidP="00A31A65">
            <w:pPr>
              <w:spacing w:after="0" w:line="240" w:lineRule="auto"/>
              <w:rPr>
                <w:rFonts w:ascii="Arial" w:eastAsia="Times New Roman" w:hAnsi="Arial" w:cs="Arial"/>
                <w:b/>
                <w:bCs/>
                <w:i/>
                <w:iCs/>
                <w:color w:val="000000"/>
                <w:sz w:val="20"/>
                <w:szCs w:val="20"/>
                <w:lang w:val="mk-MK"/>
              </w:rPr>
            </w:pPr>
            <w:r w:rsidRPr="002B2470">
              <w:rPr>
                <w:rFonts w:ascii="Arial" w:eastAsia="Times New Roman" w:hAnsi="Arial" w:cs="Arial"/>
                <w:b/>
                <w:bCs/>
                <w:i/>
                <w:iCs/>
                <w:color w:val="000000"/>
                <w:sz w:val="20"/>
                <w:szCs w:val="20"/>
                <w:lang w:val="mk-MK"/>
              </w:rPr>
              <w:t>Извоз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5.007,9</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536,23</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10,71%</w:t>
            </w:r>
          </w:p>
        </w:tc>
      </w:tr>
      <w:tr w:rsidR="00A31A65" w:rsidRPr="002B2470" w:rsidTr="000305EB">
        <w:trPr>
          <w:trHeight w:val="285"/>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Увоз</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6.824,92</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759,84</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11,13%</w:t>
            </w:r>
          </w:p>
        </w:tc>
      </w:tr>
      <w:tr w:rsidR="00A31A65" w:rsidRPr="002B2470" w:rsidTr="000305EB">
        <w:trPr>
          <w:trHeight w:val="300"/>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Баланс</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-1.817,73</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-223,61</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12,30%</w:t>
            </w:r>
          </w:p>
        </w:tc>
      </w:tr>
      <w:tr w:rsidR="00A31A65" w:rsidRPr="002B2470" w:rsidTr="000305EB">
        <w:trPr>
          <w:trHeight w:val="300"/>
          <w:jc w:val="center"/>
        </w:trPr>
        <w:tc>
          <w:tcPr>
            <w:tcW w:w="900" w:type="dxa"/>
            <w:vMerge w:val="restart"/>
            <w:shd w:val="clear" w:color="auto" w:fill="auto"/>
            <w:vAlign w:val="center"/>
            <w:hideMark/>
          </w:tcPr>
          <w:p w:rsidR="00A31A65" w:rsidRPr="0038361F" w:rsidRDefault="00A31A65" w:rsidP="00A31A65">
            <w:pPr>
              <w:spacing w:after="0" w:line="240" w:lineRule="auto"/>
              <w:jc w:val="right"/>
              <w:rPr>
                <w:rFonts w:ascii="Arial" w:eastAsia="Times New Roman" w:hAnsi="Arial" w:cs="Arial"/>
                <w:b/>
                <w:bCs/>
                <w:color w:val="000000"/>
                <w:sz w:val="20"/>
                <w:szCs w:val="20"/>
                <w:lang w:val="mk-MK"/>
              </w:rPr>
            </w:pPr>
            <w:r w:rsidRPr="0038361F">
              <w:rPr>
                <w:rFonts w:ascii="Arial" w:eastAsia="Times New Roman" w:hAnsi="Arial" w:cs="Arial"/>
                <w:b/>
                <w:bCs/>
                <w:color w:val="000000"/>
                <w:sz w:val="20"/>
                <w:szCs w:val="20"/>
                <w:lang w:val="mk-MK"/>
              </w:rPr>
              <w:t>2018</w:t>
            </w: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Извоз</w:t>
            </w:r>
          </w:p>
        </w:tc>
        <w:tc>
          <w:tcPr>
            <w:tcW w:w="2530" w:type="dxa"/>
            <w:shd w:val="clear" w:color="auto" w:fill="auto"/>
            <w:noWrap/>
            <w:vAlign w:val="bottom"/>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5.860,83</w:t>
            </w:r>
          </w:p>
        </w:tc>
        <w:tc>
          <w:tcPr>
            <w:tcW w:w="2340" w:type="dxa"/>
            <w:shd w:val="clear" w:color="auto" w:fill="auto"/>
            <w:noWrap/>
            <w:vAlign w:val="bottom"/>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545,50</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9,31%</w:t>
            </w:r>
          </w:p>
        </w:tc>
      </w:tr>
      <w:tr w:rsidR="00A31A65" w:rsidRPr="002B2470" w:rsidTr="000305EB">
        <w:trPr>
          <w:trHeight w:val="285"/>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Увоз</w:t>
            </w:r>
          </w:p>
        </w:tc>
        <w:tc>
          <w:tcPr>
            <w:tcW w:w="2530" w:type="dxa"/>
            <w:shd w:val="clear" w:color="auto" w:fill="auto"/>
            <w:noWrap/>
            <w:vAlign w:val="bottom"/>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7.671,95</w:t>
            </w:r>
          </w:p>
        </w:tc>
        <w:tc>
          <w:tcPr>
            <w:tcW w:w="2340" w:type="dxa"/>
            <w:shd w:val="clear" w:color="auto" w:fill="auto"/>
            <w:noWrap/>
            <w:vAlign w:val="bottom"/>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792,15</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10,32%</w:t>
            </w:r>
          </w:p>
        </w:tc>
      </w:tr>
      <w:tr w:rsidR="00A31A65" w:rsidRPr="002B2470" w:rsidTr="000305EB">
        <w:trPr>
          <w:trHeight w:val="300"/>
          <w:jc w:val="center"/>
        </w:trPr>
        <w:tc>
          <w:tcPr>
            <w:tcW w:w="900" w:type="dxa"/>
            <w:vMerge/>
            <w:vAlign w:val="center"/>
            <w:hideMark/>
          </w:tcPr>
          <w:p w:rsidR="00A31A65" w:rsidRPr="0038361F" w:rsidRDefault="00A31A65" w:rsidP="00A31A65">
            <w:pPr>
              <w:spacing w:after="0" w:line="240" w:lineRule="auto"/>
              <w:rPr>
                <w:rFonts w:ascii="Arial" w:eastAsia="Times New Roman" w:hAnsi="Arial" w:cs="Arial"/>
                <w:b/>
                <w:bCs/>
                <w:color w:val="000000"/>
                <w:sz w:val="20"/>
                <w:szCs w:val="20"/>
                <w:lang w:val="mk-MK"/>
              </w:rPr>
            </w:pPr>
          </w:p>
        </w:tc>
        <w:tc>
          <w:tcPr>
            <w:tcW w:w="993" w:type="dxa"/>
            <w:shd w:val="clear" w:color="auto" w:fill="auto"/>
            <w:noWrap/>
            <w:vAlign w:val="center"/>
            <w:hideMark/>
          </w:tcPr>
          <w:p w:rsidR="00A31A65" w:rsidRPr="0038361F" w:rsidRDefault="00A31A65" w:rsidP="00A31A65">
            <w:pPr>
              <w:spacing w:after="0" w:line="240" w:lineRule="auto"/>
              <w:rPr>
                <w:rFonts w:ascii="Arial" w:eastAsia="Times New Roman" w:hAnsi="Arial" w:cs="Arial"/>
                <w:b/>
                <w:bCs/>
                <w:i/>
                <w:iCs/>
                <w:color w:val="000000"/>
                <w:sz w:val="20"/>
                <w:szCs w:val="20"/>
                <w:lang w:val="mk-MK"/>
              </w:rPr>
            </w:pPr>
            <w:r w:rsidRPr="0038361F">
              <w:rPr>
                <w:rFonts w:ascii="Arial" w:eastAsia="Times New Roman" w:hAnsi="Arial" w:cs="Arial"/>
                <w:b/>
                <w:bCs/>
                <w:i/>
                <w:iCs/>
                <w:color w:val="000000"/>
                <w:sz w:val="20"/>
                <w:szCs w:val="20"/>
                <w:lang w:val="mk-MK"/>
              </w:rPr>
              <w:t xml:space="preserve">Баланс </w:t>
            </w:r>
          </w:p>
        </w:tc>
        <w:tc>
          <w:tcPr>
            <w:tcW w:w="253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-1.811,12</w:t>
            </w:r>
          </w:p>
        </w:tc>
        <w:tc>
          <w:tcPr>
            <w:tcW w:w="234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-246,65</w:t>
            </w:r>
          </w:p>
        </w:tc>
        <w:tc>
          <w:tcPr>
            <w:tcW w:w="2350" w:type="dxa"/>
            <w:shd w:val="clear" w:color="auto" w:fill="auto"/>
            <w:noWrap/>
            <w:vAlign w:val="center"/>
            <w:hideMark/>
          </w:tcPr>
          <w:p w:rsidR="00A31A65" w:rsidRPr="0038361F" w:rsidRDefault="00A31A65" w:rsidP="000F66B9">
            <w:pPr>
              <w:spacing w:after="0" w:line="240" w:lineRule="auto"/>
              <w:jc w:val="center"/>
              <w:rPr>
                <w:rFonts w:ascii="Arial" w:eastAsia="Times New Roman" w:hAnsi="Arial" w:cs="Arial"/>
                <w:color w:val="000000"/>
                <w:sz w:val="20"/>
                <w:szCs w:val="20"/>
                <w:lang w:val="mk-MK"/>
              </w:rPr>
            </w:pPr>
            <w:r w:rsidRPr="0038361F">
              <w:rPr>
                <w:rFonts w:ascii="Arial" w:eastAsia="Times New Roman" w:hAnsi="Arial" w:cs="Arial"/>
                <w:color w:val="000000"/>
                <w:sz w:val="20"/>
                <w:szCs w:val="20"/>
                <w:lang w:val="mk-MK"/>
              </w:rPr>
              <w:t>13,61%</w:t>
            </w:r>
          </w:p>
        </w:tc>
      </w:tr>
    </w:tbl>
    <w:p w:rsidR="00A31A65" w:rsidRPr="0038361F" w:rsidRDefault="00A31A65" w:rsidP="00A31A65">
      <w:pPr>
        <w:spacing w:after="0" w:line="240" w:lineRule="auto"/>
        <w:rPr>
          <w:rFonts w:ascii="Arial" w:hAnsi="Arial" w:cs="Arial"/>
          <w:sz w:val="18"/>
          <w:szCs w:val="24"/>
          <w:lang w:val="mk-MK"/>
        </w:rPr>
      </w:pPr>
      <w:r w:rsidRPr="0038361F">
        <w:rPr>
          <w:rFonts w:ascii="Arial" w:hAnsi="Arial" w:cs="Arial"/>
          <w:sz w:val="18"/>
          <w:szCs w:val="24"/>
          <w:lang w:val="mk-MK"/>
        </w:rPr>
        <w:t>Извор: ДЗС</w:t>
      </w:r>
    </w:p>
    <w:p w:rsidR="00A31A65" w:rsidRPr="002B2470" w:rsidRDefault="001C65F7" w:rsidP="00A31A65">
      <w:pPr>
        <w:spacing w:before="120" w:after="0" w:line="240" w:lineRule="auto"/>
        <w:rPr>
          <w:rFonts w:ascii="Arial" w:hAnsi="Arial" w:cs="Arial"/>
          <w:sz w:val="20"/>
          <w:szCs w:val="24"/>
          <w:lang w:val="mk-MK"/>
        </w:rPr>
      </w:pPr>
      <w:bookmarkStart w:id="13" w:name="_Toc8640478"/>
      <w:r w:rsidRPr="002B2470">
        <w:rPr>
          <w:rFonts w:ascii="Arial" w:hAnsi="Arial" w:cs="Arial"/>
          <w:sz w:val="20"/>
          <w:szCs w:val="20"/>
          <w:lang w:val="mk-MK"/>
        </w:rPr>
        <w:t xml:space="preserve">Приказ </w:t>
      </w:r>
      <w:r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Pr="0038361F">
        <w:rPr>
          <w:rFonts w:ascii="Arial" w:hAnsi="Arial" w:cs="Arial"/>
          <w:sz w:val="20"/>
          <w:szCs w:val="20"/>
          <w:lang w:val="mk-MK"/>
        </w:rPr>
        <w:fldChar w:fldCharType="separate"/>
      </w:r>
      <w:r w:rsidRPr="0038361F">
        <w:rPr>
          <w:rFonts w:ascii="Arial" w:hAnsi="Arial" w:cs="Arial"/>
          <w:sz w:val="20"/>
          <w:szCs w:val="20"/>
          <w:lang w:val="mk-MK"/>
        </w:rPr>
        <w:t>2</w:t>
      </w:r>
      <w:r w:rsidRPr="0038361F">
        <w:rPr>
          <w:rFonts w:ascii="Arial" w:hAnsi="Arial" w:cs="Arial"/>
          <w:sz w:val="20"/>
          <w:szCs w:val="20"/>
          <w:lang w:val="mk-MK"/>
        </w:rPr>
        <w:fldChar w:fldCharType="end"/>
      </w:r>
      <w:r w:rsidRPr="002B2470">
        <w:rPr>
          <w:rFonts w:ascii="Arial" w:hAnsi="Arial" w:cs="Arial"/>
          <w:sz w:val="20"/>
          <w:szCs w:val="20"/>
          <w:lang w:val="mk-MK"/>
        </w:rPr>
        <w:t>:</w:t>
      </w:r>
      <w:r w:rsidR="00A31A65" w:rsidRPr="0038361F">
        <w:rPr>
          <w:rFonts w:ascii="Arial" w:hAnsi="Arial" w:cs="Arial"/>
          <w:sz w:val="20"/>
          <w:szCs w:val="24"/>
          <w:lang w:val="mk-MK"/>
        </w:rPr>
        <w:t xml:space="preserve"> Развој на македонската земјоделска трговија (во милиони евра), </w:t>
      </w:r>
      <w:r w:rsidR="00A31A65" w:rsidRPr="002B2470">
        <w:rPr>
          <w:rFonts w:ascii="Arial" w:hAnsi="Arial" w:cs="Arial"/>
          <w:sz w:val="20"/>
          <w:szCs w:val="24"/>
          <w:lang w:val="mk-MK"/>
        </w:rPr>
        <w:t xml:space="preserve">период </w:t>
      </w:r>
      <w:r w:rsidR="00A31A65" w:rsidRPr="0038361F">
        <w:rPr>
          <w:rFonts w:ascii="Arial" w:hAnsi="Arial" w:cs="Arial"/>
          <w:sz w:val="20"/>
          <w:szCs w:val="24"/>
          <w:lang w:val="mk-MK"/>
        </w:rPr>
        <w:t>2014-</w:t>
      </w:r>
      <w:r w:rsidR="00A31A65" w:rsidRPr="002B2470">
        <w:rPr>
          <w:rFonts w:ascii="Arial" w:hAnsi="Arial" w:cs="Arial"/>
          <w:sz w:val="20"/>
          <w:szCs w:val="24"/>
          <w:lang w:val="mk-MK"/>
        </w:rPr>
        <w:t>2018</w:t>
      </w:r>
      <w:bookmarkEnd w:id="13"/>
    </w:p>
    <w:p w:rsidR="00A31A65" w:rsidRPr="0038361F" w:rsidRDefault="00A31A65" w:rsidP="00A31A65">
      <w:pPr>
        <w:spacing w:before="120" w:after="0" w:line="240" w:lineRule="auto"/>
        <w:rPr>
          <w:rFonts w:ascii="Arial" w:hAnsi="Arial" w:cs="Arial"/>
          <w:i/>
          <w:sz w:val="24"/>
          <w:szCs w:val="24"/>
          <w:u w:val="single"/>
          <w:lang w:val="mk-MK"/>
        </w:rPr>
      </w:pPr>
      <w:r w:rsidRPr="005A7450">
        <w:rPr>
          <w:rFonts w:ascii="Arial" w:hAnsi="Arial" w:cs="Arial"/>
          <w:i/>
          <w:noProof/>
          <w:sz w:val="24"/>
          <w:szCs w:val="24"/>
          <w:u w:val="single"/>
        </w:rPr>
        <w:drawing>
          <wp:inline distT="0" distB="0" distL="0" distR="0" wp14:anchorId="06A52C1D" wp14:editId="099A0E9C">
            <wp:extent cx="4590415" cy="2620645"/>
            <wp:effectExtent l="0" t="0" r="635" b="8255"/>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0415" cy="2620645"/>
                    </a:xfrm>
                    <a:prstGeom prst="rect">
                      <a:avLst/>
                    </a:prstGeom>
                    <a:noFill/>
                  </pic:spPr>
                </pic:pic>
              </a:graphicData>
            </a:graphic>
          </wp:inline>
        </w:drawing>
      </w:r>
    </w:p>
    <w:p w:rsidR="00A31A65" w:rsidRPr="0038361F" w:rsidRDefault="00A31A65" w:rsidP="00A31A65">
      <w:pPr>
        <w:spacing w:after="0" w:line="240" w:lineRule="auto"/>
        <w:rPr>
          <w:rFonts w:ascii="Arial" w:hAnsi="Arial" w:cs="Arial"/>
          <w:sz w:val="18"/>
          <w:szCs w:val="24"/>
          <w:lang w:val="mk-MK"/>
        </w:rPr>
      </w:pPr>
      <w:r w:rsidRPr="0038361F">
        <w:rPr>
          <w:rFonts w:ascii="Arial" w:hAnsi="Arial" w:cs="Arial"/>
          <w:sz w:val="18"/>
          <w:szCs w:val="24"/>
          <w:lang w:val="mk-MK"/>
        </w:rPr>
        <w:t>Извор: МЗШВ</w:t>
      </w:r>
    </w:p>
    <w:p w:rsidR="00A31A65" w:rsidRPr="0038361F" w:rsidRDefault="00A31A65" w:rsidP="00A31A65">
      <w:pPr>
        <w:keepNext/>
        <w:spacing w:before="120" w:after="0" w:line="240" w:lineRule="auto"/>
        <w:jc w:val="both"/>
        <w:rPr>
          <w:rFonts w:ascii="Arial" w:hAnsi="Arial" w:cs="Arial"/>
          <w:szCs w:val="24"/>
          <w:lang w:val="mk-MK"/>
        </w:rPr>
      </w:pPr>
      <w:r w:rsidRPr="0038361F">
        <w:rPr>
          <w:rFonts w:ascii="Arial" w:hAnsi="Arial" w:cs="Arial"/>
          <w:szCs w:val="24"/>
          <w:lang w:val="mk-MK"/>
        </w:rPr>
        <w:t xml:space="preserve">Европска унија-28 е дефинитивно најважен партнер на Република Северна Македонија за трговија со земјоделско-прехранбени и рибни производи во 2018 година. Вкупната вредност на трговијата со ЕУ-28 со земјоделско-прехрамбени и рибни производи во 2018 година (извоз + увоз) изнесуваше 670,2 милиони евра. Уделот на </w:t>
      </w:r>
      <w:r w:rsidR="006F23FF">
        <w:rPr>
          <w:rFonts w:ascii="Arial" w:hAnsi="Arial" w:cs="Arial"/>
          <w:szCs w:val="24"/>
          <w:lang w:val="mk-MK"/>
        </w:rPr>
        <w:t xml:space="preserve">извезените </w:t>
      </w:r>
      <w:r w:rsidRPr="0038361F">
        <w:rPr>
          <w:rFonts w:ascii="Arial" w:hAnsi="Arial" w:cs="Arial"/>
          <w:szCs w:val="24"/>
          <w:lang w:val="mk-MK"/>
        </w:rPr>
        <w:t xml:space="preserve">агро-прехранбени и рибни производи во ЕУ-28 во вкупниот извоз на овие производи во 2018 </w:t>
      </w:r>
      <w:r w:rsidRPr="0038361F">
        <w:rPr>
          <w:rFonts w:ascii="Arial" w:hAnsi="Arial" w:cs="Arial"/>
          <w:szCs w:val="24"/>
          <w:lang w:val="mk-MK"/>
        </w:rPr>
        <w:lastRenderedPageBreak/>
        <w:t>година изнесува 50,5%, додека увозот од ЕУ-28 во вкупниот увоз на агро-храна и рибни производи во 2018 година изнесува 49,8%.</w:t>
      </w:r>
    </w:p>
    <w:p w:rsidR="00A31A65" w:rsidRPr="0038361F" w:rsidRDefault="00A31A65" w:rsidP="00A31A65">
      <w:pPr>
        <w:keepNext/>
        <w:spacing w:before="120" w:after="0" w:line="240" w:lineRule="auto"/>
        <w:jc w:val="both"/>
        <w:rPr>
          <w:rFonts w:ascii="Arial" w:hAnsi="Arial" w:cs="Arial"/>
          <w:szCs w:val="24"/>
          <w:lang w:val="mk-MK"/>
        </w:rPr>
      </w:pPr>
      <w:r w:rsidRPr="0038361F">
        <w:rPr>
          <w:rFonts w:ascii="Arial" w:hAnsi="Arial" w:cs="Arial"/>
          <w:szCs w:val="24"/>
          <w:lang w:val="mk-MK"/>
        </w:rPr>
        <w:t xml:space="preserve">Втор важен партнер на Република Северна Македонија во 2018 година во трговијата со агро-прехранбени и рибни производи беа земјите-членки на ЦЕФТА, со вкупна вредност на трговијата (извоз + увоз) од 414,7 милиони евра. Учеството на извозот на агро-прехранбени и рибни производи во земјите-членки на ЦЕФТА во вкупниот извоз на овие производи во 2018 година изнесува 33,9%, додека увозот од земјите-членки на ЦЕФТА во вкупниот увоз на агро-храна и рибни производи во 2018 година изнесува 28,9%. Најзначајниот трговски партнер </w:t>
      </w:r>
      <w:r w:rsidR="006F23FF">
        <w:rPr>
          <w:rFonts w:ascii="Arial" w:hAnsi="Arial" w:cs="Arial"/>
          <w:szCs w:val="24"/>
          <w:lang w:val="mk-MK"/>
        </w:rPr>
        <w:t>од</w:t>
      </w:r>
      <w:r w:rsidRPr="0038361F">
        <w:rPr>
          <w:rFonts w:ascii="Arial" w:hAnsi="Arial" w:cs="Arial"/>
          <w:szCs w:val="24"/>
          <w:lang w:val="mk-MK"/>
        </w:rPr>
        <w:t xml:space="preserve"> ЦЕФТА беше Србија со учество од 12,7% од вкупниот извоз на агро-прехранбени и рибни производи и 23,6% од вкупниот увоз. По</w:t>
      </w:r>
      <w:r w:rsidR="006F23FF">
        <w:rPr>
          <w:rFonts w:ascii="Arial" w:hAnsi="Arial" w:cs="Arial"/>
          <w:szCs w:val="24"/>
          <w:lang w:val="mk-MK"/>
        </w:rPr>
        <w:t xml:space="preserve"> неа следува</w:t>
      </w:r>
      <w:r w:rsidRPr="0038361F">
        <w:rPr>
          <w:rFonts w:ascii="Arial" w:hAnsi="Arial" w:cs="Arial"/>
          <w:szCs w:val="24"/>
          <w:lang w:val="mk-MK"/>
        </w:rPr>
        <w:t xml:space="preserve"> Босна и Херцеговина (со учество од 5,6% во вкупниот извоз и 3,2% во вкупниот увоз). Во однос на извозот, Косово</w:t>
      </w:r>
      <w:r w:rsidR="006F23FF">
        <w:rPr>
          <w:rFonts w:ascii="Arial" w:hAnsi="Arial" w:cs="Arial"/>
          <w:szCs w:val="24"/>
          <w:lang w:val="mk-MK"/>
        </w:rPr>
        <w:t xml:space="preserve">, </w:t>
      </w:r>
      <w:r w:rsidRPr="0038361F">
        <w:rPr>
          <w:rFonts w:ascii="Arial" w:hAnsi="Arial" w:cs="Arial"/>
          <w:szCs w:val="24"/>
          <w:lang w:val="mk-MK"/>
        </w:rPr>
        <w:t>исто така</w:t>
      </w:r>
      <w:r w:rsidR="006F23FF">
        <w:rPr>
          <w:rFonts w:ascii="Arial" w:hAnsi="Arial" w:cs="Arial"/>
          <w:szCs w:val="24"/>
          <w:lang w:val="mk-MK"/>
        </w:rPr>
        <w:t>, е</w:t>
      </w:r>
      <w:r w:rsidRPr="0038361F">
        <w:rPr>
          <w:rFonts w:ascii="Arial" w:hAnsi="Arial" w:cs="Arial"/>
          <w:szCs w:val="24"/>
          <w:lang w:val="mk-MK"/>
        </w:rPr>
        <w:t xml:space="preserve"> важен партнер со учество од 8,9% </w:t>
      </w:r>
      <w:r w:rsidR="006F23FF">
        <w:rPr>
          <w:rFonts w:ascii="Arial" w:hAnsi="Arial" w:cs="Arial"/>
          <w:szCs w:val="24"/>
          <w:lang w:val="mk-MK"/>
        </w:rPr>
        <w:t>во</w:t>
      </w:r>
      <w:r w:rsidRPr="0038361F">
        <w:rPr>
          <w:rFonts w:ascii="Arial" w:hAnsi="Arial" w:cs="Arial"/>
          <w:szCs w:val="24"/>
          <w:lang w:val="mk-MK"/>
        </w:rPr>
        <w:t xml:space="preserve"> вкупниот извоз, додека придонесот на другите земји-членки на ЦЕФТА (Црна Гора, Молдавија и Албанија) сè уште е со помало учество во трговијата.</w:t>
      </w:r>
    </w:p>
    <w:p w:rsidR="00A31A65" w:rsidRPr="0038361F" w:rsidRDefault="00A31A65" w:rsidP="00A31A65">
      <w:pPr>
        <w:keepNext/>
        <w:spacing w:before="120" w:after="0" w:line="240" w:lineRule="auto"/>
        <w:jc w:val="both"/>
        <w:rPr>
          <w:rFonts w:ascii="Arial" w:hAnsi="Arial" w:cs="Arial"/>
          <w:szCs w:val="24"/>
          <w:lang w:val="mk-MK"/>
        </w:rPr>
      </w:pPr>
      <w:r w:rsidRPr="0038361F">
        <w:rPr>
          <w:rFonts w:ascii="Arial" w:hAnsi="Arial" w:cs="Arial"/>
          <w:szCs w:val="24"/>
          <w:lang w:val="mk-MK"/>
        </w:rPr>
        <w:t>Треба да се спомене дека Турција како земја-кандидат и важен трговски партнер на Република Северна Македонија з</w:t>
      </w:r>
      <w:r w:rsidR="006F23FF">
        <w:rPr>
          <w:rFonts w:ascii="Arial" w:hAnsi="Arial" w:cs="Arial"/>
          <w:szCs w:val="24"/>
          <w:lang w:val="mk-MK"/>
        </w:rPr>
        <w:t>афаќа</w:t>
      </w:r>
      <w:r w:rsidRPr="0038361F">
        <w:rPr>
          <w:rFonts w:ascii="Arial" w:hAnsi="Arial" w:cs="Arial"/>
          <w:szCs w:val="24"/>
          <w:lang w:val="mk-MK"/>
        </w:rPr>
        <w:t xml:space="preserve"> 0,79% од вкупниот извоз и 3,4% од вкупниот увоз на агро-прехранбени и рибни производи. Во однос на извозот на агро-прехранбени и рибни производи, најголем единствен трговски партнер</w:t>
      </w:r>
      <w:r w:rsidR="00C51AF8">
        <w:rPr>
          <w:rFonts w:ascii="Arial" w:hAnsi="Arial" w:cs="Arial"/>
          <w:szCs w:val="24"/>
          <w:lang w:val="mk-MK"/>
        </w:rPr>
        <w:t xml:space="preserve"> надвор од </w:t>
      </w:r>
      <w:r w:rsidRPr="0038361F">
        <w:rPr>
          <w:rFonts w:ascii="Arial" w:hAnsi="Arial" w:cs="Arial"/>
          <w:szCs w:val="24"/>
          <w:lang w:val="mk-MK"/>
        </w:rPr>
        <w:t xml:space="preserve">ЕУ со учество од 4,9% </w:t>
      </w:r>
      <w:r w:rsidR="00C51AF8">
        <w:rPr>
          <w:rFonts w:ascii="Arial" w:hAnsi="Arial" w:cs="Arial"/>
          <w:szCs w:val="24"/>
          <w:lang w:val="mk-MK"/>
        </w:rPr>
        <w:t>во</w:t>
      </w:r>
      <w:r w:rsidRPr="0038361F">
        <w:rPr>
          <w:rFonts w:ascii="Arial" w:hAnsi="Arial" w:cs="Arial"/>
          <w:szCs w:val="24"/>
          <w:lang w:val="mk-MK"/>
        </w:rPr>
        <w:t xml:space="preserve"> вкупниот извоз беше САД, поради значителен извоз на тутун, додека Бразил со учество од 4,5% </w:t>
      </w:r>
      <w:r w:rsidR="00C51AF8">
        <w:rPr>
          <w:rFonts w:ascii="Arial" w:hAnsi="Arial" w:cs="Arial"/>
          <w:szCs w:val="24"/>
          <w:lang w:val="mk-MK"/>
        </w:rPr>
        <w:t>во</w:t>
      </w:r>
      <w:r w:rsidRPr="0038361F">
        <w:rPr>
          <w:rFonts w:ascii="Arial" w:hAnsi="Arial" w:cs="Arial"/>
          <w:szCs w:val="24"/>
          <w:lang w:val="mk-MK"/>
        </w:rPr>
        <w:t xml:space="preserve"> вкупниот увоз, беше најголем единствен партнер за увоз </w:t>
      </w:r>
      <w:r w:rsidR="00C51AF8">
        <w:rPr>
          <w:rFonts w:ascii="Arial" w:hAnsi="Arial" w:cs="Arial"/>
          <w:szCs w:val="24"/>
          <w:lang w:val="mk-MK"/>
        </w:rPr>
        <w:t xml:space="preserve">надвор од </w:t>
      </w:r>
      <w:r w:rsidRPr="0038361F">
        <w:rPr>
          <w:rFonts w:ascii="Arial" w:hAnsi="Arial" w:cs="Arial"/>
          <w:szCs w:val="24"/>
          <w:lang w:val="mk-MK"/>
        </w:rPr>
        <w:t xml:space="preserve">ЕУ, во основа поради значителни количества </w:t>
      </w:r>
      <w:r w:rsidR="00C51AF8" w:rsidRPr="00E960BE">
        <w:rPr>
          <w:rFonts w:ascii="Arial" w:hAnsi="Arial" w:cs="Arial"/>
          <w:szCs w:val="24"/>
          <w:lang w:val="mk-MK"/>
        </w:rPr>
        <w:t>замрзнат</w:t>
      </w:r>
      <w:r w:rsidR="00C51AF8">
        <w:rPr>
          <w:rFonts w:ascii="Arial" w:hAnsi="Arial" w:cs="Arial"/>
          <w:szCs w:val="24"/>
          <w:lang w:val="mk-MK"/>
        </w:rPr>
        <w:t>а</w:t>
      </w:r>
      <w:r w:rsidR="00C51AF8" w:rsidRPr="00E960BE">
        <w:rPr>
          <w:rFonts w:ascii="Arial" w:hAnsi="Arial" w:cs="Arial"/>
          <w:szCs w:val="24"/>
          <w:lang w:val="mk-MK"/>
        </w:rPr>
        <w:t xml:space="preserve"> </w:t>
      </w:r>
      <w:r w:rsidRPr="0038361F">
        <w:rPr>
          <w:rFonts w:ascii="Arial" w:hAnsi="Arial" w:cs="Arial"/>
          <w:szCs w:val="24"/>
          <w:lang w:val="mk-MK"/>
        </w:rPr>
        <w:t>живина</w:t>
      </w:r>
      <w:r w:rsidR="00C51AF8">
        <w:rPr>
          <w:rFonts w:ascii="Arial" w:hAnsi="Arial" w:cs="Arial"/>
          <w:szCs w:val="24"/>
          <w:lang w:val="mk-MK"/>
        </w:rPr>
        <w:t xml:space="preserve"> и говедско и</w:t>
      </w:r>
      <w:r w:rsidRPr="0038361F">
        <w:rPr>
          <w:rFonts w:ascii="Arial" w:hAnsi="Arial" w:cs="Arial"/>
          <w:szCs w:val="24"/>
          <w:lang w:val="mk-MK"/>
        </w:rPr>
        <w:t xml:space="preserve"> кафе увезени во 2018 година.</w:t>
      </w:r>
    </w:p>
    <w:p w:rsidR="00A31A65" w:rsidRPr="0038361F" w:rsidRDefault="00A31A65" w:rsidP="006059EF">
      <w:pPr>
        <w:pStyle w:val="m343668044302477783m-3986873246552044066msolistparagraph"/>
        <w:numPr>
          <w:ilvl w:val="1"/>
          <w:numId w:val="35"/>
        </w:numPr>
        <w:spacing w:before="120" w:beforeAutospacing="0" w:after="0" w:afterAutospacing="0"/>
        <w:jc w:val="both"/>
        <w:outlineLvl w:val="1"/>
        <w:rPr>
          <w:rFonts w:ascii="Arial" w:hAnsi="Arial" w:cs="Arial"/>
          <w:b/>
          <w:lang w:val="mk-MK"/>
        </w:rPr>
      </w:pPr>
      <w:bookmarkStart w:id="14" w:name="_Toc8639865"/>
      <w:r w:rsidRPr="002B2470">
        <w:rPr>
          <w:rFonts w:ascii="Arial" w:hAnsi="Arial" w:cs="Arial"/>
          <w:b/>
          <w:lang w:val="mk-MK"/>
        </w:rPr>
        <w:t>Промени во националните и секторските политики</w:t>
      </w:r>
      <w:bookmarkEnd w:id="14"/>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Во рамките на Националната стратегија за земјоделство и рурален развој 2014-2020 (НСАРД 2014-2020), беа нагласени следните цели и мерки на политиките за развој на земјоделството и руралните области:</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1. Зајакнување на конкурентноста на македонското земјоделство на интегрираните регионални пазари на Европската унија и Југоисточна Европа преку мерки за зголемување на ефикасноста на земјоделското производство, преработката и продажбата.</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2. Подобрување на приходите на земјоделските стопанства.</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3. Овозможување потрошувачите да имаат пристап до безбедна, здрава храна.</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4. Оптимизирање на искористеноста на ограничените земјишни, шумски и водни ресурси на начин кој нема негативно влијание врз животната средина.</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5. Градење одржливи рурални заедници преку интегриран рурален развој.</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6. Изградба на соодветни, ефикасни јавни и приватни институции за спроведување на земјоделска политика и рурален развој.</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Постигнувањето на визијата и изнесените стратешки цели за развој на секторот ќе се реализира преку мерките и инструментите на следните политики од областа на земјоделството: политика за земјоделство и рурален развој, политики за поддршка на земјоделството и поддршка на политиката за рурален развој.</w:t>
      </w: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 xml:space="preserve">По утврдувањето на финансиската поддршка, социјалните и даночните бенефиции и кредитните политики за земјоделците, целосно искористувајќи го развојниот потенцијал </w:t>
      </w:r>
      <w:r w:rsidRPr="0038361F">
        <w:rPr>
          <w:rFonts w:ascii="Arial" w:hAnsi="Arial" w:cs="Arial"/>
          <w:sz w:val="22"/>
          <w:lang w:val="mk-MK"/>
        </w:rPr>
        <w:lastRenderedPageBreak/>
        <w:t xml:space="preserve">на секторот, зголемувајќи ја </w:t>
      </w:r>
      <w:r w:rsidR="00C51AF8">
        <w:rPr>
          <w:rFonts w:ascii="Arial" w:hAnsi="Arial" w:cs="Arial"/>
          <w:sz w:val="22"/>
          <w:lang w:val="mk-MK"/>
        </w:rPr>
        <w:t xml:space="preserve">неговата </w:t>
      </w:r>
      <w:r w:rsidRPr="0038361F">
        <w:rPr>
          <w:rFonts w:ascii="Arial" w:hAnsi="Arial" w:cs="Arial"/>
          <w:sz w:val="22"/>
          <w:lang w:val="mk-MK"/>
        </w:rPr>
        <w:t xml:space="preserve">конкурентност и, во голема мера, развојот на руралните области, НСАРД 2014-2020 во периодот што следи </w:t>
      </w:r>
      <w:r w:rsidR="00C51AF8">
        <w:rPr>
          <w:rFonts w:ascii="Arial" w:hAnsi="Arial" w:cs="Arial"/>
          <w:sz w:val="22"/>
          <w:lang w:val="mk-MK"/>
        </w:rPr>
        <w:t xml:space="preserve">ќе </w:t>
      </w:r>
      <w:r w:rsidRPr="0038361F">
        <w:rPr>
          <w:rFonts w:ascii="Arial" w:hAnsi="Arial" w:cs="Arial"/>
          <w:sz w:val="22"/>
          <w:lang w:val="mk-MK"/>
        </w:rPr>
        <w:t>се фокусира на справување со структурни</w:t>
      </w:r>
      <w:r w:rsidR="00C51AF8">
        <w:rPr>
          <w:rFonts w:ascii="Arial" w:hAnsi="Arial" w:cs="Arial"/>
          <w:sz w:val="22"/>
          <w:lang w:val="mk-MK"/>
        </w:rPr>
        <w:t>те</w:t>
      </w:r>
      <w:r w:rsidRPr="0038361F">
        <w:rPr>
          <w:rFonts w:ascii="Arial" w:hAnsi="Arial" w:cs="Arial"/>
          <w:sz w:val="22"/>
          <w:lang w:val="mk-MK"/>
        </w:rPr>
        <w:t xml:space="preserve"> проблеми, мали</w:t>
      </w:r>
      <w:r w:rsidR="00C51AF8">
        <w:rPr>
          <w:rFonts w:ascii="Arial" w:hAnsi="Arial" w:cs="Arial"/>
          <w:sz w:val="22"/>
          <w:lang w:val="mk-MK"/>
        </w:rPr>
        <w:t>те</w:t>
      </w:r>
      <w:r w:rsidRPr="0038361F">
        <w:rPr>
          <w:rFonts w:ascii="Arial" w:hAnsi="Arial" w:cs="Arial"/>
          <w:sz w:val="22"/>
          <w:lang w:val="mk-MK"/>
        </w:rPr>
        <w:t xml:space="preserve"> и фрагментирани земјишни парцели, недоволна</w:t>
      </w:r>
      <w:r w:rsidR="00C51AF8">
        <w:rPr>
          <w:rFonts w:ascii="Arial" w:hAnsi="Arial" w:cs="Arial"/>
          <w:sz w:val="22"/>
          <w:lang w:val="mk-MK"/>
        </w:rPr>
        <w:t>та</w:t>
      </w:r>
      <w:r w:rsidRPr="0038361F">
        <w:rPr>
          <w:rFonts w:ascii="Arial" w:hAnsi="Arial" w:cs="Arial"/>
          <w:sz w:val="22"/>
          <w:lang w:val="mk-MK"/>
        </w:rPr>
        <w:t xml:space="preserve"> техничка и технолошка опрема што произлегува од долгиот период на </w:t>
      </w:r>
      <w:r w:rsidR="00C51AF8">
        <w:rPr>
          <w:rFonts w:ascii="Arial" w:hAnsi="Arial" w:cs="Arial"/>
          <w:sz w:val="22"/>
          <w:lang w:val="mk-MK"/>
        </w:rPr>
        <w:t>не</w:t>
      </w:r>
      <w:r w:rsidRPr="0038361F">
        <w:rPr>
          <w:rFonts w:ascii="Arial" w:hAnsi="Arial" w:cs="Arial"/>
          <w:sz w:val="22"/>
          <w:lang w:val="mk-MK"/>
        </w:rPr>
        <w:t>инвестирање, несоодветн</w:t>
      </w:r>
      <w:r w:rsidR="00C51AF8">
        <w:rPr>
          <w:rFonts w:ascii="Arial" w:hAnsi="Arial" w:cs="Arial"/>
          <w:sz w:val="22"/>
          <w:lang w:val="mk-MK"/>
        </w:rPr>
        <w:t xml:space="preserve">о градирање </w:t>
      </w:r>
      <w:r w:rsidRPr="0038361F">
        <w:rPr>
          <w:rFonts w:ascii="Arial" w:hAnsi="Arial" w:cs="Arial"/>
          <w:sz w:val="22"/>
          <w:lang w:val="mk-MK"/>
        </w:rPr>
        <w:t xml:space="preserve">и </w:t>
      </w:r>
      <w:r w:rsidR="00C51AF8">
        <w:rPr>
          <w:rFonts w:ascii="Arial" w:hAnsi="Arial" w:cs="Arial"/>
          <w:sz w:val="22"/>
          <w:lang w:val="mk-MK"/>
        </w:rPr>
        <w:t>неповолната возрасна и родова с</w:t>
      </w:r>
      <w:r w:rsidRPr="0038361F">
        <w:rPr>
          <w:rFonts w:ascii="Arial" w:hAnsi="Arial" w:cs="Arial"/>
          <w:sz w:val="22"/>
          <w:lang w:val="mk-MK"/>
        </w:rPr>
        <w:t>труктура на руралното население.</w:t>
      </w:r>
    </w:p>
    <w:p w:rsidR="00A31A65" w:rsidRPr="0038361F" w:rsidRDefault="00D0104D" w:rsidP="00D0104D">
      <w:pPr>
        <w:pStyle w:val="m343668044302477783m-3986873246552044066msolistparagraph"/>
        <w:numPr>
          <w:ilvl w:val="1"/>
          <w:numId w:val="34"/>
        </w:numPr>
        <w:spacing w:before="120" w:beforeAutospacing="0" w:after="0" w:afterAutospacing="0"/>
        <w:jc w:val="both"/>
        <w:outlineLvl w:val="1"/>
        <w:rPr>
          <w:rFonts w:ascii="Arial" w:hAnsi="Arial" w:cs="Arial"/>
          <w:b/>
          <w:lang w:val="mk-MK"/>
        </w:rPr>
      </w:pPr>
      <w:bookmarkStart w:id="15" w:name="_Toc8639866"/>
      <w:r w:rsidRPr="002B2470">
        <w:rPr>
          <w:rFonts w:ascii="Arial" w:hAnsi="Arial" w:cs="Arial"/>
          <w:b/>
          <w:lang w:val="mk-MK"/>
        </w:rPr>
        <w:t>Национална шема за поддршка</w:t>
      </w:r>
      <w:bookmarkEnd w:id="15"/>
      <w:r w:rsidRPr="002B2470">
        <w:rPr>
          <w:rFonts w:ascii="Arial" w:hAnsi="Arial" w:cs="Arial"/>
          <w:b/>
          <w:lang w:val="mk-MK"/>
        </w:rPr>
        <w:t xml:space="preserve"> </w:t>
      </w:r>
    </w:p>
    <w:p w:rsidR="00A31A65" w:rsidRPr="0038361F" w:rsidRDefault="00A31A65" w:rsidP="00A31A65">
      <w:pPr>
        <w:pStyle w:val="m343668044302477783m-3986873246552044066msolistparagraph"/>
        <w:spacing w:before="120" w:beforeAutospacing="0" w:after="120" w:afterAutospacing="0"/>
        <w:jc w:val="both"/>
        <w:rPr>
          <w:rFonts w:ascii="Arial" w:hAnsi="Arial" w:cs="Arial"/>
          <w:sz w:val="22"/>
          <w:lang w:val="mk-MK"/>
        </w:rPr>
      </w:pPr>
      <w:r w:rsidRPr="0038361F">
        <w:rPr>
          <w:rFonts w:ascii="Arial" w:hAnsi="Arial" w:cs="Arial"/>
          <w:sz w:val="22"/>
          <w:lang w:val="mk-MK"/>
        </w:rPr>
        <w:t xml:space="preserve">Поважни задачи во областа на земјоделската политика: насочување </w:t>
      </w:r>
      <w:r w:rsidR="006043E3">
        <w:rPr>
          <w:rFonts w:ascii="Arial" w:hAnsi="Arial" w:cs="Arial"/>
          <w:sz w:val="22"/>
          <w:lang w:val="mk-MK"/>
        </w:rPr>
        <w:t xml:space="preserve">на </w:t>
      </w:r>
      <w:r w:rsidRPr="0038361F">
        <w:rPr>
          <w:rFonts w:ascii="Arial" w:hAnsi="Arial" w:cs="Arial"/>
          <w:sz w:val="22"/>
          <w:lang w:val="mk-MK"/>
        </w:rPr>
        <w:t>земјоделски</w:t>
      </w:r>
      <w:r w:rsidR="006043E3">
        <w:rPr>
          <w:rFonts w:ascii="Arial" w:hAnsi="Arial" w:cs="Arial"/>
          <w:sz w:val="22"/>
          <w:lang w:val="mk-MK"/>
        </w:rPr>
        <w:t>те</w:t>
      </w:r>
      <w:r w:rsidRPr="0038361F">
        <w:rPr>
          <w:rFonts w:ascii="Arial" w:hAnsi="Arial" w:cs="Arial"/>
          <w:sz w:val="22"/>
          <w:lang w:val="mk-MK"/>
        </w:rPr>
        <w:t xml:space="preserve"> субвенции </w:t>
      </w:r>
      <w:r w:rsidR="006043E3">
        <w:rPr>
          <w:rFonts w:ascii="Arial" w:hAnsi="Arial" w:cs="Arial"/>
          <w:sz w:val="22"/>
          <w:lang w:val="mk-MK"/>
        </w:rPr>
        <w:t xml:space="preserve">кон </w:t>
      </w:r>
      <w:r w:rsidRPr="0038361F">
        <w:rPr>
          <w:rFonts w:ascii="Arial" w:hAnsi="Arial" w:cs="Arial"/>
          <w:sz w:val="22"/>
          <w:lang w:val="mk-MK"/>
        </w:rPr>
        <w:t>профитабилни и пазарно ориентирани земјоделски стопанства; транспарентност на буџетските средства од националната Програма за рурален развој; консолидација и проширување на земјоделското земјиште; хоризонтална интеграција на субјектите во земјоделскиот сектор и формирање на задруги.</w:t>
      </w:r>
    </w:p>
    <w:p w:rsidR="00A31A65" w:rsidRPr="0038361F" w:rsidRDefault="000305EB" w:rsidP="00A31A65">
      <w:pPr>
        <w:pStyle w:val="m343668044302477783m-3986873246552044066msolistparagraph"/>
        <w:spacing w:before="120" w:beforeAutospacing="0" w:after="120" w:afterAutospacing="0"/>
        <w:jc w:val="both"/>
        <w:rPr>
          <w:rFonts w:ascii="Arial" w:hAnsi="Arial" w:cs="Arial"/>
          <w:sz w:val="20"/>
          <w:lang w:val="mk-MK"/>
        </w:rPr>
      </w:pPr>
      <w:bookmarkStart w:id="16" w:name="_Toc8640196"/>
      <w:r w:rsidRPr="002B2470">
        <w:rPr>
          <w:rFonts w:ascii="Arial" w:eastAsia="Times New Roman" w:hAnsi="Arial" w:cs="Arial"/>
          <w:sz w:val="20"/>
          <w:lang w:val="mk-MK" w:eastAsia="en-US"/>
        </w:rPr>
        <w:t xml:space="preserve">Табела </w:t>
      </w:r>
      <w:r w:rsidRPr="005A7450">
        <w:rPr>
          <w:rFonts w:ascii="Arial" w:eastAsia="Times New Roman" w:hAnsi="Arial" w:cs="Arial"/>
          <w:sz w:val="20"/>
          <w:lang w:val="mk-MK" w:eastAsia="en-US"/>
        </w:rPr>
        <w:fldChar w:fldCharType="begin"/>
      </w:r>
      <w:r w:rsidRPr="002B2470">
        <w:rPr>
          <w:rFonts w:ascii="Arial" w:eastAsia="Times New Roman" w:hAnsi="Arial" w:cs="Arial"/>
          <w:sz w:val="20"/>
          <w:lang w:val="mk-MK" w:eastAsia="en-US"/>
        </w:rPr>
        <w:instrText xml:space="preserve"> SEQ Table \* ARABIC </w:instrText>
      </w:r>
      <w:r w:rsidRPr="005A7450">
        <w:rPr>
          <w:rFonts w:ascii="Arial" w:eastAsia="Times New Roman" w:hAnsi="Arial" w:cs="Arial"/>
          <w:sz w:val="20"/>
          <w:lang w:val="mk-MK" w:eastAsia="en-US"/>
        </w:rPr>
        <w:fldChar w:fldCharType="separate"/>
      </w:r>
      <w:r w:rsidRPr="0038361F">
        <w:rPr>
          <w:rFonts w:ascii="Arial" w:eastAsia="Times New Roman" w:hAnsi="Arial" w:cs="Arial"/>
          <w:sz w:val="20"/>
          <w:lang w:val="mk-MK" w:eastAsia="en-US"/>
        </w:rPr>
        <w:t>6</w:t>
      </w:r>
      <w:r w:rsidRPr="005A7450">
        <w:rPr>
          <w:rFonts w:ascii="Arial" w:eastAsia="Times New Roman" w:hAnsi="Arial" w:cs="Arial"/>
          <w:sz w:val="20"/>
          <w:lang w:val="mk-MK" w:eastAsia="en-US"/>
        </w:rPr>
        <w:fldChar w:fldCharType="end"/>
      </w:r>
      <w:r w:rsidRPr="002B2470">
        <w:rPr>
          <w:rFonts w:ascii="Arial" w:eastAsia="Times New Roman" w:hAnsi="Arial" w:cs="Arial"/>
          <w:sz w:val="20"/>
          <w:lang w:val="mk-MK"/>
        </w:rPr>
        <w:t>:</w:t>
      </w:r>
      <w:r w:rsidR="00A31A65" w:rsidRPr="002B2470">
        <w:rPr>
          <w:rFonts w:ascii="Arial" w:eastAsia="Times New Roman" w:hAnsi="Arial" w:cs="Arial"/>
          <w:sz w:val="20"/>
          <w:lang w:val="mk-MK"/>
        </w:rPr>
        <w:t xml:space="preserve"> Износи на поддршка (во евра) од Програмата за директни плаќања</w:t>
      </w:r>
      <w:bookmarkEnd w:id="16"/>
    </w:p>
    <w:tbl>
      <w:tblPr>
        <w:tblStyle w:val="TableGrid"/>
        <w:tblW w:w="0" w:type="auto"/>
        <w:tblLook w:val="04A0" w:firstRow="1" w:lastRow="0" w:firstColumn="1" w:lastColumn="0" w:noHBand="0" w:noVBand="1"/>
      </w:tblPr>
      <w:tblGrid>
        <w:gridCol w:w="846"/>
        <w:gridCol w:w="1140"/>
        <w:gridCol w:w="1188"/>
        <w:gridCol w:w="1188"/>
        <w:gridCol w:w="1188"/>
        <w:gridCol w:w="1188"/>
        <w:gridCol w:w="1091"/>
        <w:gridCol w:w="1188"/>
      </w:tblGrid>
      <w:tr w:rsidR="00A31A65" w:rsidRPr="002B2470" w:rsidTr="00A31A65">
        <w:tc>
          <w:tcPr>
            <w:tcW w:w="864" w:type="dxa"/>
          </w:tcPr>
          <w:p w:rsidR="00A31A65" w:rsidRPr="002B2470" w:rsidRDefault="006E208F" w:rsidP="00A31A65">
            <w:pPr>
              <w:pStyle w:val="m343668044302477783m-3986873246552044066msolistparagraph"/>
              <w:spacing w:before="0" w:beforeAutospacing="0" w:after="0" w:afterAutospacing="0"/>
              <w:jc w:val="center"/>
              <w:rPr>
                <w:rFonts w:ascii="Arial" w:hAnsi="Arial" w:cs="Arial"/>
                <w:b/>
                <w:sz w:val="20"/>
                <w:lang w:val="mk-MK"/>
              </w:rPr>
            </w:pPr>
            <w:r w:rsidRPr="002B2470">
              <w:rPr>
                <w:rFonts w:ascii="Arial" w:hAnsi="Arial" w:cs="Arial"/>
                <w:b/>
                <w:sz w:val="20"/>
                <w:lang w:val="mk-MK"/>
              </w:rPr>
              <w:t>Год</w:t>
            </w:r>
            <w:r w:rsidR="00FC2EC4" w:rsidRPr="002B2470">
              <w:rPr>
                <w:rFonts w:ascii="Arial" w:hAnsi="Arial" w:cs="Arial"/>
                <w:b/>
                <w:sz w:val="20"/>
                <w:lang w:val="mk-MK"/>
              </w:rPr>
              <w:t>.</w:t>
            </w:r>
          </w:p>
        </w:tc>
        <w:tc>
          <w:tcPr>
            <w:tcW w:w="1227"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2012</w:t>
            </w:r>
          </w:p>
        </w:tc>
        <w:tc>
          <w:tcPr>
            <w:tcW w:w="1161"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2013</w:t>
            </w:r>
          </w:p>
        </w:tc>
        <w:tc>
          <w:tcPr>
            <w:tcW w:w="1209"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2014</w:t>
            </w:r>
          </w:p>
        </w:tc>
        <w:tc>
          <w:tcPr>
            <w:tcW w:w="1233"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2015</w:t>
            </w:r>
          </w:p>
        </w:tc>
        <w:tc>
          <w:tcPr>
            <w:tcW w:w="1216"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2016</w:t>
            </w:r>
          </w:p>
        </w:tc>
        <w:tc>
          <w:tcPr>
            <w:tcW w:w="1272"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2017</w:t>
            </w:r>
          </w:p>
        </w:tc>
        <w:tc>
          <w:tcPr>
            <w:tcW w:w="1168" w:type="dxa"/>
          </w:tcPr>
          <w:p w:rsidR="00A31A65" w:rsidRPr="0038361F" w:rsidRDefault="00A31A65" w:rsidP="00A31A65">
            <w:pPr>
              <w:pStyle w:val="m343668044302477783m-3986873246552044066msolistparagraph"/>
              <w:spacing w:before="0" w:beforeAutospacing="0" w:after="0" w:afterAutospacing="0"/>
              <w:jc w:val="center"/>
              <w:rPr>
                <w:rFonts w:ascii="Arial" w:hAnsi="Arial" w:cs="Arial"/>
                <w:b/>
                <w:sz w:val="20"/>
                <w:lang w:val="mk-MK"/>
              </w:rPr>
            </w:pPr>
            <w:r w:rsidRPr="0038361F">
              <w:rPr>
                <w:rFonts w:ascii="Arial" w:hAnsi="Arial" w:cs="Arial"/>
                <w:b/>
                <w:sz w:val="20"/>
                <w:lang w:val="mk-MK"/>
              </w:rPr>
              <w:t>2018</w:t>
            </w:r>
          </w:p>
        </w:tc>
      </w:tr>
      <w:tr w:rsidR="00A31A65" w:rsidRPr="002B2470" w:rsidTr="00A31A65">
        <w:tc>
          <w:tcPr>
            <w:tcW w:w="864" w:type="dxa"/>
          </w:tcPr>
          <w:p w:rsidR="00A31A65" w:rsidRPr="002B2470" w:rsidRDefault="006E208F" w:rsidP="00A31A65">
            <w:pPr>
              <w:pStyle w:val="m343668044302477783m-3986873246552044066msolistparagraph"/>
              <w:spacing w:before="0" w:beforeAutospacing="0" w:after="0" w:afterAutospacing="0"/>
              <w:jc w:val="center"/>
              <w:rPr>
                <w:rFonts w:ascii="Arial" w:hAnsi="Arial" w:cs="Arial"/>
                <w:b/>
                <w:sz w:val="18"/>
                <w:lang w:val="mk-MK"/>
              </w:rPr>
            </w:pPr>
            <w:r w:rsidRPr="002B2470">
              <w:rPr>
                <w:rFonts w:ascii="Arial" w:hAnsi="Arial" w:cs="Arial"/>
                <w:b/>
                <w:sz w:val="18"/>
                <w:lang w:val="mk-MK"/>
              </w:rPr>
              <w:t>Вкупно</w:t>
            </w:r>
          </w:p>
        </w:tc>
        <w:tc>
          <w:tcPr>
            <w:tcW w:w="1227" w:type="dxa"/>
          </w:tcPr>
          <w:p w:rsidR="00A31A65" w:rsidRPr="0038361F" w:rsidRDefault="00A31A65" w:rsidP="006E208F">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112.715447</w:t>
            </w:r>
          </w:p>
        </w:tc>
        <w:tc>
          <w:tcPr>
            <w:tcW w:w="1161"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111.959.350</w:t>
            </w:r>
          </w:p>
        </w:tc>
        <w:tc>
          <w:tcPr>
            <w:tcW w:w="1209"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101.788.297</w:t>
            </w:r>
          </w:p>
        </w:tc>
        <w:tc>
          <w:tcPr>
            <w:tcW w:w="1233"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101.788.618</w:t>
            </w:r>
          </w:p>
        </w:tc>
        <w:tc>
          <w:tcPr>
            <w:tcW w:w="1216"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102.764.228</w:t>
            </w:r>
          </w:p>
        </w:tc>
        <w:tc>
          <w:tcPr>
            <w:tcW w:w="1272"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99.477.350</w:t>
            </w:r>
          </w:p>
        </w:tc>
        <w:tc>
          <w:tcPr>
            <w:tcW w:w="1168" w:type="dxa"/>
          </w:tcPr>
          <w:p w:rsidR="00A31A65" w:rsidRPr="0038361F" w:rsidRDefault="00A31A65"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100.983.740</w:t>
            </w:r>
          </w:p>
        </w:tc>
      </w:tr>
    </w:tbl>
    <w:p w:rsidR="00A31A65" w:rsidRPr="002B2470" w:rsidRDefault="00A31A65" w:rsidP="00A31A65">
      <w:pPr>
        <w:pStyle w:val="m343668044302477783m-3986873246552044066msolistparagraph"/>
        <w:spacing w:before="0" w:beforeAutospacing="0" w:after="0" w:afterAutospacing="0"/>
        <w:jc w:val="both"/>
        <w:rPr>
          <w:rFonts w:ascii="Arial" w:hAnsi="Arial" w:cs="Arial"/>
          <w:sz w:val="18"/>
          <w:lang w:val="mk-MK"/>
        </w:rPr>
      </w:pPr>
      <w:r w:rsidRPr="002B2470">
        <w:rPr>
          <w:rFonts w:ascii="Arial" w:hAnsi="Arial" w:cs="Arial"/>
          <w:sz w:val="18"/>
          <w:lang w:val="mk-MK"/>
        </w:rPr>
        <w:t>Извор: МЗШВ, АФПЗРР</w:t>
      </w:r>
    </w:p>
    <w:p w:rsidR="00A31A65" w:rsidRPr="0038361F" w:rsidRDefault="00A31A65" w:rsidP="00A31A65">
      <w:pPr>
        <w:pStyle w:val="m343668044302477783m-3986873246552044066msolistparagraph"/>
        <w:spacing w:before="120" w:after="0"/>
        <w:jc w:val="both"/>
        <w:rPr>
          <w:rFonts w:ascii="Arial" w:hAnsi="Arial" w:cs="Arial"/>
          <w:sz w:val="22"/>
          <w:lang w:val="mk-MK"/>
        </w:rPr>
      </w:pPr>
      <w:r w:rsidRPr="0038361F">
        <w:rPr>
          <w:rFonts w:ascii="Arial" w:hAnsi="Arial" w:cs="Arial"/>
          <w:sz w:val="22"/>
          <w:lang w:val="mk-MK"/>
        </w:rPr>
        <w:t xml:space="preserve">Мерките за рурален развој ги придружуваат и </w:t>
      </w:r>
      <w:r w:rsidR="006043E3">
        <w:rPr>
          <w:rFonts w:ascii="Arial" w:hAnsi="Arial" w:cs="Arial"/>
          <w:sz w:val="22"/>
          <w:lang w:val="mk-MK"/>
        </w:rPr>
        <w:t>на</w:t>
      </w:r>
      <w:r w:rsidRPr="0038361F">
        <w:rPr>
          <w:rFonts w:ascii="Arial" w:hAnsi="Arial" w:cs="Arial"/>
          <w:sz w:val="22"/>
          <w:lang w:val="mk-MK"/>
        </w:rPr>
        <w:t xml:space="preserve">дополнуваат мерките за директна поддршка (пазарни политики и поддршка за приходите од земјоделска активност) и </w:t>
      </w:r>
      <w:r w:rsidR="006043E3">
        <w:rPr>
          <w:rFonts w:ascii="Arial" w:hAnsi="Arial" w:cs="Arial"/>
          <w:sz w:val="22"/>
          <w:lang w:val="mk-MK"/>
        </w:rPr>
        <w:t xml:space="preserve">ја </w:t>
      </w:r>
      <w:r w:rsidRPr="0038361F">
        <w:rPr>
          <w:rFonts w:ascii="Arial" w:hAnsi="Arial" w:cs="Arial"/>
          <w:sz w:val="22"/>
          <w:lang w:val="mk-MK"/>
        </w:rPr>
        <w:t>надоград</w:t>
      </w:r>
      <w:r w:rsidR="006043E3">
        <w:rPr>
          <w:rFonts w:ascii="Arial" w:hAnsi="Arial" w:cs="Arial"/>
          <w:sz w:val="22"/>
          <w:lang w:val="mk-MK"/>
        </w:rPr>
        <w:t xml:space="preserve">уваат </w:t>
      </w:r>
      <w:r w:rsidRPr="0038361F">
        <w:rPr>
          <w:rFonts w:ascii="Arial" w:hAnsi="Arial" w:cs="Arial"/>
          <w:sz w:val="22"/>
          <w:lang w:val="mk-MK"/>
        </w:rPr>
        <w:t>постоечката поддршка за рурален развој обезбеден</w:t>
      </w:r>
      <w:r w:rsidR="006043E3">
        <w:rPr>
          <w:rFonts w:ascii="Arial" w:hAnsi="Arial" w:cs="Arial"/>
          <w:sz w:val="22"/>
          <w:lang w:val="mk-MK"/>
        </w:rPr>
        <w:t>а</w:t>
      </w:r>
      <w:r w:rsidRPr="0038361F">
        <w:rPr>
          <w:rFonts w:ascii="Arial" w:hAnsi="Arial" w:cs="Arial"/>
          <w:sz w:val="22"/>
          <w:lang w:val="mk-MK"/>
        </w:rPr>
        <w:t xml:space="preserve"> преку годишни програми за рурален развој.</w:t>
      </w:r>
    </w:p>
    <w:p w:rsidR="00A31A65" w:rsidRPr="0038361F" w:rsidRDefault="00A31A65" w:rsidP="00A31A65">
      <w:pPr>
        <w:pStyle w:val="m343668044302477783m-3986873246552044066msolistparagraph"/>
        <w:spacing w:before="120" w:beforeAutospacing="0" w:after="0" w:afterAutospacing="0"/>
        <w:jc w:val="both"/>
        <w:rPr>
          <w:rFonts w:ascii="Arial" w:hAnsi="Arial" w:cs="Arial"/>
          <w:sz w:val="22"/>
          <w:lang w:val="mk-MK"/>
        </w:rPr>
      </w:pPr>
      <w:r w:rsidRPr="0038361F">
        <w:rPr>
          <w:rFonts w:ascii="Arial" w:hAnsi="Arial" w:cs="Arial"/>
          <w:sz w:val="22"/>
          <w:lang w:val="mk-MK"/>
        </w:rPr>
        <w:t>Имајќи ја предвид анализата на состојбите во земјоделството и секторските развојни потенцијали, како и специфичните потреби за рурален развој, приоритет се мерките за спроведување на политиката за рурален развој во зголемување на конкурентноста на земјоделскиот сектор и зајакнување на економскиот и социјалната положба на руралните области преку зголемување на приходите на земјоделските стопанства, зголемување на можноста за вработување на руралното население надвор од земјоделскиот сектор. Посебно внимание се посветува на воведување на мерки за одржливо управување и искористување на природните ресурси, заштита на биолошката разновидност и животната средина.</w:t>
      </w:r>
    </w:p>
    <w:p w:rsidR="00A31A65" w:rsidRPr="0038361F" w:rsidRDefault="000305EB" w:rsidP="000305EB">
      <w:pPr>
        <w:pStyle w:val="m343668044302477783m-3986873246552044066msolistparagraph"/>
        <w:spacing w:before="120" w:beforeAutospacing="0" w:after="120" w:afterAutospacing="0"/>
        <w:jc w:val="both"/>
        <w:rPr>
          <w:rFonts w:ascii="Arial" w:hAnsi="Arial" w:cs="Arial"/>
          <w:sz w:val="20"/>
          <w:lang w:val="mk-MK"/>
        </w:rPr>
      </w:pPr>
      <w:bookmarkStart w:id="17" w:name="_Toc8640197"/>
      <w:r w:rsidRPr="002B2470">
        <w:rPr>
          <w:rFonts w:ascii="Arial" w:eastAsia="Times New Roman" w:hAnsi="Arial" w:cs="Arial"/>
          <w:sz w:val="20"/>
          <w:lang w:val="mk-MK" w:eastAsia="en-US"/>
        </w:rPr>
        <w:t xml:space="preserve">Табела </w:t>
      </w:r>
      <w:r w:rsidRPr="0038361F">
        <w:rPr>
          <w:rFonts w:ascii="Arial" w:eastAsia="Times New Roman" w:hAnsi="Arial" w:cs="Arial"/>
          <w:sz w:val="20"/>
          <w:lang w:val="mk-MK" w:eastAsia="en-US"/>
        </w:rPr>
        <w:fldChar w:fldCharType="begin"/>
      </w:r>
      <w:r w:rsidRPr="002B2470">
        <w:rPr>
          <w:rFonts w:ascii="Arial" w:eastAsia="Times New Roman" w:hAnsi="Arial" w:cs="Arial"/>
          <w:sz w:val="20"/>
          <w:lang w:val="mk-MK" w:eastAsia="en-US"/>
        </w:rPr>
        <w:instrText xml:space="preserve"> SEQ Table \* ARABIC </w:instrText>
      </w:r>
      <w:r w:rsidRPr="0038361F">
        <w:rPr>
          <w:rFonts w:ascii="Arial" w:eastAsia="Times New Roman" w:hAnsi="Arial" w:cs="Arial"/>
          <w:sz w:val="20"/>
          <w:lang w:val="mk-MK" w:eastAsia="en-US"/>
        </w:rPr>
        <w:fldChar w:fldCharType="separate"/>
      </w:r>
      <w:r w:rsidRPr="0038361F">
        <w:rPr>
          <w:rFonts w:ascii="Arial" w:eastAsia="Times New Roman" w:hAnsi="Arial" w:cs="Arial"/>
          <w:sz w:val="20"/>
          <w:lang w:val="mk-MK" w:eastAsia="en-US"/>
        </w:rPr>
        <w:t>7</w:t>
      </w:r>
      <w:r w:rsidRPr="0038361F">
        <w:rPr>
          <w:rFonts w:ascii="Arial" w:eastAsia="Times New Roman" w:hAnsi="Arial" w:cs="Arial"/>
          <w:sz w:val="20"/>
          <w:lang w:val="mk-MK" w:eastAsia="en-US"/>
        </w:rPr>
        <w:fldChar w:fldCharType="end"/>
      </w:r>
      <w:r w:rsidRPr="002B2470">
        <w:rPr>
          <w:rFonts w:ascii="Arial" w:eastAsia="Times New Roman" w:hAnsi="Arial" w:cs="Arial"/>
          <w:sz w:val="20"/>
          <w:lang w:val="mk-MK"/>
        </w:rPr>
        <w:t>:</w:t>
      </w:r>
      <w:r w:rsidR="00A31A65" w:rsidRPr="002B2470">
        <w:rPr>
          <w:rFonts w:ascii="Arial" w:eastAsia="Times New Roman" w:hAnsi="Arial" w:cs="Arial"/>
          <w:sz w:val="20"/>
          <w:lang w:val="mk-MK"/>
        </w:rPr>
        <w:t xml:space="preserve"> Износи на поддршка (во евра) од Програмата за рурален развој</w:t>
      </w:r>
      <w:bookmarkEnd w:id="17"/>
    </w:p>
    <w:tbl>
      <w:tblPr>
        <w:tblStyle w:val="TableGrid"/>
        <w:tblW w:w="0" w:type="auto"/>
        <w:tblLook w:val="04A0" w:firstRow="1" w:lastRow="0" w:firstColumn="1" w:lastColumn="0" w:noHBand="0" w:noVBand="1"/>
      </w:tblPr>
      <w:tblGrid>
        <w:gridCol w:w="865"/>
        <w:gridCol w:w="1137"/>
        <w:gridCol w:w="1125"/>
        <w:gridCol w:w="1134"/>
        <w:gridCol w:w="1138"/>
        <w:gridCol w:w="1135"/>
        <w:gridCol w:w="1145"/>
        <w:gridCol w:w="1126"/>
      </w:tblGrid>
      <w:tr w:rsidR="000305EB" w:rsidRPr="002B2470" w:rsidTr="00CE334A">
        <w:tc>
          <w:tcPr>
            <w:tcW w:w="865"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Година</w:t>
            </w:r>
          </w:p>
        </w:tc>
        <w:tc>
          <w:tcPr>
            <w:tcW w:w="1137"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2012</w:t>
            </w:r>
          </w:p>
        </w:tc>
        <w:tc>
          <w:tcPr>
            <w:tcW w:w="1125"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2013</w:t>
            </w:r>
          </w:p>
        </w:tc>
        <w:tc>
          <w:tcPr>
            <w:tcW w:w="1134"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2014</w:t>
            </w:r>
          </w:p>
        </w:tc>
        <w:tc>
          <w:tcPr>
            <w:tcW w:w="1138"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2015</w:t>
            </w:r>
          </w:p>
        </w:tc>
        <w:tc>
          <w:tcPr>
            <w:tcW w:w="1135"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2016</w:t>
            </w:r>
          </w:p>
        </w:tc>
        <w:tc>
          <w:tcPr>
            <w:tcW w:w="1145"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2017</w:t>
            </w:r>
          </w:p>
        </w:tc>
        <w:tc>
          <w:tcPr>
            <w:tcW w:w="1126"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2018</w:t>
            </w:r>
          </w:p>
        </w:tc>
      </w:tr>
      <w:tr w:rsidR="000305EB" w:rsidRPr="002B2470" w:rsidTr="00CE334A">
        <w:tc>
          <w:tcPr>
            <w:tcW w:w="865" w:type="dxa"/>
          </w:tcPr>
          <w:p w:rsidR="000305EB" w:rsidRPr="0038361F" w:rsidRDefault="000305EB" w:rsidP="00A31A65">
            <w:pPr>
              <w:pStyle w:val="m343668044302477783m-3986873246552044066msolistparagraph"/>
              <w:spacing w:before="0" w:beforeAutospacing="0" w:after="0" w:afterAutospacing="0"/>
              <w:jc w:val="center"/>
              <w:rPr>
                <w:rFonts w:ascii="Arial" w:hAnsi="Arial" w:cs="Arial"/>
                <w:b/>
                <w:sz w:val="18"/>
                <w:lang w:val="mk-MK"/>
              </w:rPr>
            </w:pPr>
            <w:r w:rsidRPr="0038361F">
              <w:rPr>
                <w:rFonts w:ascii="Arial" w:hAnsi="Arial" w:cs="Arial"/>
                <w:b/>
                <w:sz w:val="18"/>
                <w:lang w:val="mk-MK"/>
              </w:rPr>
              <w:t>Вкупно</w:t>
            </w:r>
          </w:p>
        </w:tc>
        <w:tc>
          <w:tcPr>
            <w:tcW w:w="1137"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11.381.106</w:t>
            </w:r>
          </w:p>
        </w:tc>
        <w:tc>
          <w:tcPr>
            <w:tcW w:w="1125"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17.186.992</w:t>
            </w:r>
          </w:p>
        </w:tc>
        <w:tc>
          <w:tcPr>
            <w:tcW w:w="1134"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31.229.268</w:t>
            </w:r>
          </w:p>
        </w:tc>
        <w:tc>
          <w:tcPr>
            <w:tcW w:w="1138"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31.400.000</w:t>
            </w:r>
          </w:p>
        </w:tc>
        <w:tc>
          <w:tcPr>
            <w:tcW w:w="1135"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29.356.016</w:t>
            </w:r>
          </w:p>
        </w:tc>
        <w:tc>
          <w:tcPr>
            <w:tcW w:w="1145"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32.906.390</w:t>
            </w:r>
          </w:p>
        </w:tc>
        <w:tc>
          <w:tcPr>
            <w:tcW w:w="1126" w:type="dxa"/>
          </w:tcPr>
          <w:p w:rsidR="000305EB" w:rsidRPr="0038361F" w:rsidRDefault="000305EB" w:rsidP="00A31A65">
            <w:pPr>
              <w:pStyle w:val="m343668044302477783m-3986873246552044066msolistparagraph"/>
              <w:spacing w:before="0" w:beforeAutospacing="0" w:after="0" w:afterAutospacing="0"/>
              <w:jc w:val="right"/>
              <w:rPr>
                <w:rFonts w:ascii="Arial" w:hAnsi="Arial" w:cs="Arial"/>
                <w:b/>
                <w:sz w:val="18"/>
                <w:lang w:val="mk-MK"/>
              </w:rPr>
            </w:pPr>
            <w:r w:rsidRPr="0038361F">
              <w:rPr>
                <w:rFonts w:ascii="Arial" w:hAnsi="Arial" w:cs="Arial"/>
                <w:b/>
                <w:sz w:val="18"/>
                <w:lang w:val="mk-MK"/>
              </w:rPr>
              <w:t>32.295.935</w:t>
            </w:r>
          </w:p>
        </w:tc>
      </w:tr>
    </w:tbl>
    <w:p w:rsidR="00A31A65" w:rsidRPr="0038361F" w:rsidRDefault="00A31A65" w:rsidP="00A31A65">
      <w:pPr>
        <w:pStyle w:val="m343668044302477783m-3986873246552044066msolistparagraph"/>
        <w:spacing w:before="0" w:beforeAutospacing="0" w:after="0" w:afterAutospacing="0"/>
        <w:jc w:val="both"/>
        <w:rPr>
          <w:rFonts w:ascii="Arial" w:hAnsi="Arial" w:cs="Arial"/>
          <w:sz w:val="18"/>
          <w:lang w:val="mk-MK"/>
        </w:rPr>
      </w:pPr>
      <w:r w:rsidRPr="0038361F">
        <w:rPr>
          <w:rFonts w:ascii="Arial" w:hAnsi="Arial" w:cs="Arial"/>
          <w:sz w:val="18"/>
          <w:lang w:val="mk-MK"/>
        </w:rPr>
        <w:t>Извор: МЗШВ, АФПЗРР</w:t>
      </w:r>
    </w:p>
    <w:p w:rsidR="00A31A65" w:rsidRPr="0038361F" w:rsidRDefault="00A31A65" w:rsidP="00A31A65">
      <w:pPr>
        <w:rPr>
          <w:rFonts w:ascii="Arial" w:eastAsia="Calibri" w:hAnsi="Arial" w:cs="Arial"/>
          <w:sz w:val="24"/>
          <w:szCs w:val="24"/>
          <w:lang w:val="mk-MK" w:eastAsia="en-GB"/>
        </w:rPr>
      </w:pPr>
      <w:r w:rsidRPr="0038361F">
        <w:rPr>
          <w:rFonts w:ascii="Arial" w:hAnsi="Arial" w:cs="Arial"/>
          <w:sz w:val="24"/>
          <w:szCs w:val="24"/>
          <w:lang w:val="mk-MK"/>
        </w:rPr>
        <w:br w:type="page"/>
      </w:r>
    </w:p>
    <w:p w:rsidR="00410356" w:rsidRPr="0038361F" w:rsidRDefault="00410356" w:rsidP="009B65D1">
      <w:pPr>
        <w:pStyle w:val="ListParagraph"/>
        <w:numPr>
          <w:ilvl w:val="0"/>
          <w:numId w:val="12"/>
        </w:numPr>
        <w:spacing w:after="0" w:line="240" w:lineRule="auto"/>
        <w:jc w:val="both"/>
        <w:outlineLvl w:val="0"/>
        <w:rPr>
          <w:rFonts w:ascii="Arial" w:hAnsi="Arial" w:cs="Arial"/>
          <w:b/>
          <w:sz w:val="24"/>
          <w:szCs w:val="28"/>
          <w:lang w:val="mk-MK"/>
        </w:rPr>
      </w:pPr>
      <w:bookmarkStart w:id="18" w:name="_Toc7520951"/>
      <w:bookmarkStart w:id="19" w:name="_Toc8639867"/>
      <w:r w:rsidRPr="002B2470">
        <w:rPr>
          <w:rFonts w:ascii="Arial" w:hAnsi="Arial" w:cs="Arial"/>
          <w:b/>
          <w:sz w:val="24"/>
          <w:szCs w:val="28"/>
          <w:lang w:val="mk-MK"/>
        </w:rPr>
        <w:lastRenderedPageBreak/>
        <w:t>Оцена на напредокот во спроведувањето на целите, приоритетите, мерките и групите на инвестиции</w:t>
      </w:r>
      <w:bookmarkEnd w:id="18"/>
      <w:bookmarkEnd w:id="19"/>
    </w:p>
    <w:p w:rsidR="00410356" w:rsidRPr="0038361F" w:rsidRDefault="00410356" w:rsidP="006059EF">
      <w:pPr>
        <w:pStyle w:val="ListParagraph"/>
        <w:numPr>
          <w:ilvl w:val="1"/>
          <w:numId w:val="36"/>
        </w:numPr>
        <w:spacing w:before="120" w:after="0" w:line="240" w:lineRule="auto"/>
        <w:jc w:val="both"/>
        <w:outlineLvl w:val="1"/>
        <w:rPr>
          <w:rFonts w:ascii="Arial" w:eastAsia="Calibri" w:hAnsi="Arial" w:cs="Arial"/>
          <w:b/>
          <w:vanish/>
          <w:sz w:val="24"/>
          <w:szCs w:val="24"/>
          <w:lang w:val="mk-MK" w:eastAsia="en-GB"/>
        </w:rPr>
      </w:pPr>
      <w:bookmarkStart w:id="20" w:name="_Toc6577097"/>
      <w:bookmarkStart w:id="21" w:name="_Toc6577174"/>
      <w:bookmarkStart w:id="22" w:name="_Toc6577218"/>
      <w:bookmarkStart w:id="23" w:name="_Toc6577244"/>
      <w:bookmarkStart w:id="24" w:name="_Toc6578171"/>
      <w:bookmarkStart w:id="25" w:name="_Toc6578198"/>
      <w:bookmarkStart w:id="26" w:name="_Toc6578407"/>
      <w:bookmarkStart w:id="27" w:name="_Toc6578627"/>
      <w:bookmarkStart w:id="28" w:name="_Toc6832327"/>
      <w:bookmarkStart w:id="29" w:name="_Toc7520952"/>
      <w:bookmarkStart w:id="30" w:name="_Toc7520953"/>
      <w:bookmarkStart w:id="31" w:name="_Toc8639868"/>
      <w:bookmarkEnd w:id="20"/>
      <w:bookmarkEnd w:id="21"/>
      <w:bookmarkEnd w:id="22"/>
      <w:bookmarkEnd w:id="23"/>
      <w:bookmarkEnd w:id="24"/>
      <w:bookmarkEnd w:id="25"/>
      <w:bookmarkEnd w:id="26"/>
      <w:bookmarkEnd w:id="27"/>
      <w:bookmarkEnd w:id="28"/>
      <w:bookmarkEnd w:id="29"/>
      <w:r w:rsidRPr="0038361F">
        <w:rPr>
          <w:rFonts w:ascii="Arial" w:hAnsi="Arial" w:cs="Arial"/>
          <w:b/>
          <w:lang w:val="mk-MK"/>
        </w:rPr>
        <w:t>Краток преглед на стратешката рамка на ИПАРД Програмата 2014-2020</w:t>
      </w:r>
      <w:bookmarkEnd w:id="30"/>
      <w:bookmarkEnd w:id="31"/>
    </w:p>
    <w:p w:rsidR="006043E3" w:rsidRDefault="006043E3" w:rsidP="00410356">
      <w:pPr>
        <w:pStyle w:val="m343668044302477783m-3986873246552044066msolistparagraph"/>
        <w:spacing w:before="120" w:beforeAutospacing="0" w:after="0" w:afterAutospacing="0"/>
        <w:jc w:val="both"/>
        <w:rPr>
          <w:rFonts w:ascii="Arial" w:hAnsi="Arial" w:cs="Arial"/>
          <w:sz w:val="22"/>
          <w:szCs w:val="22"/>
          <w:lang w:val="mk-MK"/>
        </w:rPr>
      </w:pP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ИПАРД програмата за периодот 2014-2020 ги поддржува корисниците во усвојувањето и спроведувањето на политичките, институционалните, правните, административните, социјалните и економските реформи со цел да се усогласат со вредностите на Унијата и постепено да се усогласат со правилата, стандардите, практики, со цел членство во Унијата.</w:t>
      </w:r>
    </w:p>
    <w:p w:rsidR="00410356" w:rsidRPr="0038361F" w:rsidRDefault="00410356" w:rsidP="00410356">
      <w:pPr>
        <w:pStyle w:val="Text1"/>
        <w:spacing w:before="120" w:after="0"/>
        <w:rPr>
          <w:rFonts w:ascii="Arial" w:hAnsi="Arial" w:cs="Arial"/>
          <w:szCs w:val="22"/>
          <w:lang w:val="mk-MK"/>
        </w:rPr>
      </w:pPr>
      <w:r w:rsidRPr="0038361F">
        <w:rPr>
          <w:rFonts w:ascii="Arial" w:hAnsi="Arial" w:cs="Arial"/>
          <w:szCs w:val="22"/>
          <w:lang w:val="mk-MK"/>
        </w:rPr>
        <w:t>Специфичните цели утврдени во член 2 од Регулативата (ЕУ) бр. 231/2014 треба</w:t>
      </w:r>
      <w:r w:rsidR="006043E3">
        <w:rPr>
          <w:rFonts w:ascii="Arial" w:hAnsi="Arial" w:cs="Arial"/>
          <w:szCs w:val="22"/>
          <w:lang w:val="mk-MK"/>
        </w:rPr>
        <w:t>,</w:t>
      </w:r>
      <w:r w:rsidRPr="0038361F">
        <w:rPr>
          <w:rFonts w:ascii="Arial" w:hAnsi="Arial" w:cs="Arial"/>
          <w:szCs w:val="22"/>
          <w:lang w:val="mk-MK"/>
        </w:rPr>
        <w:t xml:space="preserve"> </w:t>
      </w:r>
      <w:r w:rsidR="006043E3">
        <w:rPr>
          <w:rFonts w:ascii="Arial" w:hAnsi="Arial" w:cs="Arial"/>
          <w:szCs w:val="22"/>
          <w:lang w:val="mk-MK"/>
        </w:rPr>
        <w:t xml:space="preserve">колку што е изводливо, </w:t>
      </w:r>
      <w:r w:rsidRPr="0038361F">
        <w:rPr>
          <w:rFonts w:ascii="Arial" w:hAnsi="Arial" w:cs="Arial"/>
          <w:szCs w:val="22"/>
          <w:lang w:val="mk-MK"/>
        </w:rPr>
        <w:t xml:space="preserve">да бидат </w:t>
      </w:r>
      <w:r w:rsidR="006043E3">
        <w:rPr>
          <w:rFonts w:ascii="Arial" w:hAnsi="Arial" w:cs="Arial"/>
          <w:szCs w:val="22"/>
          <w:lang w:val="mk-MK"/>
        </w:rPr>
        <w:t>прифатени</w:t>
      </w:r>
      <w:r w:rsidRPr="0038361F">
        <w:rPr>
          <w:rFonts w:ascii="Arial" w:hAnsi="Arial" w:cs="Arial"/>
          <w:szCs w:val="22"/>
          <w:lang w:val="mk-MK"/>
        </w:rPr>
        <w:t xml:space="preserve"> од сите области на политиката. Ова значи дека </w:t>
      </w:r>
      <w:r w:rsidRPr="002B2470">
        <w:rPr>
          <w:rFonts w:ascii="Arial" w:hAnsi="Arial" w:cs="Arial"/>
          <w:szCs w:val="22"/>
          <w:lang w:val="mk-MK"/>
        </w:rPr>
        <w:t>политиката</w:t>
      </w:r>
      <w:r w:rsidRPr="0038361F">
        <w:rPr>
          <w:rFonts w:ascii="Arial" w:hAnsi="Arial" w:cs="Arial"/>
          <w:szCs w:val="22"/>
          <w:lang w:val="mk-MK"/>
        </w:rPr>
        <w:t xml:space="preserve"> </w:t>
      </w:r>
      <w:r w:rsidR="006043E3">
        <w:rPr>
          <w:rFonts w:ascii="Arial" w:hAnsi="Arial" w:cs="Arial"/>
          <w:szCs w:val="22"/>
          <w:lang w:val="mk-MK"/>
        </w:rPr>
        <w:t>з</w:t>
      </w:r>
      <w:r w:rsidRPr="0038361F">
        <w:rPr>
          <w:rFonts w:ascii="Arial" w:hAnsi="Arial" w:cs="Arial"/>
          <w:szCs w:val="22"/>
          <w:lang w:val="mk-MK"/>
        </w:rPr>
        <w:t>а земјоделството и руралниот развој ќе придонесе кон следниве специфични цели:</w:t>
      </w:r>
    </w:p>
    <w:p w:rsidR="00410356" w:rsidRPr="0038361F" w:rsidRDefault="006043E3" w:rsidP="0038361F">
      <w:pPr>
        <w:pStyle w:val="NormalWeb"/>
        <w:spacing w:before="120" w:after="0"/>
        <w:ind w:left="709" w:hanging="283"/>
        <w:jc w:val="both"/>
        <w:rPr>
          <w:rFonts w:ascii="Arial" w:hAnsi="Arial" w:cs="Arial"/>
          <w:sz w:val="22"/>
          <w:szCs w:val="22"/>
          <w:lang w:val="mk-MK"/>
        </w:rPr>
      </w:pPr>
      <w:r>
        <w:rPr>
          <w:rFonts w:ascii="Arial" w:hAnsi="Arial" w:cs="Arial"/>
          <w:sz w:val="22"/>
          <w:szCs w:val="22"/>
          <w:lang w:val="mk-MK"/>
        </w:rPr>
        <w:t xml:space="preserve">а) </w:t>
      </w:r>
      <w:r w:rsidR="00410356" w:rsidRPr="002B2470">
        <w:rPr>
          <w:rFonts w:ascii="Arial" w:hAnsi="Arial" w:cs="Arial"/>
          <w:sz w:val="22"/>
          <w:szCs w:val="22"/>
          <w:lang w:val="mk-MK"/>
        </w:rPr>
        <w:t>Поддршка за реформи во политиката</w:t>
      </w:r>
      <w:r w:rsidR="00410356" w:rsidRPr="0038361F">
        <w:rPr>
          <w:rFonts w:ascii="Arial" w:hAnsi="Arial" w:cs="Arial"/>
          <w:sz w:val="22"/>
          <w:szCs w:val="22"/>
          <w:lang w:val="mk-MK"/>
        </w:rPr>
        <w:t>;</w:t>
      </w:r>
    </w:p>
    <w:p w:rsidR="00410356" w:rsidRPr="0038361F" w:rsidRDefault="006043E3" w:rsidP="0038361F">
      <w:pPr>
        <w:pStyle w:val="NormalWeb"/>
        <w:spacing w:before="120" w:after="0"/>
        <w:ind w:left="709" w:hanging="283"/>
        <w:jc w:val="both"/>
        <w:rPr>
          <w:rFonts w:ascii="Arial" w:hAnsi="Arial" w:cs="Arial"/>
          <w:sz w:val="22"/>
          <w:szCs w:val="22"/>
          <w:lang w:val="mk-MK"/>
        </w:rPr>
      </w:pPr>
      <w:r>
        <w:rPr>
          <w:rFonts w:ascii="Arial" w:hAnsi="Arial" w:cs="Arial"/>
          <w:sz w:val="22"/>
          <w:szCs w:val="22"/>
          <w:lang w:val="mk-MK"/>
        </w:rPr>
        <w:t xml:space="preserve">б) </w:t>
      </w:r>
      <w:r w:rsidR="00410356" w:rsidRPr="002B2470">
        <w:rPr>
          <w:rFonts w:ascii="Arial" w:hAnsi="Arial" w:cs="Arial"/>
          <w:sz w:val="22"/>
          <w:szCs w:val="22"/>
          <w:lang w:val="mk-MK"/>
        </w:rPr>
        <w:t xml:space="preserve">Поддршка за економски, </w:t>
      </w:r>
      <w:r w:rsidR="00410356" w:rsidRPr="0038361F">
        <w:rPr>
          <w:rFonts w:ascii="Arial" w:hAnsi="Arial" w:cs="Arial"/>
          <w:sz w:val="22"/>
          <w:szCs w:val="22"/>
          <w:lang w:val="mk-MK"/>
        </w:rPr>
        <w:t xml:space="preserve">социјален и територијален развој, со </w:t>
      </w:r>
      <w:r w:rsidR="00410356" w:rsidRPr="002B2470">
        <w:rPr>
          <w:rFonts w:ascii="Arial" w:hAnsi="Arial" w:cs="Arial"/>
          <w:sz w:val="22"/>
          <w:szCs w:val="22"/>
          <w:lang w:val="mk-MK"/>
        </w:rPr>
        <w:t>осврт</w:t>
      </w:r>
      <w:r w:rsidR="00410356" w:rsidRPr="0038361F">
        <w:rPr>
          <w:rFonts w:ascii="Arial" w:hAnsi="Arial" w:cs="Arial"/>
          <w:sz w:val="22"/>
          <w:szCs w:val="22"/>
          <w:lang w:val="mk-MK"/>
        </w:rPr>
        <w:t xml:space="preserve"> на паметен, одржлив и инклузивен раст;</w:t>
      </w:r>
    </w:p>
    <w:p w:rsidR="00410356" w:rsidRPr="0038361F" w:rsidRDefault="006043E3" w:rsidP="0038361F">
      <w:pPr>
        <w:pStyle w:val="NormalWeb"/>
        <w:spacing w:before="120" w:after="0"/>
        <w:ind w:left="709" w:hanging="283"/>
        <w:jc w:val="both"/>
        <w:rPr>
          <w:rFonts w:ascii="Arial" w:hAnsi="Arial" w:cs="Arial"/>
          <w:sz w:val="22"/>
          <w:szCs w:val="22"/>
          <w:lang w:val="mk-MK"/>
        </w:rPr>
      </w:pPr>
      <w:r>
        <w:rPr>
          <w:rFonts w:ascii="Arial" w:hAnsi="Arial" w:cs="Arial"/>
          <w:sz w:val="22"/>
          <w:szCs w:val="22"/>
          <w:lang w:val="mk-MK"/>
        </w:rPr>
        <w:t xml:space="preserve">в) </w:t>
      </w:r>
      <w:r w:rsidR="00410356" w:rsidRPr="0038361F">
        <w:rPr>
          <w:rFonts w:ascii="Arial" w:hAnsi="Arial" w:cs="Arial"/>
          <w:sz w:val="22"/>
          <w:szCs w:val="22"/>
          <w:lang w:val="mk-MK"/>
        </w:rPr>
        <w:t>Зајакнување на способноста на земјите</w:t>
      </w:r>
      <w:r w:rsidR="00781F6B">
        <w:rPr>
          <w:rFonts w:ascii="Arial" w:hAnsi="Arial" w:cs="Arial"/>
          <w:sz w:val="22"/>
          <w:szCs w:val="22"/>
          <w:lang w:val="mk-MK"/>
        </w:rPr>
        <w:t>-</w:t>
      </w:r>
      <w:r w:rsidR="00410356" w:rsidRPr="0038361F">
        <w:rPr>
          <w:rFonts w:ascii="Arial" w:hAnsi="Arial" w:cs="Arial"/>
          <w:sz w:val="22"/>
          <w:szCs w:val="22"/>
          <w:lang w:val="mk-MK"/>
        </w:rPr>
        <w:t xml:space="preserve">кориснички на сите нивоа да ги исполнат обврските што произлегуваат од членството во Унијата преку поддршка на прогресивно усогласување и усвојување, спроведување и спроведување на законодавството на ЕУ, вклучувајќи подготовка за управување со структурните фондови на Унијата, Кохезивниот фонд и Европскиот фонд </w:t>
      </w:r>
      <w:r w:rsidR="00410356" w:rsidRPr="002B2470">
        <w:rPr>
          <w:rFonts w:ascii="Arial" w:hAnsi="Arial" w:cs="Arial"/>
          <w:sz w:val="22"/>
          <w:szCs w:val="22"/>
          <w:lang w:val="mk-MK"/>
        </w:rPr>
        <w:t xml:space="preserve">за </w:t>
      </w:r>
      <w:r w:rsidR="00410356" w:rsidRPr="0038361F">
        <w:rPr>
          <w:rFonts w:ascii="Arial" w:hAnsi="Arial" w:cs="Arial"/>
          <w:sz w:val="22"/>
          <w:szCs w:val="22"/>
          <w:lang w:val="mk-MK"/>
        </w:rPr>
        <w:t>земјоделс</w:t>
      </w:r>
      <w:r w:rsidR="00410356" w:rsidRPr="002B2470">
        <w:rPr>
          <w:rFonts w:ascii="Arial" w:hAnsi="Arial" w:cs="Arial"/>
          <w:sz w:val="22"/>
          <w:szCs w:val="22"/>
          <w:lang w:val="mk-MK"/>
        </w:rPr>
        <w:t>тво и</w:t>
      </w:r>
      <w:r w:rsidR="00410356" w:rsidRPr="0038361F">
        <w:rPr>
          <w:rFonts w:ascii="Arial" w:hAnsi="Arial" w:cs="Arial"/>
          <w:sz w:val="22"/>
          <w:szCs w:val="22"/>
          <w:lang w:val="mk-MK"/>
        </w:rPr>
        <w:t xml:space="preserve"> рурален развој;</w:t>
      </w:r>
    </w:p>
    <w:p w:rsidR="00410356" w:rsidRPr="0038361F" w:rsidRDefault="006043E3" w:rsidP="0038361F">
      <w:pPr>
        <w:pStyle w:val="m343668044302477783m-3986873246552044066msolistparagraph"/>
        <w:spacing w:before="120" w:beforeAutospacing="0" w:after="0" w:afterAutospacing="0"/>
        <w:ind w:left="709" w:hanging="283"/>
        <w:jc w:val="both"/>
        <w:rPr>
          <w:rFonts w:ascii="Arial" w:hAnsi="Arial" w:cs="Arial"/>
          <w:sz w:val="22"/>
          <w:szCs w:val="22"/>
          <w:lang w:val="mk-MK"/>
        </w:rPr>
      </w:pPr>
      <w:r>
        <w:rPr>
          <w:rFonts w:ascii="Arial" w:hAnsi="Arial" w:cs="Arial"/>
          <w:sz w:val="22"/>
          <w:szCs w:val="22"/>
          <w:lang w:val="mk-MK"/>
        </w:rPr>
        <w:t xml:space="preserve">г) </w:t>
      </w:r>
      <w:r w:rsidR="00410356" w:rsidRPr="0038361F">
        <w:rPr>
          <w:rFonts w:ascii="Arial" w:hAnsi="Arial" w:cs="Arial"/>
          <w:sz w:val="22"/>
          <w:szCs w:val="22"/>
          <w:lang w:val="mk-MK"/>
        </w:rPr>
        <w:t>Зајакнување на регионалната интеграција и територијалната соработка, вклучувајќи ги корисниците наведени во Анекс I, земјите-членки и, каде што е соодветно, трети земји во рамките на Регулативата (ЕУ) бр. 232/2014 на Европскиот парламент и на Советот.</w:t>
      </w:r>
    </w:p>
    <w:p w:rsidR="00410356" w:rsidRPr="0038361F" w:rsidRDefault="00F0189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Горе</w:t>
      </w:r>
      <w:r w:rsidR="00410356" w:rsidRPr="0038361F">
        <w:rPr>
          <w:rFonts w:ascii="Arial" w:hAnsi="Arial" w:cs="Arial"/>
          <w:sz w:val="22"/>
          <w:szCs w:val="22"/>
          <w:lang w:val="mk-MK"/>
        </w:rPr>
        <w:t xml:space="preserve">споменатите цели на ИПА II во голема мера се совпаѓаат со главните стратешки цели и специфични цели според </w:t>
      </w:r>
      <w:r w:rsidR="00410356" w:rsidRPr="002B2470">
        <w:rPr>
          <w:rFonts w:ascii="Arial" w:hAnsi="Arial" w:cs="Arial"/>
          <w:sz w:val="22"/>
          <w:szCs w:val="22"/>
          <w:lang w:val="mk-MK"/>
        </w:rPr>
        <w:t>НСЗРР</w:t>
      </w:r>
      <w:r w:rsidR="00410356" w:rsidRPr="0038361F">
        <w:rPr>
          <w:rFonts w:ascii="Arial" w:hAnsi="Arial" w:cs="Arial"/>
          <w:sz w:val="22"/>
          <w:szCs w:val="22"/>
          <w:lang w:val="mk-MK"/>
        </w:rPr>
        <w:t xml:space="preserve"> 2014-2020 (дел 6.1.1 од оваа Програма), имено целите за подобрување на одржливоста на земјоделството и конкурентноста на сите видови земјоделство и </w:t>
      </w:r>
      <w:r w:rsidR="00410356" w:rsidRPr="002B2470">
        <w:rPr>
          <w:rFonts w:ascii="Arial" w:hAnsi="Arial" w:cs="Arial"/>
          <w:sz w:val="22"/>
          <w:szCs w:val="22"/>
          <w:lang w:val="mk-MK"/>
        </w:rPr>
        <w:t>производство на храна</w:t>
      </w:r>
      <w:r w:rsidR="00410356" w:rsidRPr="0038361F">
        <w:rPr>
          <w:rFonts w:ascii="Arial" w:hAnsi="Arial" w:cs="Arial"/>
          <w:sz w:val="22"/>
          <w:szCs w:val="22"/>
          <w:lang w:val="mk-MK"/>
        </w:rPr>
        <w:t>, агро-еколошки цели за враќање, зачувување и зајакнување на екосистемите зависни од земјоделството и шумарството, подобрување на социо-економскиот развој во руралните области и човечкиот потенцијал.</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32" w:name="_Toc8640198"/>
      <w:r w:rsidRPr="002B2470">
        <w:rPr>
          <w:rFonts w:ascii="Arial" w:eastAsia="Times New Roman" w:hAnsi="Arial" w:cs="Arial"/>
          <w:sz w:val="20"/>
          <w:szCs w:val="20"/>
          <w:lang w:val="mk-MK"/>
        </w:rPr>
        <w:t xml:space="preserve">Табела </w:t>
      </w:r>
      <w:r w:rsidR="001C2124" w:rsidRPr="00AD5130">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AD5130">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8</w:t>
      </w:r>
      <w:r w:rsidR="001C2124" w:rsidRPr="00AD5130">
        <w:rPr>
          <w:rFonts w:ascii="Arial" w:eastAsia="Times New Roman" w:hAnsi="Arial" w:cs="Arial"/>
          <w:i/>
          <w:sz w:val="20"/>
          <w:szCs w:val="20"/>
          <w:lang w:val="mk-MK"/>
        </w:rPr>
        <w:fldChar w:fldCharType="end"/>
      </w:r>
      <w:r w:rsidRPr="00AD5130">
        <w:rPr>
          <w:rFonts w:ascii="Arial" w:eastAsia="Times New Roman" w:hAnsi="Arial" w:cs="Arial"/>
          <w:sz w:val="20"/>
          <w:szCs w:val="20"/>
          <w:lang w:val="mk-MK"/>
        </w:rPr>
        <w:t xml:space="preserve">:Буџет на ЕУ придонес по мерки </w:t>
      </w:r>
      <w:r w:rsidRPr="0038361F">
        <w:rPr>
          <w:rFonts w:ascii="Arial" w:hAnsi="Arial" w:cs="Arial"/>
          <w:sz w:val="20"/>
          <w:szCs w:val="20"/>
          <w:lang w:val="mk-MK"/>
        </w:rPr>
        <w:t xml:space="preserve">2014-2020, </w:t>
      </w:r>
      <w:r w:rsidRPr="002B2470">
        <w:rPr>
          <w:rFonts w:ascii="Arial" w:hAnsi="Arial" w:cs="Arial"/>
          <w:sz w:val="20"/>
          <w:szCs w:val="20"/>
          <w:lang w:val="mk-MK"/>
        </w:rPr>
        <w:t>во</w:t>
      </w:r>
      <w:r w:rsidRPr="0038361F">
        <w:rPr>
          <w:rFonts w:ascii="Arial" w:hAnsi="Arial" w:cs="Arial"/>
          <w:sz w:val="20"/>
          <w:szCs w:val="20"/>
          <w:lang w:val="mk-MK"/>
        </w:rPr>
        <w:t xml:space="preserve"> €</w:t>
      </w:r>
      <w:bookmarkEnd w:id="32"/>
    </w:p>
    <w:tbl>
      <w:tblPr>
        <w:tblStyle w:val="TableGrid"/>
        <w:tblW w:w="0" w:type="auto"/>
        <w:tblLook w:val="04A0" w:firstRow="1" w:lastRow="0" w:firstColumn="1" w:lastColumn="0" w:noHBand="0" w:noVBand="1"/>
      </w:tblPr>
      <w:tblGrid>
        <w:gridCol w:w="6451"/>
        <w:gridCol w:w="1596"/>
        <w:gridCol w:w="970"/>
      </w:tblGrid>
      <w:tr w:rsidR="00410356" w:rsidRPr="002B2470" w:rsidTr="00F01896">
        <w:tc>
          <w:tcPr>
            <w:tcW w:w="6745" w:type="dxa"/>
          </w:tcPr>
          <w:p w:rsidR="00410356" w:rsidRPr="002B2470"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2B2470">
              <w:rPr>
                <w:rFonts w:ascii="Arial" w:hAnsi="Arial" w:cs="Arial"/>
                <w:sz w:val="20"/>
                <w:szCs w:val="20"/>
                <w:lang w:val="mk-MK"/>
              </w:rPr>
              <w:t>Мерки</w:t>
            </w:r>
          </w:p>
        </w:tc>
        <w:tc>
          <w:tcPr>
            <w:tcW w:w="2605" w:type="dxa"/>
            <w:gridSpan w:val="2"/>
          </w:tcPr>
          <w:p w:rsidR="00410356" w:rsidRPr="002B2470"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2B2470">
              <w:rPr>
                <w:rFonts w:ascii="Arial" w:hAnsi="Arial" w:cs="Arial"/>
                <w:sz w:val="20"/>
                <w:szCs w:val="20"/>
                <w:lang w:val="mk-MK"/>
              </w:rPr>
              <w:t>ЕУ придонес</w:t>
            </w:r>
          </w:p>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2014-2020</w:t>
            </w:r>
          </w:p>
        </w:tc>
      </w:tr>
      <w:tr w:rsidR="00410356" w:rsidRPr="002B2470" w:rsidTr="00F01896">
        <w:tc>
          <w:tcPr>
            <w:tcW w:w="674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38361F">
              <w:rPr>
                <w:rFonts w:ascii="Arial" w:hAnsi="Arial" w:cs="Arial"/>
                <w:sz w:val="20"/>
                <w:szCs w:val="20"/>
                <w:lang w:val="mk-MK"/>
              </w:rPr>
              <w:t>Инвестиции во физички средства на земјоделски стопанства</w:t>
            </w:r>
          </w:p>
        </w:tc>
        <w:tc>
          <w:tcPr>
            <w:tcW w:w="1620" w:type="dxa"/>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21.800.000</w:t>
            </w:r>
          </w:p>
        </w:tc>
        <w:tc>
          <w:tcPr>
            <w:tcW w:w="985" w:type="dxa"/>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36%</w:t>
            </w:r>
          </w:p>
        </w:tc>
      </w:tr>
      <w:tr w:rsidR="00410356" w:rsidRPr="002B2470" w:rsidTr="00F01896">
        <w:tc>
          <w:tcPr>
            <w:tcW w:w="6745" w:type="dxa"/>
          </w:tcPr>
          <w:p w:rsidR="00410356" w:rsidRPr="0038361F" w:rsidRDefault="00410356" w:rsidP="00410356">
            <w:pPr>
              <w:pStyle w:val="m343668044302477783m-3986873246552044066msolistparagraph"/>
              <w:spacing w:before="0" w:beforeAutospacing="0" w:after="0" w:afterAutospacing="0"/>
              <w:rPr>
                <w:rFonts w:ascii="Arial" w:hAnsi="Arial" w:cs="Arial"/>
                <w:sz w:val="20"/>
                <w:szCs w:val="20"/>
                <w:lang w:val="mk-MK"/>
              </w:rPr>
            </w:pPr>
            <w:r w:rsidRPr="0038361F">
              <w:rPr>
                <w:rFonts w:ascii="Arial" w:hAnsi="Arial" w:cs="Arial"/>
                <w:sz w:val="20"/>
                <w:szCs w:val="20"/>
                <w:lang w:val="mk-MK"/>
              </w:rPr>
              <w:t xml:space="preserve">Инвестиции во физички средства </w:t>
            </w:r>
            <w:r w:rsidRPr="002B2470">
              <w:rPr>
                <w:rFonts w:ascii="Arial" w:hAnsi="Arial" w:cs="Arial"/>
                <w:sz w:val="20"/>
                <w:szCs w:val="20"/>
                <w:lang w:val="mk-MK"/>
              </w:rPr>
              <w:t>за</w:t>
            </w:r>
            <w:r w:rsidRPr="0038361F">
              <w:rPr>
                <w:rFonts w:ascii="Arial" w:hAnsi="Arial" w:cs="Arial"/>
                <w:sz w:val="20"/>
                <w:szCs w:val="20"/>
                <w:lang w:val="mk-MK"/>
              </w:rPr>
              <w:t xml:space="preserve"> преработка и маркетинг на земјоделски и рибни производи</w:t>
            </w:r>
          </w:p>
        </w:tc>
        <w:tc>
          <w:tcPr>
            <w:tcW w:w="1620"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21.960.000</w:t>
            </w:r>
          </w:p>
        </w:tc>
        <w:tc>
          <w:tcPr>
            <w:tcW w:w="985"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37%</w:t>
            </w:r>
          </w:p>
        </w:tc>
      </w:tr>
      <w:tr w:rsidR="00410356" w:rsidRPr="002B2470" w:rsidTr="00F01896">
        <w:tc>
          <w:tcPr>
            <w:tcW w:w="6745" w:type="dxa"/>
          </w:tcPr>
          <w:p w:rsidR="00410356" w:rsidRPr="002B2470" w:rsidRDefault="00410356" w:rsidP="00410356">
            <w:pPr>
              <w:pStyle w:val="m343668044302477783m-3986873246552044066msolistparagraph"/>
              <w:spacing w:before="0" w:beforeAutospacing="0" w:after="0" w:afterAutospacing="0"/>
              <w:rPr>
                <w:rFonts w:ascii="Arial" w:hAnsi="Arial" w:cs="Arial"/>
                <w:sz w:val="20"/>
                <w:szCs w:val="20"/>
                <w:lang w:val="mk-MK"/>
              </w:rPr>
            </w:pPr>
            <w:r w:rsidRPr="002B2470">
              <w:rPr>
                <w:rFonts w:ascii="Arial" w:hAnsi="Arial" w:cs="Arial"/>
                <w:sz w:val="20"/>
                <w:szCs w:val="20"/>
                <w:lang w:val="mk-MK"/>
              </w:rPr>
              <w:t xml:space="preserve">Инвестиции во јавна рурална инфраструктура </w:t>
            </w:r>
          </w:p>
        </w:tc>
        <w:tc>
          <w:tcPr>
            <w:tcW w:w="1620"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9.100.000</w:t>
            </w:r>
          </w:p>
        </w:tc>
        <w:tc>
          <w:tcPr>
            <w:tcW w:w="985"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15%</w:t>
            </w:r>
          </w:p>
        </w:tc>
      </w:tr>
      <w:tr w:rsidR="00410356" w:rsidRPr="002B2470" w:rsidTr="00F01896">
        <w:tc>
          <w:tcPr>
            <w:tcW w:w="6745" w:type="dxa"/>
          </w:tcPr>
          <w:p w:rsidR="00410356" w:rsidRPr="0038361F" w:rsidRDefault="00410356" w:rsidP="00AD5130">
            <w:pPr>
              <w:pStyle w:val="m343668044302477783m-3986873246552044066msolistparagraph"/>
              <w:spacing w:before="0" w:beforeAutospacing="0" w:after="0" w:afterAutospacing="0"/>
              <w:rPr>
                <w:rFonts w:ascii="Arial" w:hAnsi="Arial" w:cs="Arial"/>
                <w:sz w:val="20"/>
                <w:szCs w:val="20"/>
                <w:lang w:val="mk-MK"/>
              </w:rPr>
            </w:pPr>
            <w:r w:rsidRPr="002B2470">
              <w:rPr>
                <w:rFonts w:ascii="Arial" w:hAnsi="Arial" w:cs="Arial"/>
                <w:sz w:val="20"/>
                <w:szCs w:val="20"/>
                <w:lang w:val="mk-MK"/>
              </w:rPr>
              <w:t>Диверзификација на фарм</w:t>
            </w:r>
            <w:r w:rsidR="00AD5130">
              <w:rPr>
                <w:rFonts w:ascii="Arial" w:hAnsi="Arial" w:cs="Arial"/>
                <w:sz w:val="20"/>
                <w:szCs w:val="20"/>
                <w:lang w:val="mk-MK"/>
              </w:rPr>
              <w:t>и</w:t>
            </w:r>
            <w:r w:rsidRPr="002B2470">
              <w:rPr>
                <w:rFonts w:ascii="Arial" w:hAnsi="Arial" w:cs="Arial"/>
                <w:sz w:val="20"/>
                <w:szCs w:val="20"/>
                <w:lang w:val="mk-MK"/>
              </w:rPr>
              <w:t xml:space="preserve"> и развој на бизниси</w:t>
            </w:r>
          </w:p>
        </w:tc>
        <w:tc>
          <w:tcPr>
            <w:tcW w:w="1620"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4.740.000</w:t>
            </w:r>
          </w:p>
        </w:tc>
        <w:tc>
          <w:tcPr>
            <w:tcW w:w="985"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8%</w:t>
            </w:r>
          </w:p>
        </w:tc>
      </w:tr>
      <w:tr w:rsidR="00410356" w:rsidRPr="002B2470" w:rsidTr="00F01896">
        <w:tc>
          <w:tcPr>
            <w:tcW w:w="6745" w:type="dxa"/>
          </w:tcPr>
          <w:p w:rsidR="00410356" w:rsidRPr="002B2470" w:rsidRDefault="00410356" w:rsidP="00410356">
            <w:pPr>
              <w:pStyle w:val="m343668044302477783m-3986873246552044066msolistparagraph"/>
              <w:spacing w:before="0" w:beforeAutospacing="0" w:after="0" w:afterAutospacing="0"/>
              <w:rPr>
                <w:rFonts w:ascii="Arial" w:hAnsi="Arial" w:cs="Arial"/>
                <w:sz w:val="20"/>
                <w:szCs w:val="20"/>
                <w:lang w:val="mk-MK"/>
              </w:rPr>
            </w:pPr>
            <w:r w:rsidRPr="002B2470">
              <w:rPr>
                <w:rFonts w:ascii="Arial" w:hAnsi="Arial" w:cs="Arial"/>
                <w:sz w:val="20"/>
                <w:szCs w:val="20"/>
                <w:lang w:val="mk-MK"/>
              </w:rPr>
              <w:t>Техничка помош</w:t>
            </w:r>
          </w:p>
        </w:tc>
        <w:tc>
          <w:tcPr>
            <w:tcW w:w="1620"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2.400.000</w:t>
            </w:r>
          </w:p>
        </w:tc>
        <w:tc>
          <w:tcPr>
            <w:tcW w:w="985"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4%</w:t>
            </w:r>
          </w:p>
        </w:tc>
      </w:tr>
      <w:tr w:rsidR="00410356" w:rsidRPr="002B2470" w:rsidTr="00F01896">
        <w:tc>
          <w:tcPr>
            <w:tcW w:w="6745" w:type="dxa"/>
          </w:tcPr>
          <w:p w:rsidR="00410356" w:rsidRPr="002B2470" w:rsidRDefault="00410356" w:rsidP="00410356">
            <w:pPr>
              <w:pStyle w:val="m343668044302477783m-3986873246552044066msolistparagraph"/>
              <w:spacing w:before="0" w:beforeAutospacing="0" w:after="0" w:afterAutospacing="0"/>
              <w:rPr>
                <w:rFonts w:ascii="Arial" w:hAnsi="Arial" w:cs="Arial"/>
                <w:sz w:val="20"/>
                <w:szCs w:val="20"/>
                <w:lang w:val="mk-MK"/>
              </w:rPr>
            </w:pPr>
            <w:r w:rsidRPr="002B2470">
              <w:rPr>
                <w:rFonts w:ascii="Arial" w:hAnsi="Arial" w:cs="Arial"/>
                <w:sz w:val="20"/>
                <w:szCs w:val="20"/>
                <w:lang w:val="mk-MK"/>
              </w:rPr>
              <w:t>Вкупно</w:t>
            </w:r>
          </w:p>
        </w:tc>
        <w:tc>
          <w:tcPr>
            <w:tcW w:w="1620"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60.000.000</w:t>
            </w:r>
          </w:p>
        </w:tc>
        <w:tc>
          <w:tcPr>
            <w:tcW w:w="985" w:type="dxa"/>
            <w:vAlign w:val="bottom"/>
          </w:tcPr>
          <w:p w:rsidR="00410356" w:rsidRPr="0038361F" w:rsidRDefault="00410356" w:rsidP="00F01896">
            <w:pPr>
              <w:jc w:val="center"/>
              <w:rPr>
                <w:rFonts w:ascii="Arial" w:hAnsi="Arial" w:cs="Arial"/>
                <w:sz w:val="20"/>
                <w:szCs w:val="20"/>
                <w:lang w:val="mk-MK"/>
              </w:rPr>
            </w:pPr>
            <w:r w:rsidRPr="0038361F">
              <w:rPr>
                <w:rFonts w:ascii="Arial" w:hAnsi="Arial" w:cs="Arial"/>
                <w:sz w:val="20"/>
                <w:szCs w:val="20"/>
                <w:lang w:val="mk-MK"/>
              </w:rPr>
              <w:t>100%</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rPr>
      </w:pPr>
      <w:r w:rsidRPr="002B2470">
        <w:rPr>
          <w:rFonts w:ascii="Arial" w:hAnsi="Arial" w:cs="Arial"/>
          <w:sz w:val="18"/>
          <w:szCs w:val="18"/>
          <w:lang w:val="mk-MK"/>
        </w:rPr>
        <w:t>Извор: ИПАРД Програма</w:t>
      </w:r>
      <w:r w:rsidRPr="0038361F">
        <w:rPr>
          <w:rFonts w:ascii="Arial" w:hAnsi="Arial" w:cs="Arial"/>
          <w:sz w:val="18"/>
          <w:szCs w:val="18"/>
          <w:lang w:val="mk-MK"/>
        </w:rPr>
        <w:t xml:space="preserve"> 2014-2020</w:t>
      </w:r>
    </w:p>
    <w:p w:rsidR="00F01896" w:rsidRPr="0038361F" w:rsidRDefault="00F01896" w:rsidP="00410356">
      <w:pPr>
        <w:pStyle w:val="m343668044302477783m-3986873246552044066msolistparagraph"/>
        <w:spacing w:before="0" w:beforeAutospacing="0" w:after="0" w:afterAutospacing="0"/>
        <w:jc w:val="both"/>
        <w:rPr>
          <w:rFonts w:ascii="Arial" w:hAnsi="Arial" w:cs="Arial"/>
          <w:sz w:val="18"/>
          <w:szCs w:val="18"/>
          <w:lang w:val="mk-MK"/>
        </w:rPr>
      </w:pPr>
    </w:p>
    <w:p w:rsidR="00410356" w:rsidRPr="0038361F" w:rsidRDefault="00410356" w:rsidP="009B65D1">
      <w:pPr>
        <w:pStyle w:val="ListParagraph"/>
        <w:numPr>
          <w:ilvl w:val="1"/>
          <w:numId w:val="36"/>
        </w:numPr>
        <w:spacing w:before="120" w:after="0" w:line="240" w:lineRule="auto"/>
        <w:jc w:val="both"/>
        <w:outlineLvl w:val="1"/>
        <w:rPr>
          <w:rFonts w:ascii="Arial" w:hAnsi="Arial" w:cs="Arial"/>
          <w:b/>
          <w:lang w:val="mk-MK"/>
        </w:rPr>
      </w:pPr>
      <w:bookmarkStart w:id="33" w:name="_Toc7520954"/>
      <w:bookmarkStart w:id="34" w:name="_Toc8639869"/>
      <w:r w:rsidRPr="002B2470">
        <w:rPr>
          <w:rFonts w:ascii="Arial" w:hAnsi="Arial" w:cs="Arial"/>
          <w:b/>
          <w:lang w:val="mk-MK"/>
        </w:rPr>
        <w:t>Анализа на напредокот во спроведувањето по мерки</w:t>
      </w:r>
      <w:bookmarkEnd w:id="33"/>
      <w:bookmarkEnd w:id="34"/>
    </w:p>
    <w:p w:rsidR="00410356" w:rsidRPr="0038361F" w:rsidRDefault="00F0189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Спроведувањето </w:t>
      </w:r>
      <w:r w:rsidR="00410356" w:rsidRPr="0038361F">
        <w:rPr>
          <w:rFonts w:ascii="Arial" w:hAnsi="Arial" w:cs="Arial"/>
          <w:sz w:val="22"/>
          <w:szCs w:val="22"/>
          <w:lang w:val="mk-MK"/>
        </w:rPr>
        <w:t>на Програмата започна со објавување</w:t>
      </w:r>
      <w:r w:rsidRPr="002B2470">
        <w:rPr>
          <w:rFonts w:ascii="Arial" w:hAnsi="Arial" w:cs="Arial"/>
          <w:sz w:val="22"/>
          <w:szCs w:val="22"/>
          <w:lang w:val="mk-MK"/>
        </w:rPr>
        <w:t>то</w:t>
      </w:r>
      <w:r w:rsidR="00410356" w:rsidRPr="0038361F">
        <w:rPr>
          <w:rFonts w:ascii="Arial" w:hAnsi="Arial" w:cs="Arial"/>
          <w:sz w:val="22"/>
          <w:szCs w:val="22"/>
          <w:lang w:val="mk-MK"/>
        </w:rPr>
        <w:t xml:space="preserve"> на првиот повик (01/2017) во април 2017 година. За да се за</w:t>
      </w:r>
      <w:r w:rsidR="00F16471" w:rsidRPr="0038361F">
        <w:rPr>
          <w:rFonts w:ascii="Arial" w:hAnsi="Arial" w:cs="Arial"/>
          <w:sz w:val="22"/>
          <w:szCs w:val="22"/>
          <w:lang w:val="mk-MK"/>
        </w:rPr>
        <w:t>доволат потребите на барателите</w:t>
      </w:r>
      <w:r w:rsidR="00410356" w:rsidRPr="0038361F">
        <w:rPr>
          <w:rFonts w:ascii="Arial" w:hAnsi="Arial" w:cs="Arial"/>
          <w:sz w:val="22"/>
          <w:szCs w:val="22"/>
          <w:lang w:val="mk-MK"/>
        </w:rPr>
        <w:t xml:space="preserve">, крајниот датум за доставување на </w:t>
      </w:r>
      <w:r w:rsidR="00410356" w:rsidRPr="002B2470">
        <w:rPr>
          <w:rFonts w:ascii="Arial" w:hAnsi="Arial" w:cs="Arial"/>
          <w:sz w:val="22"/>
          <w:szCs w:val="22"/>
          <w:lang w:val="mk-MK"/>
        </w:rPr>
        <w:t>барањатана</w:t>
      </w:r>
      <w:r w:rsidR="00410356" w:rsidRPr="0038361F">
        <w:rPr>
          <w:rFonts w:ascii="Arial" w:hAnsi="Arial" w:cs="Arial"/>
          <w:sz w:val="22"/>
          <w:szCs w:val="22"/>
          <w:lang w:val="mk-MK"/>
        </w:rPr>
        <w:t xml:space="preserve"> овој повик беше продолжен до 21 јули. Јавн</w:t>
      </w:r>
      <w:r w:rsidR="00410356" w:rsidRPr="002B2470">
        <w:rPr>
          <w:rFonts w:ascii="Arial" w:hAnsi="Arial" w:cs="Arial"/>
          <w:sz w:val="22"/>
          <w:szCs w:val="22"/>
          <w:lang w:val="mk-MK"/>
        </w:rPr>
        <w:t>иот</w:t>
      </w:r>
      <w:r w:rsidR="00410356" w:rsidRPr="0038361F">
        <w:rPr>
          <w:rFonts w:ascii="Arial" w:hAnsi="Arial" w:cs="Arial"/>
          <w:sz w:val="22"/>
          <w:szCs w:val="22"/>
          <w:lang w:val="mk-MK"/>
        </w:rPr>
        <w:t xml:space="preserve"> повик </w:t>
      </w:r>
      <w:r w:rsidR="00410356" w:rsidRPr="0038361F">
        <w:rPr>
          <w:rFonts w:ascii="Arial" w:hAnsi="Arial" w:cs="Arial"/>
          <w:sz w:val="22"/>
          <w:szCs w:val="22"/>
          <w:lang w:val="mk-MK"/>
        </w:rPr>
        <w:lastRenderedPageBreak/>
        <w:t xml:space="preserve">01/2018 објавен во ноември 2018 година беше за доставување на </w:t>
      </w:r>
      <w:r w:rsidR="00410356" w:rsidRPr="002B2470">
        <w:rPr>
          <w:rFonts w:ascii="Arial" w:hAnsi="Arial" w:cs="Arial"/>
          <w:sz w:val="22"/>
          <w:szCs w:val="22"/>
          <w:lang w:val="mk-MK"/>
        </w:rPr>
        <w:t>барањаза</w:t>
      </w:r>
      <w:r w:rsidR="00410356" w:rsidRPr="0038361F">
        <w:rPr>
          <w:rFonts w:ascii="Arial" w:hAnsi="Arial" w:cs="Arial"/>
          <w:sz w:val="22"/>
          <w:szCs w:val="22"/>
          <w:lang w:val="mk-MK"/>
        </w:rPr>
        <w:t xml:space="preserve"> мерка 3. Јавниот повик 02/2018 беше отворен кон крајот на декември 2018 година за поднесување </w:t>
      </w:r>
      <w:r w:rsidR="00410356" w:rsidRPr="002B2470">
        <w:rPr>
          <w:rFonts w:ascii="Arial" w:hAnsi="Arial" w:cs="Arial"/>
          <w:sz w:val="22"/>
          <w:szCs w:val="22"/>
          <w:lang w:val="mk-MK"/>
        </w:rPr>
        <w:t>на барања</w:t>
      </w:r>
      <w:r w:rsidR="00410356" w:rsidRPr="0038361F">
        <w:rPr>
          <w:rFonts w:ascii="Arial" w:hAnsi="Arial" w:cs="Arial"/>
          <w:sz w:val="22"/>
          <w:szCs w:val="22"/>
          <w:lang w:val="mk-MK"/>
        </w:rPr>
        <w:t xml:space="preserve"> само </w:t>
      </w:r>
      <w:r w:rsidR="00410356" w:rsidRPr="002B2470">
        <w:rPr>
          <w:rFonts w:ascii="Arial" w:hAnsi="Arial" w:cs="Arial"/>
          <w:sz w:val="22"/>
          <w:szCs w:val="22"/>
          <w:lang w:val="mk-MK"/>
        </w:rPr>
        <w:t>за</w:t>
      </w:r>
      <w:r w:rsidR="00410356" w:rsidRPr="0038361F">
        <w:rPr>
          <w:rFonts w:ascii="Arial" w:hAnsi="Arial" w:cs="Arial"/>
          <w:sz w:val="22"/>
          <w:szCs w:val="22"/>
          <w:lang w:val="mk-MK"/>
        </w:rPr>
        <w:t xml:space="preserve"> мерка 1.</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35" w:name="_Toc8640199"/>
      <w:r w:rsidRPr="002B2470">
        <w:rPr>
          <w:rFonts w:ascii="Arial" w:eastAsia="Times New Roman" w:hAnsi="Arial" w:cs="Arial"/>
          <w:sz w:val="20"/>
          <w:szCs w:val="20"/>
          <w:lang w:val="mk-MK"/>
        </w:rPr>
        <w:t xml:space="preserve">Табела </w:t>
      </w:r>
      <w:r w:rsidR="001C2124" w:rsidRPr="00AD5130">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AD5130">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9</w:t>
      </w:r>
      <w:r w:rsidR="001C2124" w:rsidRPr="00AD5130">
        <w:rPr>
          <w:rFonts w:ascii="Arial" w:eastAsia="Times New Roman" w:hAnsi="Arial" w:cs="Arial"/>
          <w:i/>
          <w:sz w:val="20"/>
          <w:szCs w:val="20"/>
          <w:lang w:val="mk-MK"/>
        </w:rPr>
        <w:fldChar w:fldCharType="end"/>
      </w:r>
      <w:r w:rsidRPr="00AD5130">
        <w:rPr>
          <w:rFonts w:ascii="Arial" w:eastAsia="Times New Roman" w:hAnsi="Arial" w:cs="Arial"/>
          <w:sz w:val="20"/>
          <w:szCs w:val="20"/>
          <w:lang w:val="mk-MK"/>
        </w:rPr>
        <w:t xml:space="preserve">:Преглед на спроведување на ИПАРД по јавни повици во </w:t>
      </w:r>
      <w:r w:rsidRPr="0038361F">
        <w:rPr>
          <w:rFonts w:ascii="Arial" w:eastAsia="Times New Roman" w:hAnsi="Arial" w:cs="Arial"/>
          <w:sz w:val="20"/>
          <w:szCs w:val="20"/>
          <w:lang w:val="mk-MK"/>
        </w:rPr>
        <w:t>€</w:t>
      </w:r>
      <w:bookmarkEnd w:id="35"/>
    </w:p>
    <w:tbl>
      <w:tblPr>
        <w:tblpPr w:leftFromText="180" w:rightFromText="180" w:vertAnchor="text" w:horzAnchor="margin" w:tblpY="202"/>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006"/>
        <w:gridCol w:w="720"/>
        <w:gridCol w:w="1440"/>
        <w:gridCol w:w="630"/>
        <w:gridCol w:w="1440"/>
        <w:gridCol w:w="720"/>
        <w:gridCol w:w="1530"/>
        <w:gridCol w:w="1440"/>
      </w:tblGrid>
      <w:tr w:rsidR="00410356" w:rsidRPr="002B2470" w:rsidTr="00410356">
        <w:trPr>
          <w:trHeight w:val="275"/>
        </w:trPr>
        <w:tc>
          <w:tcPr>
            <w:tcW w:w="429" w:type="dxa"/>
            <w:vMerge w:val="restart"/>
            <w:tcBorders>
              <w:top w:val="single" w:sz="4" w:space="0" w:color="auto"/>
              <w:left w:val="single" w:sz="4" w:space="0" w:color="auto"/>
              <w:right w:val="single" w:sz="4" w:space="0" w:color="auto"/>
            </w:tcBorders>
            <w:shd w:val="clear" w:color="auto" w:fill="auto"/>
            <w:vAlign w:val="center"/>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p>
        </w:tc>
        <w:tc>
          <w:tcPr>
            <w:tcW w:w="1006" w:type="dxa"/>
            <w:vMerge w:val="restart"/>
            <w:tcBorders>
              <w:top w:val="single" w:sz="4" w:space="0" w:color="auto"/>
              <w:left w:val="single" w:sz="4" w:space="0" w:color="auto"/>
              <w:right w:val="single" w:sz="4" w:space="0" w:color="auto"/>
            </w:tcBorders>
            <w:shd w:val="clear" w:color="auto" w:fill="auto"/>
            <w:vAlign w:val="center"/>
          </w:tcPr>
          <w:p w:rsidR="00410356" w:rsidRPr="002B2470" w:rsidRDefault="00410356" w:rsidP="00410356">
            <w:pPr>
              <w:tabs>
                <w:tab w:val="left" w:pos="720"/>
              </w:tabs>
              <w:spacing w:after="0" w:line="240" w:lineRule="auto"/>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Јавен повик</w:t>
            </w:r>
          </w:p>
        </w:tc>
        <w:tc>
          <w:tcPr>
            <w:tcW w:w="6480" w:type="dxa"/>
            <w:gridSpan w:val="6"/>
            <w:tcBorders>
              <w:top w:val="single" w:sz="4" w:space="0" w:color="auto"/>
              <w:left w:val="single" w:sz="4" w:space="0" w:color="auto"/>
              <w:bottom w:val="single" w:sz="4" w:space="0" w:color="auto"/>
              <w:right w:val="single" w:sz="4" w:space="0" w:color="auto"/>
            </w:tcBorders>
            <w:shd w:val="clear" w:color="auto" w:fill="auto"/>
          </w:tcPr>
          <w:p w:rsidR="00410356" w:rsidRPr="002B2470"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Барања</w:t>
            </w:r>
          </w:p>
        </w:tc>
        <w:tc>
          <w:tcPr>
            <w:tcW w:w="1440" w:type="dxa"/>
            <w:vMerge w:val="restart"/>
            <w:tcBorders>
              <w:top w:val="single" w:sz="4" w:space="0" w:color="auto"/>
              <w:left w:val="single" w:sz="4" w:space="0" w:color="auto"/>
              <w:right w:val="single" w:sz="4" w:space="0" w:color="auto"/>
            </w:tcBorders>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8A22EF">
              <w:rPr>
                <w:rFonts w:ascii="Arial" w:eastAsia="Times New Roman" w:hAnsi="Arial" w:cs="Arial"/>
                <w:sz w:val="20"/>
                <w:szCs w:val="20"/>
                <w:lang w:val="mk-MK" w:eastAsia="zh-CN"/>
              </w:rPr>
              <w:t xml:space="preserve">Време на обработка </w:t>
            </w:r>
            <w:r w:rsidRPr="00AD5130">
              <w:rPr>
                <w:rFonts w:ascii="Arial" w:eastAsia="Times New Roman" w:hAnsi="Arial" w:cs="Arial"/>
                <w:sz w:val="20"/>
                <w:szCs w:val="20"/>
                <w:lang w:val="mk-MK" w:eastAsia="zh-CN"/>
              </w:rPr>
              <w:t>на барања</w:t>
            </w:r>
          </w:p>
        </w:tc>
      </w:tr>
      <w:tr w:rsidR="00410356" w:rsidRPr="002B2470" w:rsidTr="00410356">
        <w:trPr>
          <w:trHeight w:val="275"/>
        </w:trPr>
        <w:tc>
          <w:tcPr>
            <w:tcW w:w="429" w:type="dxa"/>
            <w:vMerge/>
            <w:tcBorders>
              <w:left w:val="single" w:sz="4" w:space="0" w:color="auto"/>
              <w:right w:val="single" w:sz="4" w:space="0" w:color="auto"/>
            </w:tcBorders>
            <w:shd w:val="clear" w:color="auto" w:fill="auto"/>
            <w:vAlign w:val="center"/>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p>
        </w:tc>
        <w:tc>
          <w:tcPr>
            <w:tcW w:w="1006" w:type="dxa"/>
            <w:vMerge/>
            <w:tcBorders>
              <w:left w:val="single" w:sz="4" w:space="0" w:color="auto"/>
              <w:right w:val="single" w:sz="4" w:space="0" w:color="auto"/>
            </w:tcBorders>
            <w:shd w:val="clear" w:color="auto" w:fill="auto"/>
            <w:vAlign w:val="center"/>
            <w:hideMark/>
          </w:tcPr>
          <w:p w:rsidR="00410356" w:rsidRPr="0038361F" w:rsidRDefault="00410356" w:rsidP="00410356">
            <w:pPr>
              <w:tabs>
                <w:tab w:val="left" w:pos="720"/>
              </w:tabs>
              <w:spacing w:after="0" w:line="240" w:lineRule="auto"/>
              <w:rPr>
                <w:rFonts w:ascii="Arial" w:eastAsia="Times New Roman" w:hAnsi="Arial" w:cs="Arial"/>
                <w:sz w:val="20"/>
                <w:szCs w:val="20"/>
                <w:lang w:val="mk-MK" w:eastAsia="zh-CN"/>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rsidR="00410356" w:rsidRPr="002B2470"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Поднесени</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Одобрени</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8A22E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8A22EF">
              <w:rPr>
                <w:rFonts w:ascii="Arial" w:eastAsia="Times New Roman" w:hAnsi="Arial" w:cs="Arial"/>
                <w:sz w:val="20"/>
                <w:szCs w:val="20"/>
                <w:lang w:val="mk-MK" w:eastAsia="zh-CN"/>
              </w:rPr>
              <w:t>Исплатени</w:t>
            </w:r>
          </w:p>
        </w:tc>
        <w:tc>
          <w:tcPr>
            <w:tcW w:w="1440" w:type="dxa"/>
            <w:vMerge/>
            <w:tcBorders>
              <w:left w:val="single" w:sz="4" w:space="0" w:color="auto"/>
              <w:right w:val="single" w:sz="4" w:space="0" w:color="auto"/>
            </w:tcBorders>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p>
        </w:tc>
      </w:tr>
      <w:tr w:rsidR="00410356" w:rsidRPr="002B2470" w:rsidTr="00410356">
        <w:trPr>
          <w:trHeight w:val="251"/>
        </w:trPr>
        <w:tc>
          <w:tcPr>
            <w:tcW w:w="429" w:type="dxa"/>
            <w:vMerge/>
            <w:tcBorders>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eastAsia="zh-CN"/>
              </w:rPr>
            </w:pPr>
          </w:p>
        </w:tc>
        <w:tc>
          <w:tcPr>
            <w:tcW w:w="1006" w:type="dxa"/>
            <w:vMerge/>
            <w:tcBorders>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410356" w:rsidRPr="0038361F" w:rsidRDefault="00410356" w:rsidP="00410356">
            <w:pPr>
              <w:tabs>
                <w:tab w:val="left" w:pos="720"/>
              </w:tabs>
              <w:spacing w:after="0" w:line="240" w:lineRule="auto"/>
              <w:ind w:right="-108"/>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Бр</w:t>
            </w:r>
            <w:r w:rsidRPr="0038361F">
              <w:rPr>
                <w:rFonts w:ascii="Arial" w:eastAsia="Times New Roman" w:hAnsi="Arial" w:cs="Arial"/>
                <w:sz w:val="20"/>
                <w:szCs w:val="20"/>
                <w:lang w:val="mk-MK" w:eastAsia="zh-CN"/>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10356" w:rsidRPr="002B2470"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bCs/>
                <w:sz w:val="20"/>
                <w:szCs w:val="20"/>
                <w:lang w:val="mk-MK" w:eastAsia="mk-MK"/>
              </w:rPr>
              <w:t>ЕУ придонес</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Бр</w:t>
            </w:r>
            <w:r w:rsidRPr="0038361F">
              <w:rPr>
                <w:rFonts w:ascii="Arial" w:eastAsia="Times New Roman" w:hAnsi="Arial" w:cs="Arial"/>
                <w:sz w:val="20"/>
                <w:szCs w:val="20"/>
                <w:lang w:val="mk-MK" w:eastAsia="zh-CN"/>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bCs/>
                <w:sz w:val="20"/>
                <w:szCs w:val="20"/>
                <w:lang w:val="mk-MK" w:eastAsia="mk-MK"/>
              </w:rPr>
              <w:t>ЕУ придонес</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sz w:val="20"/>
                <w:szCs w:val="20"/>
                <w:lang w:val="mk-MK" w:eastAsia="zh-CN"/>
              </w:rPr>
              <w:t>Бр</w:t>
            </w:r>
            <w:r w:rsidRPr="0038361F">
              <w:rPr>
                <w:rFonts w:ascii="Arial" w:eastAsia="Times New Roman" w:hAnsi="Arial" w:cs="Arial"/>
                <w:sz w:val="20"/>
                <w:szCs w:val="20"/>
                <w:lang w:val="mk-MK" w:eastAsia="zh-CN"/>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tabs>
                <w:tab w:val="left" w:pos="720"/>
              </w:tabs>
              <w:spacing w:after="0" w:line="240" w:lineRule="auto"/>
              <w:jc w:val="center"/>
              <w:rPr>
                <w:rFonts w:ascii="Arial" w:eastAsia="Times New Roman" w:hAnsi="Arial" w:cs="Arial"/>
                <w:sz w:val="20"/>
                <w:szCs w:val="20"/>
                <w:lang w:val="mk-MK" w:eastAsia="zh-CN"/>
              </w:rPr>
            </w:pPr>
            <w:r w:rsidRPr="002B2470">
              <w:rPr>
                <w:rFonts w:ascii="Arial" w:eastAsia="Times New Roman" w:hAnsi="Arial" w:cs="Arial"/>
                <w:bCs/>
                <w:sz w:val="20"/>
                <w:szCs w:val="20"/>
                <w:lang w:val="mk-MK" w:eastAsia="mk-MK"/>
              </w:rPr>
              <w:t>ЕУ придонес</w:t>
            </w:r>
          </w:p>
        </w:tc>
        <w:tc>
          <w:tcPr>
            <w:tcW w:w="1440" w:type="dxa"/>
            <w:vMerge/>
            <w:tcBorders>
              <w:left w:val="single" w:sz="4" w:space="0" w:color="auto"/>
              <w:bottom w:val="single" w:sz="4" w:space="0" w:color="auto"/>
              <w:right w:val="single" w:sz="4" w:space="0" w:color="auto"/>
            </w:tcBorders>
          </w:tcPr>
          <w:p w:rsidR="00410356" w:rsidRPr="0038361F" w:rsidRDefault="00410356" w:rsidP="00410356">
            <w:pPr>
              <w:tabs>
                <w:tab w:val="left" w:pos="720"/>
              </w:tabs>
              <w:spacing w:after="0" w:line="240" w:lineRule="auto"/>
              <w:jc w:val="center"/>
              <w:rPr>
                <w:rFonts w:ascii="Arial" w:eastAsia="Times New Roman" w:hAnsi="Arial" w:cs="Arial"/>
                <w:bCs/>
                <w:sz w:val="20"/>
                <w:szCs w:val="20"/>
                <w:lang w:val="mk-MK" w:eastAsia="mk-MK"/>
              </w:rPr>
            </w:pPr>
          </w:p>
        </w:tc>
      </w:tr>
      <w:tr w:rsidR="00410356" w:rsidRPr="002B2470" w:rsidTr="00410356">
        <w:trPr>
          <w:trHeight w:val="365"/>
        </w:trPr>
        <w:tc>
          <w:tcPr>
            <w:tcW w:w="429" w:type="dxa"/>
            <w:tcBorders>
              <w:top w:val="single" w:sz="4" w:space="0" w:color="auto"/>
              <w:left w:val="single" w:sz="4" w:space="0" w:color="auto"/>
              <w:bottom w:val="single" w:sz="4" w:space="0" w:color="auto"/>
              <w:right w:val="single" w:sz="4" w:space="0" w:color="auto"/>
            </w:tcBorders>
            <w:vAlign w:val="center"/>
            <w:hideMark/>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w:t>
            </w:r>
          </w:p>
        </w:tc>
        <w:tc>
          <w:tcPr>
            <w:tcW w:w="1006" w:type="dxa"/>
            <w:tcBorders>
              <w:top w:val="single" w:sz="4" w:space="0" w:color="auto"/>
              <w:left w:val="single" w:sz="4" w:space="0" w:color="auto"/>
              <w:bottom w:val="single" w:sz="4" w:space="0" w:color="auto"/>
              <w:right w:val="single" w:sz="4" w:space="0" w:color="auto"/>
            </w:tcBorders>
            <w:vAlign w:val="center"/>
            <w:hideMark/>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01/2017</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1.651</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72.333.821</w:t>
            </w:r>
          </w:p>
        </w:tc>
        <w:tc>
          <w:tcPr>
            <w:tcW w:w="6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955</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2B2470"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15</w:t>
            </w:r>
            <w:r w:rsidRPr="002B2470">
              <w:rPr>
                <w:rFonts w:ascii="Arial" w:eastAsia="Times New Roman" w:hAnsi="Arial" w:cs="Arial"/>
                <w:bCs/>
                <w:sz w:val="20"/>
                <w:szCs w:val="20"/>
                <w:lang w:val="mk-MK" w:eastAsia="mk-MK"/>
              </w:rPr>
              <w:t>.345.355</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127</w:t>
            </w:r>
          </w:p>
        </w:tc>
        <w:tc>
          <w:tcPr>
            <w:tcW w:w="153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1.002.784</w:t>
            </w:r>
          </w:p>
        </w:tc>
        <w:tc>
          <w:tcPr>
            <w:tcW w:w="1440" w:type="dxa"/>
            <w:tcBorders>
              <w:top w:val="single" w:sz="4" w:space="0" w:color="auto"/>
              <w:left w:val="single" w:sz="4" w:space="0" w:color="auto"/>
              <w:bottom w:val="single" w:sz="4" w:space="0" w:color="auto"/>
              <w:right w:val="single" w:sz="4" w:space="0" w:color="auto"/>
            </w:tcBorders>
          </w:tcPr>
          <w:p w:rsidR="00410356" w:rsidRPr="002B2470"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 xml:space="preserve">14 </w:t>
            </w:r>
            <w:r w:rsidRPr="002B2470">
              <w:rPr>
                <w:rFonts w:ascii="Arial" w:eastAsia="Times New Roman" w:hAnsi="Arial" w:cs="Arial"/>
                <w:bCs/>
                <w:sz w:val="20"/>
                <w:szCs w:val="20"/>
                <w:lang w:val="mk-MK" w:eastAsia="mk-MK"/>
              </w:rPr>
              <w:t>месеци</w:t>
            </w:r>
          </w:p>
        </w:tc>
      </w:tr>
      <w:tr w:rsidR="00410356" w:rsidRPr="002B2470" w:rsidTr="00410356">
        <w:trPr>
          <w:trHeight w:val="365"/>
        </w:trPr>
        <w:tc>
          <w:tcPr>
            <w:tcW w:w="429"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2</w:t>
            </w:r>
          </w:p>
        </w:tc>
        <w:tc>
          <w:tcPr>
            <w:tcW w:w="1006"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01/2018</w:t>
            </w:r>
            <w:r w:rsidRPr="0038361F">
              <w:rPr>
                <w:rStyle w:val="FootnoteReference"/>
                <w:rFonts w:ascii="Arial" w:eastAsia="Times New Roman" w:hAnsi="Arial" w:cs="Arial"/>
                <w:bCs/>
                <w:sz w:val="20"/>
                <w:szCs w:val="20"/>
                <w:lang w:val="mk-MK" w:eastAsia="mk-MK"/>
              </w:rPr>
              <w:footnoteReference w:id="2"/>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65</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15.306.611</w:t>
            </w:r>
          </w:p>
        </w:tc>
        <w:tc>
          <w:tcPr>
            <w:tcW w:w="6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5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440" w:type="dxa"/>
            <w:tcBorders>
              <w:top w:val="single" w:sz="4" w:space="0" w:color="auto"/>
              <w:left w:val="single" w:sz="4" w:space="0" w:color="auto"/>
              <w:bottom w:val="single" w:sz="4" w:space="0" w:color="auto"/>
              <w:right w:val="single" w:sz="4" w:space="0" w:color="auto"/>
            </w:tcBorders>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r>
      <w:tr w:rsidR="00410356" w:rsidRPr="002B2470" w:rsidTr="00410356">
        <w:trPr>
          <w:trHeight w:val="365"/>
        </w:trPr>
        <w:tc>
          <w:tcPr>
            <w:tcW w:w="429"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3</w:t>
            </w:r>
          </w:p>
        </w:tc>
        <w:tc>
          <w:tcPr>
            <w:tcW w:w="1006"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410356">
            <w:pPr>
              <w:spacing w:after="0" w:line="240" w:lineRule="auto"/>
              <w:ind w:right="-108"/>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02/2018</w:t>
            </w:r>
            <w:r w:rsidRPr="0038361F">
              <w:rPr>
                <w:rStyle w:val="FootnoteReference"/>
                <w:rFonts w:ascii="Arial" w:eastAsia="Times New Roman" w:hAnsi="Arial" w:cs="Arial"/>
                <w:bCs/>
                <w:sz w:val="20"/>
                <w:szCs w:val="20"/>
                <w:lang w:val="mk-MK" w:eastAsia="mk-MK"/>
              </w:rPr>
              <w:footnoteReference w:id="3"/>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1.099</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18.335.969</w:t>
            </w:r>
          </w:p>
        </w:tc>
        <w:tc>
          <w:tcPr>
            <w:tcW w:w="6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5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c>
          <w:tcPr>
            <w:tcW w:w="1440" w:type="dxa"/>
            <w:tcBorders>
              <w:top w:val="single" w:sz="4" w:space="0" w:color="auto"/>
              <w:left w:val="single" w:sz="4" w:space="0" w:color="auto"/>
              <w:bottom w:val="single" w:sz="4" w:space="0" w:color="auto"/>
              <w:right w:val="single" w:sz="4" w:space="0" w:color="auto"/>
            </w:tcBorders>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r>
      <w:tr w:rsidR="00410356" w:rsidRPr="002B2470" w:rsidTr="00410356">
        <w:trPr>
          <w:trHeight w:val="365"/>
        </w:trPr>
        <w:tc>
          <w:tcPr>
            <w:tcW w:w="1435" w:type="dxa"/>
            <w:gridSpan w:val="2"/>
            <w:tcBorders>
              <w:top w:val="single" w:sz="4" w:space="0" w:color="auto"/>
              <w:left w:val="single" w:sz="4" w:space="0" w:color="auto"/>
              <w:bottom w:val="single" w:sz="4" w:space="0" w:color="auto"/>
              <w:right w:val="single" w:sz="4" w:space="0" w:color="auto"/>
            </w:tcBorders>
            <w:vAlign w:val="center"/>
          </w:tcPr>
          <w:p w:rsidR="00410356" w:rsidRPr="002B2470" w:rsidRDefault="00410356" w:rsidP="00410356">
            <w:pPr>
              <w:spacing w:after="0" w:line="240" w:lineRule="auto"/>
              <w:ind w:right="-108"/>
              <w:rPr>
                <w:rFonts w:ascii="Arial" w:eastAsia="Times New Roman" w:hAnsi="Arial" w:cs="Arial"/>
                <w:bCs/>
                <w:sz w:val="20"/>
                <w:szCs w:val="20"/>
                <w:lang w:val="mk-MK" w:eastAsia="mk-MK"/>
              </w:rPr>
            </w:pPr>
            <w:r w:rsidRPr="002B2470">
              <w:rPr>
                <w:rFonts w:ascii="Arial" w:eastAsia="Times New Roman" w:hAnsi="Arial" w:cs="Arial"/>
                <w:bCs/>
                <w:sz w:val="20"/>
                <w:szCs w:val="20"/>
                <w:lang w:val="mk-MK" w:eastAsia="mk-MK"/>
              </w:rPr>
              <w:t>Вкупно</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2.568</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105.976.401</w:t>
            </w:r>
          </w:p>
        </w:tc>
        <w:tc>
          <w:tcPr>
            <w:tcW w:w="63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955</w:t>
            </w:r>
          </w:p>
        </w:tc>
        <w:tc>
          <w:tcPr>
            <w:tcW w:w="144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15.345.355</w:t>
            </w:r>
          </w:p>
        </w:tc>
        <w:tc>
          <w:tcPr>
            <w:tcW w:w="720" w:type="dxa"/>
            <w:tcBorders>
              <w:top w:val="single" w:sz="4" w:space="0" w:color="auto"/>
              <w:left w:val="single" w:sz="4" w:space="0" w:color="auto"/>
              <w:bottom w:val="single" w:sz="4" w:space="0" w:color="auto"/>
              <w:right w:val="single" w:sz="4" w:space="0" w:color="auto"/>
            </w:tcBorders>
            <w:vAlign w:val="center"/>
          </w:tcPr>
          <w:p w:rsidR="00410356" w:rsidRPr="0038361F" w:rsidRDefault="00410356" w:rsidP="00F16471">
            <w:pPr>
              <w:spacing w:after="0" w:line="240" w:lineRule="auto"/>
              <w:ind w:right="-108"/>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127</w:t>
            </w:r>
          </w:p>
        </w:tc>
        <w:tc>
          <w:tcPr>
            <w:tcW w:w="1530" w:type="dxa"/>
            <w:tcBorders>
              <w:top w:val="single" w:sz="4" w:space="0" w:color="auto"/>
              <w:left w:val="single" w:sz="4" w:space="0" w:color="auto"/>
              <w:bottom w:val="single" w:sz="4" w:space="0" w:color="auto"/>
              <w:right w:val="single" w:sz="4" w:space="0" w:color="auto"/>
            </w:tcBorders>
            <w:vAlign w:val="center"/>
          </w:tcPr>
          <w:p w:rsidR="00410356" w:rsidRPr="0038361F" w:rsidRDefault="00F16471"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1.002.784</w:t>
            </w:r>
          </w:p>
        </w:tc>
        <w:tc>
          <w:tcPr>
            <w:tcW w:w="1440" w:type="dxa"/>
            <w:tcBorders>
              <w:top w:val="single" w:sz="4" w:space="0" w:color="auto"/>
              <w:left w:val="single" w:sz="4" w:space="0" w:color="auto"/>
              <w:bottom w:val="single" w:sz="4" w:space="0" w:color="auto"/>
              <w:right w:val="single" w:sz="4" w:space="0" w:color="auto"/>
            </w:tcBorders>
          </w:tcPr>
          <w:p w:rsidR="00410356" w:rsidRPr="0038361F" w:rsidRDefault="00410356" w:rsidP="00F16471">
            <w:pPr>
              <w:spacing w:after="0" w:line="240" w:lineRule="auto"/>
              <w:jc w:val="center"/>
              <w:rPr>
                <w:rFonts w:ascii="Arial" w:eastAsia="Times New Roman" w:hAnsi="Arial" w:cs="Arial"/>
                <w:bCs/>
                <w:sz w:val="20"/>
                <w:szCs w:val="20"/>
                <w:lang w:val="mk-MK" w:eastAsia="mk-MK"/>
              </w:rPr>
            </w:pPr>
            <w:r w:rsidRPr="0038361F">
              <w:rPr>
                <w:rFonts w:ascii="Arial" w:eastAsia="Times New Roman" w:hAnsi="Arial" w:cs="Arial"/>
                <w:bCs/>
                <w:sz w:val="20"/>
                <w:szCs w:val="20"/>
                <w:lang w:val="mk-MK" w:eastAsia="mk-MK"/>
              </w:rPr>
              <w:t>/</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rPr>
      </w:pPr>
      <w:r w:rsidRPr="002B2470">
        <w:rPr>
          <w:rFonts w:ascii="Arial" w:hAnsi="Arial" w:cs="Arial"/>
          <w:sz w:val="18"/>
          <w:szCs w:val="18"/>
          <w:lang w:val="mk-MK"/>
        </w:rPr>
        <w:t>Извор: ИПАРД Агенција</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Процесот на обработка и одобрување на </w:t>
      </w:r>
      <w:r w:rsidRPr="002B2470">
        <w:rPr>
          <w:rFonts w:ascii="Arial" w:hAnsi="Arial" w:cs="Arial"/>
          <w:sz w:val="22"/>
          <w:szCs w:val="22"/>
          <w:lang w:val="mk-MK"/>
        </w:rPr>
        <w:t>барањата</w:t>
      </w:r>
      <w:r w:rsidRPr="0038361F">
        <w:rPr>
          <w:rFonts w:ascii="Arial" w:hAnsi="Arial" w:cs="Arial"/>
          <w:sz w:val="22"/>
          <w:szCs w:val="22"/>
          <w:lang w:val="mk-MK"/>
        </w:rPr>
        <w:t xml:space="preserve"> поднесени на првиот јавен повик траеше многу време. Јавниот повик објавен во април 2017 година ги имаше првите договори за мерка 1 склучени по 14 месеци (јуни 2018 година). Доцнењата во процесот на одобрување на барањата ја ограничуваат можноста за објавување на нови јавни повици. Причините за оваа ситуација се недостатокот на персонал во ИПАРД Агенцијата, големите процедури за контрола на стандардите, особено времето потребно за проверка на цената на понудите.</w:t>
      </w:r>
    </w:p>
    <w:p w:rsidR="00410356" w:rsidRPr="002B2470" w:rsidRDefault="00410356" w:rsidP="00410356">
      <w:pPr>
        <w:pStyle w:val="m343668044302477783m-3986873246552044066msolistparagraph"/>
        <w:spacing w:before="120" w:beforeAutospacing="0" w:after="120" w:afterAutospacing="0"/>
        <w:jc w:val="both"/>
        <w:rPr>
          <w:rFonts w:ascii="Arial" w:eastAsia="Times New Roman" w:hAnsi="Arial" w:cs="Arial"/>
          <w:sz w:val="20"/>
          <w:szCs w:val="20"/>
          <w:lang w:val="mk-MK"/>
        </w:rPr>
      </w:pPr>
      <w:bookmarkStart w:id="36" w:name="_Toc8640200"/>
      <w:r w:rsidRPr="002B2470">
        <w:rPr>
          <w:rFonts w:ascii="Arial" w:hAnsi="Arial" w:cs="Arial"/>
          <w:sz w:val="20"/>
          <w:szCs w:val="20"/>
          <w:lang w:val="mk-MK"/>
        </w:rPr>
        <w:t>Табела</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10</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:Показатели за квалитетот на спроведување</w:t>
      </w:r>
      <w:bookmarkEnd w:id="36"/>
    </w:p>
    <w:tbl>
      <w:tblPr>
        <w:tblStyle w:val="TableGrid"/>
        <w:tblW w:w="0" w:type="auto"/>
        <w:tblLook w:val="04A0" w:firstRow="1" w:lastRow="0" w:firstColumn="1" w:lastColumn="0" w:noHBand="0" w:noVBand="1"/>
      </w:tblPr>
      <w:tblGrid>
        <w:gridCol w:w="5485"/>
        <w:gridCol w:w="1440"/>
      </w:tblGrid>
      <w:tr w:rsidR="00410356" w:rsidRPr="002B2470" w:rsidTr="00410356">
        <w:tc>
          <w:tcPr>
            <w:tcW w:w="548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2B2470">
              <w:rPr>
                <w:rFonts w:ascii="Arial" w:hAnsi="Arial" w:cs="Arial"/>
                <w:sz w:val="20"/>
                <w:szCs w:val="20"/>
                <w:lang w:val="mk-MK"/>
              </w:rPr>
              <w:t>Вкупно поднесени барања</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2.568</w:t>
            </w:r>
          </w:p>
        </w:tc>
      </w:tr>
      <w:tr w:rsidR="00410356" w:rsidRPr="002B2470" w:rsidTr="00410356">
        <w:tc>
          <w:tcPr>
            <w:tcW w:w="548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2B2470">
              <w:rPr>
                <w:rFonts w:ascii="Arial" w:eastAsia="Times New Roman" w:hAnsi="Arial" w:cs="Arial"/>
                <w:sz w:val="20"/>
                <w:szCs w:val="20"/>
                <w:lang w:val="mk-MK"/>
              </w:rPr>
              <w:t>Број на склучени договори</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955</w:t>
            </w:r>
          </w:p>
        </w:tc>
      </w:tr>
      <w:tr w:rsidR="00410356" w:rsidRPr="002B2470" w:rsidTr="00410356">
        <w:tc>
          <w:tcPr>
            <w:tcW w:w="548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2B2470">
              <w:rPr>
                <w:rFonts w:ascii="Arial" w:eastAsia="Times New Roman" w:hAnsi="Arial" w:cs="Arial"/>
                <w:sz w:val="20"/>
                <w:szCs w:val="20"/>
                <w:lang w:val="mk-MK"/>
              </w:rPr>
              <w:t>Број на исплатени договори</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127</w:t>
            </w:r>
          </w:p>
        </w:tc>
      </w:tr>
      <w:tr w:rsidR="00410356" w:rsidRPr="002B2470" w:rsidTr="00410356">
        <w:tc>
          <w:tcPr>
            <w:tcW w:w="5485" w:type="dxa"/>
          </w:tcPr>
          <w:p w:rsidR="00410356" w:rsidRPr="0038361F" w:rsidRDefault="00410356" w:rsidP="00410356">
            <w:pPr>
              <w:rPr>
                <w:rFonts w:ascii="Arial" w:eastAsia="Times New Roman" w:hAnsi="Arial" w:cs="Arial"/>
                <w:sz w:val="20"/>
                <w:szCs w:val="20"/>
                <w:lang w:val="mk-MK"/>
              </w:rPr>
            </w:pPr>
            <w:r w:rsidRPr="002B2470">
              <w:rPr>
                <w:rFonts w:ascii="Arial" w:eastAsia="Times New Roman" w:hAnsi="Arial" w:cs="Arial"/>
                <w:sz w:val="20"/>
                <w:szCs w:val="20"/>
                <w:lang w:val="mk-MK"/>
              </w:rPr>
              <w:t>Број на раскинати договори</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6</w:t>
            </w:r>
          </w:p>
        </w:tc>
      </w:tr>
      <w:tr w:rsidR="00410356" w:rsidRPr="002B2470" w:rsidTr="00410356">
        <w:tc>
          <w:tcPr>
            <w:tcW w:w="548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38361F">
              <w:rPr>
                <w:rFonts w:ascii="Arial" w:hAnsi="Arial" w:cs="Arial"/>
                <w:sz w:val="20"/>
                <w:szCs w:val="20"/>
                <w:lang w:val="mk-MK"/>
              </w:rPr>
              <w:t xml:space="preserve">% </w:t>
            </w:r>
            <w:r w:rsidRPr="002B2470">
              <w:rPr>
                <w:rFonts w:ascii="Arial" w:hAnsi="Arial" w:cs="Arial"/>
                <w:sz w:val="20"/>
                <w:szCs w:val="20"/>
                <w:lang w:val="mk-MK"/>
              </w:rPr>
              <w:t>на одобрени барања</w:t>
            </w:r>
            <w:r w:rsidRPr="0038361F">
              <w:rPr>
                <w:rFonts w:ascii="Arial" w:hAnsi="Arial" w:cs="Arial"/>
                <w:sz w:val="20"/>
                <w:szCs w:val="20"/>
                <w:lang w:val="mk-MK"/>
              </w:rPr>
              <w:t xml:space="preserve"> (</w:t>
            </w:r>
            <w:r w:rsidRPr="002B2470">
              <w:rPr>
                <w:rFonts w:ascii="Arial" w:hAnsi="Arial" w:cs="Arial"/>
                <w:sz w:val="20"/>
                <w:szCs w:val="20"/>
                <w:lang w:val="mk-MK"/>
              </w:rPr>
              <w:t>одобрени</w:t>
            </w:r>
            <w:r w:rsidRPr="0038361F">
              <w:rPr>
                <w:rFonts w:ascii="Arial" w:hAnsi="Arial" w:cs="Arial"/>
                <w:sz w:val="20"/>
                <w:szCs w:val="20"/>
                <w:lang w:val="mk-MK"/>
              </w:rPr>
              <w:t>/</w:t>
            </w:r>
            <w:r w:rsidRPr="002B2470">
              <w:rPr>
                <w:rFonts w:ascii="Arial" w:hAnsi="Arial" w:cs="Arial"/>
                <w:sz w:val="20"/>
                <w:szCs w:val="20"/>
                <w:lang w:val="mk-MK"/>
              </w:rPr>
              <w:t>поднесени</w:t>
            </w:r>
            <w:r w:rsidRPr="0038361F">
              <w:rPr>
                <w:rFonts w:ascii="Arial" w:hAnsi="Arial" w:cs="Arial"/>
                <w:sz w:val="20"/>
                <w:szCs w:val="20"/>
                <w:lang w:val="mk-MK"/>
              </w:rPr>
              <w:t>)</w:t>
            </w:r>
          </w:p>
        </w:tc>
        <w:tc>
          <w:tcPr>
            <w:tcW w:w="1440" w:type="dxa"/>
          </w:tcPr>
          <w:p w:rsidR="00410356" w:rsidRPr="0038361F" w:rsidRDefault="00DD1B8E"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33</w:t>
            </w:r>
          </w:p>
        </w:tc>
      </w:tr>
      <w:tr w:rsidR="00410356" w:rsidRPr="002B2470" w:rsidTr="00410356">
        <w:tc>
          <w:tcPr>
            <w:tcW w:w="5485" w:type="dxa"/>
          </w:tcPr>
          <w:p w:rsidR="00410356" w:rsidRPr="0038361F" w:rsidRDefault="00410356" w:rsidP="00410356">
            <w:pPr>
              <w:pStyle w:val="m343668044302477783m-3986873246552044066msolistparagraph"/>
              <w:spacing w:before="0" w:beforeAutospacing="0" w:after="0" w:afterAutospacing="0"/>
              <w:jc w:val="both"/>
              <w:rPr>
                <w:rFonts w:ascii="Arial" w:hAnsi="Arial" w:cs="Arial"/>
                <w:sz w:val="20"/>
                <w:szCs w:val="20"/>
                <w:lang w:val="mk-MK"/>
              </w:rPr>
            </w:pPr>
            <w:r w:rsidRPr="0038361F">
              <w:rPr>
                <w:rFonts w:ascii="Arial" w:hAnsi="Arial" w:cs="Arial"/>
                <w:sz w:val="20"/>
                <w:szCs w:val="20"/>
                <w:lang w:val="mk-MK"/>
              </w:rPr>
              <w:t xml:space="preserve">% </w:t>
            </w:r>
            <w:r w:rsidRPr="002B2470">
              <w:rPr>
                <w:rFonts w:ascii="Arial" w:hAnsi="Arial" w:cs="Arial"/>
                <w:sz w:val="20"/>
                <w:szCs w:val="20"/>
                <w:lang w:val="mk-MK"/>
              </w:rPr>
              <w:t>на раскинување на договори</w:t>
            </w:r>
            <w:r w:rsidRPr="0038361F">
              <w:rPr>
                <w:rFonts w:ascii="Arial" w:hAnsi="Arial" w:cs="Arial"/>
                <w:sz w:val="20"/>
                <w:szCs w:val="20"/>
                <w:lang w:val="mk-MK"/>
              </w:rPr>
              <w:t xml:space="preserve"> (</w:t>
            </w:r>
            <w:r w:rsidRPr="002B2470">
              <w:rPr>
                <w:rFonts w:ascii="Arial" w:hAnsi="Arial" w:cs="Arial"/>
                <w:sz w:val="20"/>
                <w:szCs w:val="20"/>
                <w:lang w:val="mk-MK"/>
              </w:rPr>
              <w:t>раскинати</w:t>
            </w:r>
            <w:r w:rsidRPr="0038361F">
              <w:rPr>
                <w:rFonts w:ascii="Arial" w:hAnsi="Arial" w:cs="Arial"/>
                <w:sz w:val="20"/>
                <w:szCs w:val="20"/>
                <w:lang w:val="mk-MK"/>
              </w:rPr>
              <w:t>/</w:t>
            </w:r>
            <w:r w:rsidRPr="002B2470">
              <w:rPr>
                <w:rFonts w:ascii="Arial" w:hAnsi="Arial" w:cs="Arial"/>
                <w:sz w:val="20"/>
                <w:szCs w:val="20"/>
                <w:lang w:val="mk-MK"/>
              </w:rPr>
              <w:t>одобрени</w:t>
            </w:r>
            <w:r w:rsidRPr="0038361F">
              <w:rPr>
                <w:rFonts w:ascii="Arial" w:hAnsi="Arial" w:cs="Arial"/>
                <w:sz w:val="20"/>
                <w:szCs w:val="20"/>
                <w:lang w:val="mk-MK"/>
              </w:rPr>
              <w:t>)</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0,6</w:t>
            </w:r>
          </w:p>
        </w:tc>
      </w:tr>
      <w:tr w:rsidR="00410356" w:rsidRPr="002B2470" w:rsidTr="00410356">
        <w:tc>
          <w:tcPr>
            <w:tcW w:w="5485" w:type="dxa"/>
          </w:tcPr>
          <w:p w:rsidR="00410356" w:rsidRPr="0038361F" w:rsidRDefault="00E40090" w:rsidP="00410356">
            <w:pPr>
              <w:pStyle w:val="m343668044302477783m-3986873246552044066msolistparagraph"/>
              <w:spacing w:before="0" w:beforeAutospacing="0" w:after="0" w:afterAutospacing="0"/>
              <w:jc w:val="both"/>
              <w:rPr>
                <w:rFonts w:ascii="Arial" w:hAnsi="Arial" w:cs="Arial"/>
                <w:sz w:val="20"/>
                <w:szCs w:val="20"/>
                <w:lang w:val="mk-MK"/>
              </w:rPr>
            </w:pPr>
            <w:r w:rsidRPr="0038361F">
              <w:rPr>
                <w:rFonts w:ascii="Arial" w:hAnsi="Arial" w:cs="Arial"/>
                <w:sz w:val="20"/>
                <w:szCs w:val="20"/>
                <w:lang w:val="mk-MK"/>
              </w:rPr>
              <w:t xml:space="preserve">% </w:t>
            </w:r>
            <w:r w:rsidR="00410356" w:rsidRPr="002B2470">
              <w:rPr>
                <w:rFonts w:ascii="Arial" w:hAnsi="Arial" w:cs="Arial"/>
                <w:sz w:val="20"/>
                <w:szCs w:val="20"/>
                <w:lang w:val="mk-MK"/>
              </w:rPr>
              <w:t xml:space="preserve">на исплатени договори </w:t>
            </w:r>
            <w:r w:rsidR="00410356" w:rsidRPr="0038361F">
              <w:rPr>
                <w:rFonts w:ascii="Arial" w:hAnsi="Arial" w:cs="Arial"/>
                <w:sz w:val="20"/>
                <w:szCs w:val="20"/>
                <w:lang w:val="mk-MK"/>
              </w:rPr>
              <w:t>(</w:t>
            </w:r>
            <w:r w:rsidR="00410356" w:rsidRPr="002B2470">
              <w:rPr>
                <w:rFonts w:ascii="Arial" w:hAnsi="Arial" w:cs="Arial"/>
                <w:sz w:val="20"/>
                <w:szCs w:val="20"/>
                <w:lang w:val="mk-MK"/>
              </w:rPr>
              <w:t>исплатени</w:t>
            </w:r>
            <w:r w:rsidR="00410356" w:rsidRPr="0038361F">
              <w:rPr>
                <w:rFonts w:ascii="Arial" w:hAnsi="Arial" w:cs="Arial"/>
                <w:sz w:val="20"/>
                <w:szCs w:val="20"/>
                <w:lang w:val="mk-MK"/>
              </w:rPr>
              <w:t>/(</w:t>
            </w:r>
            <w:r w:rsidR="00410356" w:rsidRPr="002B2470">
              <w:rPr>
                <w:rFonts w:ascii="Arial" w:hAnsi="Arial" w:cs="Arial"/>
                <w:sz w:val="20"/>
                <w:szCs w:val="20"/>
                <w:lang w:val="mk-MK"/>
              </w:rPr>
              <w:t>одобрени</w:t>
            </w:r>
            <w:r w:rsidR="00410356" w:rsidRPr="0038361F">
              <w:rPr>
                <w:rFonts w:ascii="Arial" w:hAnsi="Arial" w:cs="Arial"/>
                <w:sz w:val="20"/>
                <w:szCs w:val="20"/>
                <w:lang w:val="mk-MK"/>
              </w:rPr>
              <w:t xml:space="preserve"> - </w:t>
            </w:r>
            <w:r w:rsidR="00410356" w:rsidRPr="002B2470">
              <w:rPr>
                <w:rFonts w:ascii="Arial" w:hAnsi="Arial" w:cs="Arial"/>
                <w:sz w:val="20"/>
                <w:szCs w:val="20"/>
                <w:lang w:val="mk-MK"/>
              </w:rPr>
              <w:t>раскинати</w:t>
            </w:r>
            <w:r w:rsidR="00410356" w:rsidRPr="0038361F">
              <w:rPr>
                <w:rFonts w:ascii="Arial" w:hAnsi="Arial" w:cs="Arial"/>
                <w:sz w:val="20"/>
                <w:szCs w:val="20"/>
                <w:lang w:val="mk-MK"/>
              </w:rPr>
              <w:t>)</w:t>
            </w:r>
          </w:p>
        </w:tc>
        <w:tc>
          <w:tcPr>
            <w:tcW w:w="1440" w:type="dxa"/>
          </w:tcPr>
          <w:p w:rsidR="00410356" w:rsidRPr="0038361F" w:rsidRDefault="00410356" w:rsidP="00410356">
            <w:pPr>
              <w:pStyle w:val="m343668044302477783m-3986873246552044066msolistparagraph"/>
              <w:spacing w:before="0" w:beforeAutospacing="0" w:after="0" w:afterAutospacing="0"/>
              <w:jc w:val="center"/>
              <w:rPr>
                <w:rFonts w:ascii="Arial" w:hAnsi="Arial" w:cs="Arial"/>
                <w:sz w:val="20"/>
                <w:szCs w:val="20"/>
                <w:lang w:val="mk-MK"/>
              </w:rPr>
            </w:pPr>
            <w:r w:rsidRPr="0038361F">
              <w:rPr>
                <w:rFonts w:ascii="Arial" w:hAnsi="Arial" w:cs="Arial"/>
                <w:sz w:val="20"/>
                <w:szCs w:val="20"/>
                <w:lang w:val="mk-MK"/>
              </w:rPr>
              <w:t>13</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rPr>
      </w:pPr>
    </w:p>
    <w:p w:rsidR="00410356" w:rsidRPr="0038361F" w:rsidRDefault="00410356" w:rsidP="009B65D1">
      <w:pPr>
        <w:pStyle w:val="ListParagraph"/>
        <w:numPr>
          <w:ilvl w:val="1"/>
          <w:numId w:val="36"/>
        </w:numPr>
        <w:spacing w:before="120" w:after="0" w:line="240" w:lineRule="auto"/>
        <w:jc w:val="both"/>
        <w:outlineLvl w:val="1"/>
        <w:rPr>
          <w:rFonts w:ascii="Arial" w:hAnsi="Arial" w:cs="Arial"/>
          <w:b/>
          <w:lang w:val="mk-MK"/>
        </w:rPr>
      </w:pPr>
      <w:bookmarkStart w:id="37" w:name="_Toc7520955"/>
      <w:bookmarkStart w:id="38" w:name="_Toc8639870"/>
      <w:r w:rsidRPr="002B2470">
        <w:rPr>
          <w:rFonts w:ascii="Arial" w:hAnsi="Arial" w:cs="Arial"/>
          <w:b/>
          <w:lang w:val="mk-MK"/>
        </w:rPr>
        <w:t>Мерка</w:t>
      </w:r>
      <w:r w:rsidRPr="0038361F">
        <w:rPr>
          <w:rFonts w:ascii="Arial" w:hAnsi="Arial" w:cs="Arial"/>
          <w:b/>
          <w:lang w:val="mk-MK"/>
        </w:rPr>
        <w:t xml:space="preserve"> 1 – </w:t>
      </w:r>
      <w:r w:rsidRPr="002B2470">
        <w:rPr>
          <w:rFonts w:ascii="Arial" w:hAnsi="Arial" w:cs="Arial"/>
          <w:b/>
          <w:lang w:val="mk-MK"/>
        </w:rPr>
        <w:t>Инвестиции во физички средства на земјоделски стопанства</w:t>
      </w:r>
      <w:bookmarkEnd w:id="37"/>
      <w:bookmarkEnd w:id="38"/>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Во текот на извештајниот период, бројот на проекти поднесени </w:t>
      </w:r>
      <w:r w:rsidRPr="002B2470">
        <w:rPr>
          <w:rFonts w:ascii="Arial" w:hAnsi="Arial" w:cs="Arial"/>
          <w:sz w:val="22"/>
          <w:szCs w:val="22"/>
          <w:lang w:val="mk-MK"/>
        </w:rPr>
        <w:t>во</w:t>
      </w:r>
      <w:r w:rsidRPr="0038361F">
        <w:rPr>
          <w:rFonts w:ascii="Arial" w:hAnsi="Arial" w:cs="Arial"/>
          <w:sz w:val="22"/>
          <w:szCs w:val="22"/>
          <w:lang w:val="mk-MK"/>
        </w:rPr>
        <w:t xml:space="preserve"> Мерката 1 достигна 1.404 (17.959.245 ЕУ придонес). Договорите се потпишани со 902 </w:t>
      </w:r>
      <w:r w:rsidRPr="002B2470">
        <w:rPr>
          <w:rFonts w:ascii="Arial" w:hAnsi="Arial" w:cs="Arial"/>
          <w:sz w:val="22"/>
          <w:szCs w:val="22"/>
          <w:lang w:val="mk-MK"/>
        </w:rPr>
        <w:t>баратели</w:t>
      </w:r>
      <w:r w:rsidRPr="0038361F">
        <w:rPr>
          <w:rFonts w:ascii="Arial" w:hAnsi="Arial" w:cs="Arial"/>
          <w:sz w:val="22"/>
          <w:szCs w:val="22"/>
          <w:lang w:val="mk-MK"/>
        </w:rPr>
        <w:t xml:space="preserve"> (8.127.123 ЕУ придонес)</w:t>
      </w:r>
      <w:r w:rsidRPr="002B2470">
        <w:rPr>
          <w:rFonts w:ascii="Arial" w:hAnsi="Arial" w:cs="Arial"/>
          <w:sz w:val="22"/>
          <w:szCs w:val="22"/>
          <w:lang w:val="mk-MK"/>
        </w:rPr>
        <w:t>,а</w:t>
      </w:r>
      <w:r w:rsidRPr="0038361F">
        <w:rPr>
          <w:rFonts w:ascii="Arial" w:hAnsi="Arial" w:cs="Arial"/>
          <w:sz w:val="22"/>
          <w:szCs w:val="22"/>
          <w:lang w:val="mk-MK"/>
        </w:rPr>
        <w:t xml:space="preserve"> 6 од нив (17.749 ЕУ придонес) беа </w:t>
      </w:r>
      <w:r w:rsidRPr="002B2470">
        <w:rPr>
          <w:rFonts w:ascii="Arial" w:hAnsi="Arial" w:cs="Arial"/>
          <w:sz w:val="22"/>
          <w:szCs w:val="22"/>
          <w:lang w:val="mk-MK"/>
        </w:rPr>
        <w:t>раскинати</w:t>
      </w:r>
      <w:r w:rsidRPr="0038361F">
        <w:rPr>
          <w:rFonts w:ascii="Arial" w:hAnsi="Arial" w:cs="Arial"/>
          <w:sz w:val="22"/>
          <w:szCs w:val="22"/>
          <w:lang w:val="mk-MK"/>
        </w:rPr>
        <w:t xml:space="preserve"> од страна на Агенцијата. Плаќањето на договорите достигна 116 (452.875 ЕУ придонес).</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eastAsia="en-US"/>
        </w:rPr>
      </w:pPr>
      <w:bookmarkStart w:id="39" w:name="_Toc8640201"/>
      <w:r w:rsidRPr="002B2470">
        <w:rPr>
          <w:rFonts w:ascii="Arial" w:eastAsia="Times New Roman" w:hAnsi="Arial" w:cs="Arial"/>
          <w:sz w:val="20"/>
          <w:szCs w:val="20"/>
          <w:lang w:val="mk-MK"/>
        </w:rPr>
        <w:t xml:space="preserve">Табела </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11</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 xml:space="preserve">:Преглед на исполнувањето на целите по барања во Мерка </w:t>
      </w:r>
      <w:r w:rsidRPr="0038361F">
        <w:rPr>
          <w:rFonts w:ascii="Arial" w:hAnsi="Arial" w:cs="Arial"/>
          <w:sz w:val="20"/>
          <w:szCs w:val="20"/>
          <w:lang w:val="mk-MK"/>
        </w:rPr>
        <w:t>1</w:t>
      </w:r>
      <w:bookmarkEnd w:id="39"/>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1"/>
        <w:gridCol w:w="1278"/>
        <w:gridCol w:w="1283"/>
        <w:gridCol w:w="1331"/>
      </w:tblGrid>
      <w:tr w:rsidR="00410356" w:rsidRPr="002B2470" w:rsidTr="00FC2EC4">
        <w:trPr>
          <w:trHeight w:val="510"/>
        </w:trPr>
        <w:tc>
          <w:tcPr>
            <w:tcW w:w="5351" w:type="dxa"/>
            <w:shd w:val="clear" w:color="auto" w:fill="auto"/>
            <w:noWrap/>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Цели на мерката</w:t>
            </w:r>
          </w:p>
        </w:tc>
        <w:tc>
          <w:tcPr>
            <w:tcW w:w="1278" w:type="dxa"/>
            <w:shd w:val="clear" w:color="auto" w:fill="auto"/>
            <w:noWrap/>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tc>
        <w:tc>
          <w:tcPr>
            <w:tcW w:w="1283" w:type="dxa"/>
            <w:shd w:val="clear" w:color="auto" w:fill="auto"/>
            <w:noWrap/>
            <w:vAlign w:val="center"/>
            <w:hideMark/>
          </w:tcPr>
          <w:p w:rsidR="00410356" w:rsidRPr="008A22EF" w:rsidRDefault="00410356" w:rsidP="00410356">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Одобрени</w:t>
            </w:r>
          </w:p>
        </w:tc>
        <w:tc>
          <w:tcPr>
            <w:tcW w:w="1331" w:type="dxa"/>
            <w:shd w:val="clear" w:color="auto" w:fill="auto"/>
            <w:noWrap/>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r>
      <w:tr w:rsidR="00410356" w:rsidRPr="002B2470" w:rsidTr="00FC2EC4">
        <w:trPr>
          <w:trHeight w:val="555"/>
        </w:trPr>
        <w:tc>
          <w:tcPr>
            <w:tcW w:w="5351"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 xml:space="preserve">Подобрување на вкупните перформанси на земјоделските стопанства </w:t>
            </w:r>
            <w:r w:rsidRPr="002B2470">
              <w:rPr>
                <w:rFonts w:ascii="Arial" w:eastAsia="Times New Roman" w:hAnsi="Arial" w:cs="Arial"/>
                <w:sz w:val="20"/>
                <w:szCs w:val="20"/>
                <w:lang w:val="mk-MK"/>
              </w:rPr>
              <w:t>за</w:t>
            </w:r>
            <w:r w:rsidRPr="0038361F">
              <w:rPr>
                <w:rFonts w:ascii="Arial" w:eastAsia="Times New Roman" w:hAnsi="Arial" w:cs="Arial"/>
                <w:sz w:val="20"/>
                <w:szCs w:val="20"/>
                <w:lang w:val="mk-MK"/>
              </w:rPr>
              <w:t xml:space="preserve"> производството на примарни земјоделски производи</w:t>
            </w:r>
          </w:p>
        </w:tc>
        <w:tc>
          <w:tcPr>
            <w:tcW w:w="127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642</w:t>
            </w:r>
          </w:p>
        </w:tc>
        <w:tc>
          <w:tcPr>
            <w:tcW w:w="128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392</w:t>
            </w:r>
          </w:p>
        </w:tc>
        <w:tc>
          <w:tcPr>
            <w:tcW w:w="1331"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39</w:t>
            </w:r>
          </w:p>
        </w:tc>
      </w:tr>
      <w:tr w:rsidR="00410356" w:rsidRPr="002B2470" w:rsidTr="00FC2EC4">
        <w:trPr>
          <w:trHeight w:val="570"/>
        </w:trPr>
        <w:tc>
          <w:tcPr>
            <w:tcW w:w="5351" w:type="dxa"/>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 xml:space="preserve">Привлекување на младите луѓе во земјоделските активности преку подобрување на нивниот живот и работните услови, како и обезбедување на хигиена и благосостојба на </w:t>
            </w:r>
            <w:r w:rsidRPr="002B2470">
              <w:rPr>
                <w:rFonts w:ascii="Arial" w:eastAsia="Times New Roman" w:hAnsi="Arial" w:cs="Arial"/>
                <w:sz w:val="20"/>
                <w:szCs w:val="20"/>
                <w:lang w:val="mk-MK"/>
              </w:rPr>
              <w:t>животните</w:t>
            </w:r>
          </w:p>
        </w:tc>
        <w:tc>
          <w:tcPr>
            <w:tcW w:w="127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490</w:t>
            </w:r>
          </w:p>
        </w:tc>
        <w:tc>
          <w:tcPr>
            <w:tcW w:w="128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325</w:t>
            </w:r>
          </w:p>
        </w:tc>
        <w:tc>
          <w:tcPr>
            <w:tcW w:w="1331"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50</w:t>
            </w:r>
          </w:p>
        </w:tc>
      </w:tr>
      <w:tr w:rsidR="00410356" w:rsidRPr="002B2470" w:rsidTr="00FC2EC4">
        <w:trPr>
          <w:trHeight w:val="780"/>
        </w:trPr>
        <w:tc>
          <w:tcPr>
            <w:tcW w:w="5351"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lastRenderedPageBreak/>
              <w:t xml:space="preserve">Подобрување на продуктивноста </w:t>
            </w:r>
            <w:r w:rsidRPr="002B2470">
              <w:rPr>
                <w:rFonts w:ascii="Arial" w:eastAsia="Times New Roman" w:hAnsi="Arial" w:cs="Arial"/>
                <w:sz w:val="20"/>
                <w:szCs w:val="20"/>
                <w:lang w:val="mk-MK"/>
              </w:rPr>
              <w:t xml:space="preserve">на трудот </w:t>
            </w:r>
            <w:r w:rsidRPr="0038361F">
              <w:rPr>
                <w:rFonts w:ascii="Arial" w:eastAsia="Times New Roman" w:hAnsi="Arial" w:cs="Arial"/>
                <w:sz w:val="20"/>
                <w:szCs w:val="20"/>
                <w:lang w:val="mk-MK"/>
              </w:rPr>
              <w:t>и ефикасноста на земјоделск</w:t>
            </w:r>
            <w:r w:rsidRPr="002B2470">
              <w:rPr>
                <w:rFonts w:ascii="Arial" w:eastAsia="Times New Roman" w:hAnsi="Arial" w:cs="Arial"/>
                <w:sz w:val="20"/>
                <w:szCs w:val="20"/>
                <w:lang w:val="mk-MK"/>
              </w:rPr>
              <w:t>ото производство</w:t>
            </w:r>
            <w:r w:rsidRPr="0038361F">
              <w:rPr>
                <w:rFonts w:ascii="Arial" w:eastAsia="Times New Roman" w:hAnsi="Arial" w:cs="Arial"/>
                <w:sz w:val="20"/>
                <w:szCs w:val="20"/>
                <w:lang w:val="mk-MK"/>
              </w:rPr>
              <w:t xml:space="preserve">, </w:t>
            </w:r>
            <w:r w:rsidRPr="002B2470">
              <w:rPr>
                <w:rFonts w:ascii="Arial" w:eastAsia="Times New Roman" w:hAnsi="Arial" w:cs="Arial"/>
                <w:sz w:val="20"/>
                <w:szCs w:val="20"/>
                <w:lang w:val="mk-MK"/>
              </w:rPr>
              <w:t xml:space="preserve">подобрување на </w:t>
            </w:r>
            <w:r w:rsidRPr="0038361F">
              <w:rPr>
                <w:rFonts w:ascii="Arial" w:eastAsia="Times New Roman" w:hAnsi="Arial" w:cs="Arial"/>
                <w:sz w:val="20"/>
                <w:szCs w:val="20"/>
                <w:lang w:val="mk-MK"/>
              </w:rPr>
              <w:t>по</w:t>
            </w:r>
            <w:r w:rsidRPr="002B2470">
              <w:rPr>
                <w:rFonts w:ascii="Arial" w:eastAsia="Times New Roman" w:hAnsi="Arial" w:cs="Arial"/>
                <w:sz w:val="20"/>
                <w:szCs w:val="20"/>
                <w:lang w:val="mk-MK"/>
              </w:rPr>
              <w:t>ст</w:t>
            </w:r>
            <w:r w:rsidRPr="0038361F">
              <w:rPr>
                <w:rFonts w:ascii="Arial" w:eastAsia="Times New Roman" w:hAnsi="Arial" w:cs="Arial"/>
                <w:sz w:val="20"/>
                <w:szCs w:val="20"/>
                <w:lang w:val="mk-MK"/>
              </w:rPr>
              <w:t xml:space="preserve"> берб</w:t>
            </w:r>
            <w:r w:rsidRPr="002B2470">
              <w:rPr>
                <w:rFonts w:ascii="Arial" w:eastAsia="Times New Roman" w:hAnsi="Arial" w:cs="Arial"/>
                <w:sz w:val="20"/>
                <w:szCs w:val="20"/>
                <w:lang w:val="mk-MK"/>
              </w:rPr>
              <w:t xml:space="preserve">ени активности </w:t>
            </w:r>
            <w:r w:rsidRPr="0038361F">
              <w:rPr>
                <w:rFonts w:ascii="Arial" w:eastAsia="Times New Roman" w:hAnsi="Arial" w:cs="Arial"/>
                <w:sz w:val="20"/>
                <w:szCs w:val="20"/>
                <w:lang w:val="mk-MK"/>
              </w:rPr>
              <w:t xml:space="preserve">и продажбата на земјоделски производи, со цел зголемување на конкурентноста преку инвестиции </w:t>
            </w:r>
          </w:p>
        </w:tc>
        <w:tc>
          <w:tcPr>
            <w:tcW w:w="127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270</w:t>
            </w:r>
          </w:p>
        </w:tc>
        <w:tc>
          <w:tcPr>
            <w:tcW w:w="128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183</w:t>
            </w:r>
          </w:p>
        </w:tc>
        <w:tc>
          <w:tcPr>
            <w:tcW w:w="1331"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26</w:t>
            </w:r>
          </w:p>
        </w:tc>
      </w:tr>
      <w:tr w:rsidR="00410356" w:rsidRPr="002B2470" w:rsidTr="00FC2EC4">
        <w:trPr>
          <w:trHeight w:val="570"/>
        </w:trPr>
        <w:tc>
          <w:tcPr>
            <w:tcW w:w="5351"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Да се промовира употребата на обновлива енергија на ниво на фарма и на ниво на обработка, како и да се зголеми вкупната потрошувачка на енергија од обновливи извори на национално ниво</w:t>
            </w:r>
          </w:p>
        </w:tc>
        <w:tc>
          <w:tcPr>
            <w:tcW w:w="127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8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331"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2B2470">
        <w:rPr>
          <w:rFonts w:ascii="Arial" w:hAnsi="Arial" w:cs="Arial"/>
          <w:sz w:val="22"/>
          <w:szCs w:val="22"/>
          <w:lang w:val="mk-MK"/>
        </w:rPr>
        <w:t>Барањата</w:t>
      </w:r>
      <w:r w:rsidRPr="0038361F">
        <w:rPr>
          <w:rFonts w:ascii="Arial" w:hAnsi="Arial" w:cs="Arial"/>
          <w:sz w:val="22"/>
          <w:szCs w:val="22"/>
          <w:lang w:val="mk-MK"/>
        </w:rPr>
        <w:t xml:space="preserve"> примени на првиот повик беа со пониска </w:t>
      </w:r>
      <w:r w:rsidR="00CE7FB8" w:rsidRPr="0038361F">
        <w:rPr>
          <w:rFonts w:ascii="Arial" w:hAnsi="Arial" w:cs="Arial"/>
          <w:sz w:val="22"/>
          <w:szCs w:val="22"/>
          <w:lang w:val="mk-MK"/>
        </w:rPr>
        <w:t>вредност. Најголем дел од барањата</w:t>
      </w:r>
      <w:r w:rsidRPr="0038361F">
        <w:rPr>
          <w:rFonts w:ascii="Arial" w:hAnsi="Arial" w:cs="Arial"/>
          <w:sz w:val="22"/>
          <w:szCs w:val="22"/>
          <w:lang w:val="mk-MK"/>
        </w:rPr>
        <w:t xml:space="preserve"> (72%) беа под 10.000 € и 26% во опсег од 10.000 до 50.000 €</w:t>
      </w:r>
      <w:r w:rsidRPr="0038361F">
        <w:rPr>
          <w:rStyle w:val="FootnoteReference"/>
          <w:rFonts w:ascii="Arial" w:hAnsi="Arial" w:cs="Arial"/>
          <w:sz w:val="22"/>
          <w:szCs w:val="22"/>
          <w:lang w:val="mk-MK"/>
        </w:rPr>
        <w:footnoteReference w:id="4"/>
      </w:r>
      <w:r w:rsidRPr="0038361F">
        <w:rPr>
          <w:rFonts w:ascii="Arial" w:hAnsi="Arial" w:cs="Arial"/>
          <w:sz w:val="22"/>
          <w:szCs w:val="22"/>
          <w:lang w:val="mk-MK"/>
        </w:rPr>
        <w:t xml:space="preserve">. </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40" w:name="_Toc8640479"/>
      <w:r w:rsidRPr="002B2470">
        <w:rPr>
          <w:rFonts w:ascii="Arial" w:hAnsi="Arial" w:cs="Arial"/>
          <w:sz w:val="20"/>
          <w:szCs w:val="20"/>
          <w:lang w:val="mk-MK"/>
        </w:rPr>
        <w:t>Приказ</w:t>
      </w:r>
      <w:r w:rsidR="000724D6" w:rsidRPr="002B2470">
        <w:rPr>
          <w:rFonts w:ascii="Arial" w:hAnsi="Arial" w:cs="Arial"/>
          <w:sz w:val="20"/>
          <w:szCs w:val="20"/>
          <w:lang w:val="mk-MK"/>
        </w:rPr>
        <w:t xml:space="preserve">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3</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 xml:space="preserve">Преглед на барања по вредност на инвестиција во Мерка </w:t>
      </w:r>
      <w:r w:rsidRPr="0038361F">
        <w:rPr>
          <w:rFonts w:ascii="Arial" w:hAnsi="Arial" w:cs="Arial"/>
          <w:sz w:val="20"/>
          <w:szCs w:val="20"/>
          <w:lang w:val="mk-MK"/>
        </w:rPr>
        <w:t>1</w:t>
      </w:r>
      <w:bookmarkEnd w:id="40"/>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drawing>
          <wp:inline distT="0" distB="0" distL="0" distR="0" wp14:anchorId="5F89955A" wp14:editId="3C339189">
            <wp:extent cx="4584700" cy="275590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Имајќи ги предвид условите во секторот за производство на растителни култури, како што се: потребите за инвестиции во модернизација на механизацијата, решавање на имотно</w:t>
      </w:r>
      <w:r w:rsidR="005A7450">
        <w:rPr>
          <w:rFonts w:ascii="Arial" w:hAnsi="Arial" w:cs="Arial"/>
          <w:sz w:val="22"/>
          <w:szCs w:val="22"/>
          <w:lang w:val="en-US"/>
        </w:rPr>
        <w:t>-</w:t>
      </w:r>
      <w:r w:rsidRPr="0038361F">
        <w:rPr>
          <w:rFonts w:ascii="Arial" w:hAnsi="Arial" w:cs="Arial"/>
          <w:sz w:val="22"/>
          <w:szCs w:val="22"/>
          <w:lang w:val="mk-MK"/>
        </w:rPr>
        <w:t>правните прашања, пониска вредност на инвестициите (ниско ниво на градежни активности) и најважните пробл</w:t>
      </w:r>
      <w:r w:rsidR="00CC66BC" w:rsidRPr="0038361F">
        <w:rPr>
          <w:rFonts w:ascii="Arial" w:hAnsi="Arial" w:cs="Arial"/>
          <w:sz w:val="22"/>
          <w:szCs w:val="22"/>
          <w:lang w:val="mk-MK"/>
        </w:rPr>
        <w:t xml:space="preserve">еми со легализација на </w:t>
      </w:r>
      <w:r w:rsidRPr="0038361F">
        <w:rPr>
          <w:rFonts w:ascii="Arial" w:hAnsi="Arial" w:cs="Arial"/>
          <w:sz w:val="22"/>
          <w:szCs w:val="22"/>
          <w:lang w:val="mk-MK"/>
        </w:rPr>
        <w:t>бунари</w:t>
      </w:r>
      <w:r w:rsidR="00CC66BC" w:rsidRPr="002B2470">
        <w:rPr>
          <w:rFonts w:ascii="Arial" w:hAnsi="Arial" w:cs="Arial"/>
          <w:sz w:val="22"/>
          <w:szCs w:val="22"/>
          <w:lang w:val="mk-MK"/>
        </w:rPr>
        <w:t xml:space="preserve"> за наводнување</w:t>
      </w:r>
      <w:r w:rsidRPr="0038361F">
        <w:rPr>
          <w:rFonts w:ascii="Arial" w:hAnsi="Arial" w:cs="Arial"/>
          <w:sz w:val="22"/>
          <w:szCs w:val="22"/>
          <w:lang w:val="mk-MK"/>
        </w:rPr>
        <w:t xml:space="preserve">, најмногу </w:t>
      </w:r>
      <w:r w:rsidRPr="002B2470">
        <w:rPr>
          <w:rFonts w:ascii="Arial" w:hAnsi="Arial" w:cs="Arial"/>
          <w:sz w:val="22"/>
          <w:szCs w:val="22"/>
          <w:lang w:val="mk-MK"/>
        </w:rPr>
        <w:t>барања</w:t>
      </w:r>
      <w:r w:rsidRPr="0038361F">
        <w:rPr>
          <w:rFonts w:ascii="Arial" w:hAnsi="Arial" w:cs="Arial"/>
          <w:sz w:val="22"/>
          <w:szCs w:val="22"/>
          <w:lang w:val="mk-MK"/>
        </w:rPr>
        <w:t xml:space="preserve"> беа поднесени во растителното производство.</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Вистинските потреби за инвестиции во секторите за сточарство се однесуваат на реконструкција на производните капацитети (реконструкција на фармите со цел да се постигнат стандардите за благосостојба на животните и заштита на животната средина). Инвестициите како </w:t>
      </w:r>
      <w:r w:rsidRPr="002B2470">
        <w:rPr>
          <w:rFonts w:ascii="Arial" w:hAnsi="Arial" w:cs="Arial"/>
          <w:sz w:val="22"/>
          <w:szCs w:val="22"/>
          <w:lang w:val="mk-MK"/>
        </w:rPr>
        <w:t>овие</w:t>
      </w:r>
      <w:r w:rsidRPr="0038361F">
        <w:rPr>
          <w:rFonts w:ascii="Arial" w:hAnsi="Arial" w:cs="Arial"/>
          <w:sz w:val="22"/>
          <w:szCs w:val="22"/>
          <w:lang w:val="mk-MK"/>
        </w:rPr>
        <w:t xml:space="preserve"> (градежни активности) имаат повисока вредност од оние поврзани со набавка и инсталација на опрема, така што недостатокот на такви инвестициски активности влијаеше на спроведувањето на финансиските цели на Програмата.</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41" w:name="_Toc8640202"/>
      <w:r w:rsidRPr="002B2470">
        <w:rPr>
          <w:rFonts w:ascii="Arial" w:hAnsi="Arial" w:cs="Arial"/>
          <w:sz w:val="20"/>
          <w:szCs w:val="20"/>
          <w:lang w:val="mk-MK"/>
        </w:rPr>
        <w:t>Табела</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12</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w:t>
      </w:r>
      <w:r w:rsidRPr="002B2470">
        <w:rPr>
          <w:rFonts w:ascii="Arial" w:hAnsi="Arial" w:cs="Arial"/>
          <w:sz w:val="20"/>
          <w:szCs w:val="20"/>
          <w:lang w:val="mk-MK"/>
        </w:rPr>
        <w:t>Преглед на барања по приоритетни сектори во Мерка 1</w:t>
      </w:r>
      <w:bookmarkEnd w:id="4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134"/>
        <w:gridCol w:w="1276"/>
        <w:gridCol w:w="1276"/>
        <w:gridCol w:w="1417"/>
      </w:tblGrid>
      <w:tr w:rsidR="004A11D3" w:rsidRPr="002B2470" w:rsidTr="004A11D3">
        <w:tc>
          <w:tcPr>
            <w:tcW w:w="152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4"/>
                <w:szCs w:val="24"/>
                <w:lang w:val="mk-MK"/>
              </w:rPr>
            </w:pPr>
          </w:p>
        </w:tc>
        <w:tc>
          <w:tcPr>
            <w:tcW w:w="1276" w:type="dxa"/>
            <w:shd w:val="clear" w:color="auto" w:fill="auto"/>
            <w:vAlign w:val="center"/>
            <w:hideMark/>
          </w:tcPr>
          <w:p w:rsidR="00410356" w:rsidRPr="002B2470" w:rsidRDefault="00410356" w:rsidP="008A6C13">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(A)</w:t>
            </w:r>
          </w:p>
        </w:tc>
        <w:tc>
          <w:tcPr>
            <w:tcW w:w="1275" w:type="dxa"/>
            <w:shd w:val="clear" w:color="auto" w:fill="auto"/>
            <w:vAlign w:val="center"/>
            <w:hideMark/>
          </w:tcPr>
          <w:p w:rsidR="00410356" w:rsidRPr="002B2470" w:rsidRDefault="00410356" w:rsidP="008A6C13">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w:t>
            </w:r>
          </w:p>
        </w:tc>
        <w:tc>
          <w:tcPr>
            <w:tcW w:w="1134" w:type="dxa"/>
            <w:shd w:val="clear" w:color="auto" w:fill="auto"/>
            <w:vAlign w:val="center"/>
            <w:hideMark/>
          </w:tcPr>
          <w:p w:rsidR="00410356" w:rsidRPr="002B2470" w:rsidRDefault="00410356" w:rsidP="008A6C13">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ЕУ дел одобрен</w:t>
            </w:r>
          </w:p>
        </w:tc>
        <w:tc>
          <w:tcPr>
            <w:tcW w:w="1276" w:type="dxa"/>
            <w:shd w:val="clear" w:color="auto" w:fill="auto"/>
            <w:vAlign w:val="center"/>
            <w:hideMark/>
          </w:tcPr>
          <w:p w:rsidR="00410356" w:rsidRPr="002B2470" w:rsidRDefault="00410356" w:rsidP="008A6C13">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c>
          <w:tcPr>
            <w:tcW w:w="1276" w:type="dxa"/>
            <w:shd w:val="clear" w:color="auto" w:fill="auto"/>
            <w:vAlign w:val="center"/>
            <w:hideMark/>
          </w:tcPr>
          <w:p w:rsidR="003B345B" w:rsidRPr="008A22EF" w:rsidRDefault="003B345B" w:rsidP="008A6C13">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ЕУ</w:t>
            </w:r>
            <w:r w:rsidR="005A7450">
              <w:rPr>
                <w:rFonts w:ascii="Arial" w:eastAsia="Times New Roman" w:hAnsi="Arial" w:cs="Arial"/>
                <w:sz w:val="20"/>
                <w:szCs w:val="20"/>
              </w:rPr>
              <w:t xml:space="preserve"> </w:t>
            </w:r>
            <w:r w:rsidRPr="008A22EF">
              <w:rPr>
                <w:rFonts w:ascii="Arial" w:eastAsia="Times New Roman" w:hAnsi="Arial" w:cs="Arial"/>
                <w:sz w:val="20"/>
                <w:szCs w:val="20"/>
                <w:lang w:val="mk-MK"/>
              </w:rPr>
              <w:t>дел</w:t>
            </w:r>
          </w:p>
          <w:p w:rsidR="00410356" w:rsidRPr="0038361F" w:rsidRDefault="003B345B"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исплатени</w:t>
            </w:r>
          </w:p>
        </w:tc>
        <w:tc>
          <w:tcPr>
            <w:tcW w:w="1417" w:type="dxa"/>
          </w:tcPr>
          <w:p w:rsidR="00410356" w:rsidRPr="002B2470"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 xml:space="preserve">% </w:t>
            </w:r>
            <w:r w:rsidR="003B345B" w:rsidRPr="002B2470">
              <w:rPr>
                <w:rFonts w:ascii="Arial" w:eastAsia="Times New Roman" w:hAnsi="Arial" w:cs="Arial"/>
                <w:sz w:val="20"/>
                <w:szCs w:val="20"/>
                <w:lang w:val="mk-MK"/>
              </w:rPr>
              <w:t>на одобрување</w:t>
            </w:r>
          </w:p>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/A)</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Говеда</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10</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57.430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20%</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Живина</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446.268</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50%</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Овци</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17.271</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25%</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Свињи</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917.611</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43%</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lastRenderedPageBreak/>
              <w:t>Овошни насади</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444</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308</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2.528.272</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53</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186.897</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69%</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Лозарство</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155</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123</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834.980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21</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40.637</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79%</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Градинарство</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101</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61</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381.672</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53.922</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60%</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Полјоделство</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665</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397</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2.927.769</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36</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168.270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60%</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Преработка</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12.790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25%</w:t>
            </w:r>
          </w:p>
        </w:tc>
      </w:tr>
      <w:tr w:rsidR="004A11D3" w:rsidRPr="002B2470" w:rsidTr="004A11D3">
        <w:tc>
          <w:tcPr>
            <w:tcW w:w="1526" w:type="dxa"/>
            <w:shd w:val="clear" w:color="auto" w:fill="auto"/>
            <w:noWrap/>
            <w:vAlign w:val="bottom"/>
            <w:hideMark/>
          </w:tcPr>
          <w:p w:rsidR="00410356" w:rsidRPr="002B2470" w:rsidRDefault="00410356" w:rsidP="000724D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Обновлива енергија</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75"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134"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3.150</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276" w:type="dxa"/>
            <w:shd w:val="clear" w:color="auto" w:fill="auto"/>
            <w:noWrap/>
            <w:vAlign w:val="bottom"/>
            <w:hideMark/>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3.150</w:t>
            </w:r>
          </w:p>
        </w:tc>
        <w:tc>
          <w:tcPr>
            <w:tcW w:w="1417" w:type="dxa"/>
          </w:tcPr>
          <w:p w:rsidR="00410356" w:rsidRPr="0038361F" w:rsidRDefault="00410356" w:rsidP="008A6C13">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100%</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Пченицата, овошт</w:t>
      </w:r>
      <w:r w:rsidR="00390BD0" w:rsidRPr="0038361F">
        <w:rPr>
          <w:rFonts w:ascii="Arial" w:hAnsi="Arial" w:cs="Arial"/>
          <w:sz w:val="22"/>
          <w:szCs w:val="22"/>
          <w:lang w:val="mk-MK"/>
        </w:rPr>
        <w:t>арниците, грозјето и градинарство</w:t>
      </w:r>
      <w:r w:rsidR="00147363" w:rsidRPr="0038361F">
        <w:rPr>
          <w:rFonts w:ascii="Arial" w:hAnsi="Arial" w:cs="Arial"/>
          <w:sz w:val="22"/>
          <w:szCs w:val="22"/>
          <w:lang w:val="mk-MK"/>
        </w:rPr>
        <w:t xml:space="preserve"> на отворено </w:t>
      </w:r>
      <w:r w:rsidRPr="0038361F">
        <w:rPr>
          <w:rFonts w:ascii="Arial" w:hAnsi="Arial" w:cs="Arial"/>
          <w:sz w:val="22"/>
          <w:szCs w:val="22"/>
          <w:lang w:val="mk-MK"/>
        </w:rPr>
        <w:t>се најчестите видови на производс</w:t>
      </w:r>
      <w:r w:rsidR="00147363" w:rsidRPr="0038361F">
        <w:rPr>
          <w:rFonts w:ascii="Arial" w:hAnsi="Arial" w:cs="Arial"/>
          <w:sz w:val="22"/>
          <w:szCs w:val="22"/>
          <w:lang w:val="mk-MK"/>
        </w:rPr>
        <w:t>тво што ги користеле барателите</w:t>
      </w:r>
      <w:r w:rsidRPr="0038361F">
        <w:rPr>
          <w:rFonts w:ascii="Arial" w:hAnsi="Arial" w:cs="Arial"/>
          <w:sz w:val="22"/>
          <w:szCs w:val="22"/>
          <w:lang w:val="mk-MK"/>
        </w:rPr>
        <w:t>.</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eastAsia="en-US"/>
        </w:rPr>
      </w:pPr>
      <w:bookmarkStart w:id="42" w:name="_Toc8640480"/>
      <w:r w:rsidRPr="002B2470">
        <w:rPr>
          <w:rFonts w:ascii="Arial" w:hAnsi="Arial" w:cs="Arial"/>
          <w:sz w:val="20"/>
          <w:szCs w:val="20"/>
          <w:lang w:val="mk-MK"/>
        </w:rPr>
        <w:t>Приказ</w:t>
      </w:r>
      <w:r w:rsidR="000724D6" w:rsidRPr="002B2470">
        <w:rPr>
          <w:rFonts w:ascii="Arial" w:hAnsi="Arial" w:cs="Arial"/>
          <w:sz w:val="20"/>
          <w:szCs w:val="20"/>
          <w:lang w:val="mk-MK"/>
        </w:rPr>
        <w:t xml:space="preserve">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4</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 xml:space="preserve">Преглед на барања по култура на производство во Мерка </w:t>
      </w:r>
      <w:r w:rsidRPr="0038361F">
        <w:rPr>
          <w:rFonts w:ascii="Arial" w:hAnsi="Arial" w:cs="Arial"/>
          <w:sz w:val="20"/>
          <w:szCs w:val="20"/>
          <w:lang w:val="mk-MK"/>
        </w:rPr>
        <w:t>1</w:t>
      </w:r>
      <w:bookmarkEnd w:id="42"/>
    </w:p>
    <w:p w:rsidR="00410356" w:rsidRPr="0038361F" w:rsidRDefault="00410356" w:rsidP="00410356">
      <w:pPr>
        <w:pStyle w:val="m343668044302477783m-3986873246552044066msolistparagraph"/>
        <w:spacing w:before="120" w:beforeAutospacing="0" w:after="0" w:afterAutospacing="0"/>
        <w:jc w:val="both"/>
        <w:rPr>
          <w:rFonts w:ascii="Arial" w:hAnsi="Arial" w:cs="Arial"/>
          <w:lang w:val="mk-MK" w:eastAsia="en-US"/>
        </w:rPr>
      </w:pPr>
      <w:r w:rsidRPr="005A7450">
        <w:rPr>
          <w:rFonts w:ascii="Arial" w:hAnsi="Arial" w:cs="Arial"/>
          <w:noProof/>
          <w:lang w:val="en-US" w:eastAsia="en-US"/>
        </w:rPr>
        <w:drawing>
          <wp:inline distT="0" distB="0" distL="0" distR="0" wp14:anchorId="74C8B2CF" wp14:editId="52809896">
            <wp:extent cx="5553003" cy="16618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6430" cy="1677812"/>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Во однос на интересот за видовите инвестиции, инвестициите во трактори и земјоделска механизација, како и во минатото, беа најбарани </w:t>
      </w:r>
      <w:r w:rsidR="005A7450">
        <w:rPr>
          <w:rFonts w:ascii="Arial" w:hAnsi="Arial" w:cs="Arial"/>
          <w:sz w:val="22"/>
          <w:szCs w:val="22"/>
          <w:lang w:val="mk-MK"/>
        </w:rPr>
        <w:t>од</w:t>
      </w:r>
      <w:r w:rsidRPr="0038361F">
        <w:rPr>
          <w:rFonts w:ascii="Arial" w:hAnsi="Arial" w:cs="Arial"/>
          <w:sz w:val="22"/>
          <w:szCs w:val="22"/>
          <w:lang w:val="mk-MK"/>
        </w:rPr>
        <w:t xml:space="preserve"> земјоделците. Вкуп</w:t>
      </w:r>
      <w:r w:rsidR="005A7450">
        <w:rPr>
          <w:rFonts w:ascii="Arial" w:hAnsi="Arial" w:cs="Arial"/>
          <w:sz w:val="22"/>
          <w:szCs w:val="22"/>
          <w:lang w:val="mk-MK"/>
        </w:rPr>
        <w:t xml:space="preserve">но се </w:t>
      </w:r>
      <w:r w:rsidRPr="0038361F">
        <w:rPr>
          <w:rFonts w:ascii="Arial" w:hAnsi="Arial" w:cs="Arial"/>
          <w:sz w:val="22"/>
          <w:szCs w:val="22"/>
          <w:lang w:val="mk-MK"/>
        </w:rPr>
        <w:t xml:space="preserve">поднесени 1.034 </w:t>
      </w:r>
      <w:r w:rsidRPr="002B2470">
        <w:rPr>
          <w:rFonts w:ascii="Arial" w:hAnsi="Arial" w:cs="Arial"/>
          <w:sz w:val="22"/>
          <w:szCs w:val="22"/>
          <w:lang w:val="mk-MK"/>
        </w:rPr>
        <w:t>барања</w:t>
      </w:r>
      <w:r w:rsidRPr="0038361F">
        <w:rPr>
          <w:rFonts w:ascii="Arial" w:hAnsi="Arial" w:cs="Arial"/>
          <w:sz w:val="22"/>
          <w:szCs w:val="22"/>
          <w:lang w:val="mk-MK"/>
        </w:rPr>
        <w:t xml:space="preserve"> за трактори, </w:t>
      </w:r>
      <w:r w:rsidR="005A7450">
        <w:rPr>
          <w:rFonts w:ascii="Arial" w:hAnsi="Arial" w:cs="Arial"/>
          <w:sz w:val="22"/>
          <w:szCs w:val="22"/>
          <w:lang w:val="mk-MK"/>
        </w:rPr>
        <w:t xml:space="preserve">има </w:t>
      </w:r>
      <w:r w:rsidRPr="0038361F">
        <w:rPr>
          <w:rFonts w:ascii="Arial" w:hAnsi="Arial" w:cs="Arial"/>
          <w:sz w:val="22"/>
          <w:szCs w:val="22"/>
          <w:lang w:val="mk-MK"/>
        </w:rPr>
        <w:t>688 склучени</w:t>
      </w:r>
      <w:r w:rsidRPr="002B2470">
        <w:rPr>
          <w:rFonts w:ascii="Arial" w:hAnsi="Arial" w:cs="Arial"/>
          <w:sz w:val="22"/>
          <w:szCs w:val="22"/>
          <w:lang w:val="mk-MK"/>
        </w:rPr>
        <w:t xml:space="preserve"> договори</w:t>
      </w:r>
      <w:r w:rsidRPr="0038361F">
        <w:rPr>
          <w:rFonts w:ascii="Arial" w:hAnsi="Arial" w:cs="Arial"/>
          <w:sz w:val="22"/>
          <w:szCs w:val="22"/>
          <w:lang w:val="mk-MK"/>
        </w:rPr>
        <w:t xml:space="preserve"> (5.413.581 ЕУ </w:t>
      </w:r>
      <w:r w:rsidRPr="002B2470">
        <w:rPr>
          <w:rFonts w:ascii="Arial" w:hAnsi="Arial" w:cs="Arial"/>
          <w:sz w:val="22"/>
          <w:szCs w:val="22"/>
          <w:lang w:val="mk-MK"/>
        </w:rPr>
        <w:t>придонес</w:t>
      </w:r>
      <w:r w:rsidRPr="0038361F">
        <w:rPr>
          <w:rFonts w:ascii="Arial" w:hAnsi="Arial" w:cs="Arial"/>
          <w:sz w:val="22"/>
          <w:szCs w:val="22"/>
          <w:lang w:val="mk-MK"/>
        </w:rPr>
        <w:t xml:space="preserve">) и 42 платени (181.010 ЕУ </w:t>
      </w:r>
      <w:r w:rsidRPr="002B2470">
        <w:rPr>
          <w:rFonts w:ascii="Arial" w:hAnsi="Arial" w:cs="Arial"/>
          <w:sz w:val="22"/>
          <w:szCs w:val="22"/>
          <w:lang w:val="mk-MK"/>
        </w:rPr>
        <w:t>придонес</w:t>
      </w:r>
      <w:r w:rsidRPr="0038361F">
        <w:rPr>
          <w:rFonts w:ascii="Arial" w:hAnsi="Arial" w:cs="Arial"/>
          <w:sz w:val="22"/>
          <w:szCs w:val="22"/>
          <w:lang w:val="mk-MK"/>
        </w:rPr>
        <w:t xml:space="preserve">). Според ИПАРД програмата (Мерка 1, Индикативен буџет), распределбата на јавните средства за земјоделска механизација </w:t>
      </w:r>
      <w:r w:rsidR="005A7450">
        <w:rPr>
          <w:rFonts w:ascii="Arial" w:hAnsi="Arial" w:cs="Arial"/>
          <w:sz w:val="22"/>
          <w:szCs w:val="22"/>
          <w:lang w:val="mk-MK"/>
        </w:rPr>
        <w:t>–</w:t>
      </w:r>
      <w:r w:rsidRPr="0038361F">
        <w:rPr>
          <w:rFonts w:ascii="Arial" w:hAnsi="Arial" w:cs="Arial"/>
          <w:sz w:val="22"/>
          <w:szCs w:val="22"/>
          <w:lang w:val="mk-MK"/>
        </w:rPr>
        <w:t xml:space="preserve"> трактори, вклучувајќи </w:t>
      </w:r>
      <w:r w:rsidRPr="002B2470">
        <w:rPr>
          <w:rFonts w:ascii="Arial" w:hAnsi="Arial" w:cs="Arial"/>
          <w:sz w:val="22"/>
          <w:szCs w:val="22"/>
          <w:lang w:val="mk-MK"/>
        </w:rPr>
        <w:t>и</w:t>
      </w:r>
      <w:r w:rsidRPr="0038361F">
        <w:rPr>
          <w:rFonts w:ascii="Arial" w:hAnsi="Arial" w:cs="Arial"/>
          <w:sz w:val="22"/>
          <w:szCs w:val="22"/>
          <w:lang w:val="mk-MK"/>
        </w:rPr>
        <w:t xml:space="preserve"> опр</w:t>
      </w:r>
      <w:r w:rsidR="008A6C13" w:rsidRPr="0038361F">
        <w:rPr>
          <w:rFonts w:ascii="Arial" w:hAnsi="Arial" w:cs="Arial"/>
          <w:sz w:val="22"/>
          <w:szCs w:val="22"/>
          <w:lang w:val="mk-MK"/>
        </w:rPr>
        <w:t>ема (без приклучна механизација</w:t>
      </w:r>
      <w:r w:rsidRPr="0038361F">
        <w:rPr>
          <w:rFonts w:ascii="Arial" w:hAnsi="Arial" w:cs="Arial"/>
          <w:sz w:val="22"/>
          <w:szCs w:val="22"/>
          <w:lang w:val="mk-MK"/>
        </w:rPr>
        <w:t>) не смее да надмине 20% од вкупниот расположив финансиски буџет за оваа мерка (5.893.333,4) за целиот период на спроведување на Програмата. Во овој поглед, Јавниот повик 02/2018 не ги вклучува тракторите како прифатлив трошок.</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Кандидатите не покажаа интерес за инвестирање во: опрема за заштита на животната средина, специјализирани земјоделски транспортни приколки и возила, системи за наводнување, изградба и реконструкција на недвижен имот за земјоделско производство, преработка, по</w:t>
      </w:r>
      <w:r w:rsidRPr="002B2470">
        <w:rPr>
          <w:rFonts w:ascii="Arial" w:hAnsi="Arial" w:cs="Arial"/>
          <w:sz w:val="22"/>
          <w:szCs w:val="22"/>
          <w:lang w:val="mk-MK"/>
        </w:rPr>
        <w:t>ст</w:t>
      </w:r>
      <w:r w:rsidR="005A7450">
        <w:rPr>
          <w:rFonts w:ascii="Arial" w:hAnsi="Arial" w:cs="Arial"/>
          <w:sz w:val="22"/>
          <w:szCs w:val="22"/>
          <w:lang w:val="mk-MK"/>
        </w:rPr>
        <w:t>-</w:t>
      </w:r>
      <w:r w:rsidRPr="0038361F">
        <w:rPr>
          <w:rFonts w:ascii="Arial" w:hAnsi="Arial" w:cs="Arial"/>
          <w:sz w:val="22"/>
          <w:szCs w:val="22"/>
          <w:lang w:val="mk-MK"/>
        </w:rPr>
        <w:t>берб</w:t>
      </w:r>
      <w:r w:rsidRPr="002B2470">
        <w:rPr>
          <w:rFonts w:ascii="Arial" w:hAnsi="Arial" w:cs="Arial"/>
          <w:sz w:val="22"/>
          <w:szCs w:val="22"/>
          <w:lang w:val="mk-MK"/>
        </w:rPr>
        <w:t>ени активности и</w:t>
      </w:r>
      <w:r w:rsidRPr="0038361F">
        <w:rPr>
          <w:rFonts w:ascii="Arial" w:hAnsi="Arial" w:cs="Arial"/>
          <w:sz w:val="22"/>
          <w:szCs w:val="22"/>
          <w:lang w:val="mk-MK"/>
        </w:rPr>
        <w:t xml:space="preserve"> директен маркетинг и развој на инфраструктура</w:t>
      </w:r>
      <w:r w:rsidRPr="002B2470">
        <w:rPr>
          <w:rFonts w:ascii="Arial" w:hAnsi="Arial" w:cs="Arial"/>
          <w:sz w:val="22"/>
          <w:szCs w:val="22"/>
          <w:lang w:val="mk-MK"/>
        </w:rPr>
        <w:t>та на земјоделските стопанства</w:t>
      </w:r>
      <w:r w:rsidRPr="0038361F">
        <w:rPr>
          <w:rFonts w:ascii="Arial" w:hAnsi="Arial" w:cs="Arial"/>
          <w:sz w:val="22"/>
          <w:szCs w:val="22"/>
          <w:lang w:val="mk-MK"/>
        </w:rPr>
        <w:t>.</w:t>
      </w:r>
    </w:p>
    <w:p w:rsidR="00140638" w:rsidRPr="0038361F" w:rsidRDefault="00140638" w:rsidP="00410356">
      <w:pPr>
        <w:pStyle w:val="m343668044302477783m-3986873246552044066msolistparagraph"/>
        <w:spacing w:before="120" w:beforeAutospacing="0" w:after="0" w:afterAutospacing="0"/>
        <w:jc w:val="both"/>
        <w:rPr>
          <w:rFonts w:ascii="Arial" w:hAnsi="Arial" w:cs="Arial"/>
          <w:sz w:val="22"/>
          <w:szCs w:val="22"/>
          <w:lang w:val="mk-MK"/>
        </w:rPr>
      </w:pPr>
    </w:p>
    <w:p w:rsidR="00140638" w:rsidRPr="0038361F" w:rsidRDefault="00140638" w:rsidP="00410356">
      <w:pPr>
        <w:pStyle w:val="m343668044302477783m-3986873246552044066msolistparagraph"/>
        <w:spacing w:before="120" w:beforeAutospacing="0" w:after="0" w:afterAutospacing="0"/>
        <w:jc w:val="both"/>
        <w:rPr>
          <w:rFonts w:ascii="Arial" w:hAnsi="Arial" w:cs="Arial"/>
          <w:sz w:val="22"/>
          <w:szCs w:val="22"/>
          <w:lang w:val="mk-MK"/>
        </w:rPr>
      </w:pPr>
    </w:p>
    <w:p w:rsidR="00140638" w:rsidRPr="0038361F" w:rsidRDefault="00140638" w:rsidP="00410356">
      <w:pPr>
        <w:pStyle w:val="m343668044302477783m-3986873246552044066msolistparagraph"/>
        <w:spacing w:before="120" w:beforeAutospacing="0" w:after="0" w:afterAutospacing="0"/>
        <w:jc w:val="both"/>
        <w:rPr>
          <w:rFonts w:ascii="Arial" w:hAnsi="Arial" w:cs="Arial"/>
          <w:sz w:val="22"/>
          <w:szCs w:val="22"/>
          <w:lang w:val="mk-MK"/>
        </w:rPr>
      </w:pPr>
    </w:p>
    <w:p w:rsidR="00140638" w:rsidRPr="0038361F" w:rsidRDefault="00140638" w:rsidP="00410356">
      <w:pPr>
        <w:pStyle w:val="m343668044302477783m-3986873246552044066msolistparagraph"/>
        <w:spacing w:before="120" w:beforeAutospacing="0" w:after="0" w:afterAutospacing="0"/>
        <w:jc w:val="both"/>
        <w:rPr>
          <w:rFonts w:ascii="Arial" w:hAnsi="Arial" w:cs="Arial"/>
          <w:sz w:val="22"/>
          <w:szCs w:val="22"/>
          <w:lang w:val="mk-MK"/>
        </w:rPr>
      </w:pPr>
    </w:p>
    <w:p w:rsidR="009B65D1" w:rsidRPr="0038361F" w:rsidRDefault="009B65D1" w:rsidP="00410356">
      <w:pPr>
        <w:pStyle w:val="m343668044302477783m-3986873246552044066msolistparagraph"/>
        <w:spacing w:before="120" w:beforeAutospacing="0" w:after="0" w:afterAutospacing="0"/>
        <w:jc w:val="both"/>
        <w:rPr>
          <w:rFonts w:ascii="Arial" w:hAnsi="Arial" w:cs="Arial"/>
          <w:sz w:val="22"/>
          <w:szCs w:val="22"/>
          <w:lang w:val="mk-MK"/>
        </w:rPr>
      </w:pPr>
    </w:p>
    <w:p w:rsidR="009B65D1" w:rsidRPr="0038361F" w:rsidRDefault="009B65D1" w:rsidP="00410356">
      <w:pPr>
        <w:pStyle w:val="m343668044302477783m-3986873246552044066msolistparagraph"/>
        <w:spacing w:before="120" w:beforeAutospacing="0" w:after="0" w:afterAutospacing="0"/>
        <w:jc w:val="both"/>
        <w:rPr>
          <w:rFonts w:ascii="Arial" w:hAnsi="Arial" w:cs="Arial"/>
          <w:sz w:val="22"/>
          <w:szCs w:val="22"/>
          <w:lang w:val="mk-MK"/>
        </w:rPr>
      </w:pP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43" w:name="_Toc8640481"/>
      <w:r w:rsidRPr="0038361F">
        <w:rPr>
          <w:rFonts w:ascii="Arial" w:hAnsi="Arial" w:cs="Arial"/>
          <w:sz w:val="20"/>
          <w:szCs w:val="20"/>
          <w:lang w:val="mk-MK"/>
        </w:rPr>
        <w:t xml:space="preserve">Приказ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5</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 xml:space="preserve">Преглед на барања по тип на инвестиција во Мерка </w:t>
      </w:r>
      <w:r w:rsidRPr="0038361F">
        <w:rPr>
          <w:rFonts w:ascii="Arial" w:hAnsi="Arial" w:cs="Arial"/>
          <w:sz w:val="20"/>
          <w:szCs w:val="20"/>
          <w:lang w:val="mk-MK"/>
        </w:rPr>
        <w:t>1</w:t>
      </w:r>
      <w:bookmarkEnd w:id="43"/>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lastRenderedPageBreak/>
        <w:drawing>
          <wp:inline distT="0" distB="0" distL="0" distR="0" wp14:anchorId="44280270" wp14:editId="4DF26AD6">
            <wp:extent cx="5327015" cy="2178657"/>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0471" cy="2245508"/>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5A7450">
      <w:pPr>
        <w:pStyle w:val="ListParagraph"/>
        <w:numPr>
          <w:ilvl w:val="1"/>
          <w:numId w:val="36"/>
        </w:numPr>
        <w:spacing w:before="120" w:after="0" w:line="240" w:lineRule="auto"/>
        <w:jc w:val="both"/>
        <w:outlineLvl w:val="1"/>
        <w:rPr>
          <w:rFonts w:ascii="Arial" w:hAnsi="Arial" w:cs="Arial"/>
          <w:b/>
          <w:lang w:val="mk-MK"/>
        </w:rPr>
      </w:pPr>
      <w:bookmarkStart w:id="44" w:name="_Toc7520956"/>
      <w:bookmarkStart w:id="45" w:name="_Toc8639871"/>
      <w:r w:rsidRPr="0038361F">
        <w:rPr>
          <w:rFonts w:ascii="Arial" w:hAnsi="Arial" w:cs="Arial"/>
          <w:b/>
          <w:lang w:val="mk-MK"/>
        </w:rPr>
        <w:t xml:space="preserve">Мерка 3 </w:t>
      </w:r>
      <w:r w:rsidR="005A7450">
        <w:rPr>
          <w:rFonts w:ascii="Arial" w:hAnsi="Arial" w:cs="Arial"/>
          <w:b/>
          <w:lang w:val="mk-MK"/>
        </w:rPr>
        <w:t>–</w:t>
      </w:r>
      <w:r w:rsidRPr="0038361F">
        <w:rPr>
          <w:rFonts w:ascii="Arial" w:hAnsi="Arial" w:cs="Arial"/>
          <w:b/>
          <w:lang w:val="mk-MK"/>
        </w:rPr>
        <w:t xml:space="preserve"> Инвестиции во физички средства за преработка и маркетинг на земјоделски и рибни производи</w:t>
      </w:r>
      <w:bookmarkEnd w:id="44"/>
      <w:bookmarkEnd w:id="45"/>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Во текот на извештајниот период, бројот на </w:t>
      </w:r>
      <w:r w:rsidRPr="002B2470">
        <w:rPr>
          <w:rFonts w:ascii="Arial" w:hAnsi="Arial" w:cs="Arial"/>
          <w:sz w:val="22"/>
          <w:szCs w:val="22"/>
          <w:lang w:val="mk-MK"/>
        </w:rPr>
        <w:t>барања</w:t>
      </w:r>
      <w:r w:rsidRPr="0038361F">
        <w:rPr>
          <w:rFonts w:ascii="Arial" w:hAnsi="Arial" w:cs="Arial"/>
          <w:sz w:val="22"/>
          <w:szCs w:val="22"/>
          <w:lang w:val="mk-MK"/>
        </w:rPr>
        <w:t xml:space="preserve"> поднесени </w:t>
      </w:r>
      <w:r w:rsidRPr="002B2470">
        <w:rPr>
          <w:rFonts w:ascii="Arial" w:hAnsi="Arial" w:cs="Arial"/>
          <w:sz w:val="22"/>
          <w:szCs w:val="22"/>
          <w:lang w:val="mk-MK"/>
        </w:rPr>
        <w:t>во</w:t>
      </w:r>
      <w:r w:rsidRPr="0038361F">
        <w:rPr>
          <w:rFonts w:ascii="Arial" w:hAnsi="Arial" w:cs="Arial"/>
          <w:sz w:val="22"/>
          <w:szCs w:val="22"/>
          <w:lang w:val="mk-MK"/>
        </w:rPr>
        <w:t xml:space="preserve"> Мерката 3 достигна 57 (13.027.752 ЕУ придонес). Договори се потпишани со 30 </w:t>
      </w:r>
      <w:r w:rsidRPr="002B2470">
        <w:rPr>
          <w:rFonts w:ascii="Arial" w:hAnsi="Arial" w:cs="Arial"/>
          <w:sz w:val="22"/>
          <w:szCs w:val="22"/>
          <w:lang w:val="mk-MK"/>
        </w:rPr>
        <w:t>баратели</w:t>
      </w:r>
      <w:r w:rsidRPr="0038361F">
        <w:rPr>
          <w:rFonts w:ascii="Arial" w:hAnsi="Arial" w:cs="Arial"/>
          <w:sz w:val="22"/>
          <w:szCs w:val="22"/>
          <w:lang w:val="mk-MK"/>
        </w:rPr>
        <w:t xml:space="preserve"> (4.942.889 ЕУ-придонес). Плаќањето на договорите достигна 8 (546.072 ЕУ придонес).</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46" w:name="_Toc8640203"/>
      <w:r w:rsidRPr="002B2470">
        <w:rPr>
          <w:rFonts w:ascii="Arial" w:eastAsia="Times New Roman" w:hAnsi="Arial" w:cs="Arial"/>
          <w:sz w:val="20"/>
          <w:szCs w:val="20"/>
          <w:lang w:val="mk-MK"/>
        </w:rPr>
        <w:t xml:space="preserve">Табела </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13</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:Преглед на испо</w:t>
      </w:r>
      <w:r w:rsidR="005A7450">
        <w:rPr>
          <w:rFonts w:ascii="Arial" w:eastAsia="Times New Roman" w:hAnsi="Arial" w:cs="Arial"/>
          <w:sz w:val="20"/>
          <w:szCs w:val="20"/>
          <w:lang w:val="mk-MK"/>
        </w:rPr>
        <w:t>л</w:t>
      </w:r>
      <w:r w:rsidRPr="002B2470">
        <w:rPr>
          <w:rFonts w:ascii="Arial" w:eastAsia="Times New Roman" w:hAnsi="Arial" w:cs="Arial"/>
          <w:sz w:val="20"/>
          <w:szCs w:val="20"/>
          <w:lang w:val="mk-MK"/>
        </w:rPr>
        <w:t xml:space="preserve">нувањето на целите по барања во Мерка </w:t>
      </w:r>
      <w:r w:rsidRPr="0038361F">
        <w:rPr>
          <w:rFonts w:ascii="Arial" w:hAnsi="Arial" w:cs="Arial"/>
          <w:sz w:val="20"/>
          <w:szCs w:val="20"/>
          <w:lang w:val="mk-MK"/>
        </w:rPr>
        <w:t>3</w:t>
      </w:r>
      <w:bookmarkEnd w:id="46"/>
    </w:p>
    <w:tbl>
      <w:tblPr>
        <w:tblW w:w="9180" w:type="dxa"/>
        <w:tblBorders>
          <w:top w:val="single" w:sz="8" w:space="0" w:color="auto"/>
          <w:left w:val="single" w:sz="2" w:space="0" w:color="auto"/>
          <w:bottom w:val="single" w:sz="4" w:space="0" w:color="auto"/>
          <w:right w:val="single" w:sz="8" w:space="0" w:color="auto"/>
          <w:insideH w:val="single" w:sz="2" w:space="0" w:color="auto"/>
          <w:insideV w:val="single" w:sz="2" w:space="0" w:color="auto"/>
        </w:tblBorders>
        <w:tblLook w:val="04A0" w:firstRow="1" w:lastRow="0" w:firstColumn="1" w:lastColumn="0" w:noHBand="0" w:noVBand="1"/>
      </w:tblPr>
      <w:tblGrid>
        <w:gridCol w:w="5244"/>
        <w:gridCol w:w="1243"/>
        <w:gridCol w:w="1418"/>
        <w:gridCol w:w="1275"/>
      </w:tblGrid>
      <w:tr w:rsidR="00410356" w:rsidRPr="002B2470" w:rsidTr="004A11D3">
        <w:trPr>
          <w:trHeight w:val="765"/>
        </w:trPr>
        <w:tc>
          <w:tcPr>
            <w:tcW w:w="5244" w:type="dxa"/>
            <w:shd w:val="clear" w:color="auto" w:fill="auto"/>
            <w:vAlign w:val="center"/>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Цели на мерката</w:t>
            </w:r>
          </w:p>
        </w:tc>
        <w:tc>
          <w:tcPr>
            <w:tcW w:w="1243" w:type="dxa"/>
            <w:shd w:val="clear" w:color="auto" w:fill="auto"/>
            <w:noWrap/>
            <w:vAlign w:val="center"/>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tc>
        <w:tc>
          <w:tcPr>
            <w:tcW w:w="1418" w:type="dxa"/>
            <w:shd w:val="clear" w:color="auto" w:fill="auto"/>
            <w:noWrap/>
            <w:vAlign w:val="center"/>
          </w:tcPr>
          <w:p w:rsidR="00410356" w:rsidRPr="008A22EF" w:rsidRDefault="00410356" w:rsidP="00410356">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Одобрени</w:t>
            </w:r>
          </w:p>
        </w:tc>
        <w:tc>
          <w:tcPr>
            <w:tcW w:w="1275" w:type="dxa"/>
            <w:shd w:val="clear" w:color="auto" w:fill="auto"/>
            <w:noWrap/>
            <w:vAlign w:val="center"/>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r>
      <w:tr w:rsidR="00410356" w:rsidRPr="002B2470" w:rsidTr="004A11D3">
        <w:trPr>
          <w:trHeight w:val="765"/>
        </w:trPr>
        <w:tc>
          <w:tcPr>
            <w:tcW w:w="5244"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 xml:space="preserve">Подобрување </w:t>
            </w:r>
            <w:r w:rsidRPr="002B2470">
              <w:rPr>
                <w:rFonts w:ascii="Arial" w:eastAsia="Times New Roman" w:hAnsi="Arial" w:cs="Arial"/>
                <w:sz w:val="20"/>
                <w:szCs w:val="20"/>
                <w:lang w:val="mk-MK"/>
              </w:rPr>
              <w:t>до</w:t>
            </w:r>
            <w:r w:rsidRPr="0038361F">
              <w:rPr>
                <w:rFonts w:ascii="Arial" w:eastAsia="Times New Roman" w:hAnsi="Arial" w:cs="Arial"/>
                <w:sz w:val="20"/>
                <w:szCs w:val="20"/>
                <w:lang w:val="mk-MK"/>
              </w:rPr>
              <w:t xml:space="preserve"> стандардите на Заедницата во однос на заштитата на животната средина, јавното здравје (безбедноста на храната и квалитетот на производите), здравјето на животните и растенијата, благосостојбата на животните и заштитата при работа</w:t>
            </w:r>
          </w:p>
        </w:tc>
        <w:tc>
          <w:tcPr>
            <w:tcW w:w="124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41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275"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r>
      <w:tr w:rsidR="00410356" w:rsidRPr="002B2470" w:rsidTr="004A11D3">
        <w:trPr>
          <w:trHeight w:val="510"/>
        </w:trPr>
        <w:tc>
          <w:tcPr>
            <w:tcW w:w="5244"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Подобрување на севкупните перформанси во преработката и маркетингот на примарните земјоделски производи</w:t>
            </w:r>
          </w:p>
        </w:tc>
        <w:tc>
          <w:tcPr>
            <w:tcW w:w="124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13</w:t>
            </w:r>
          </w:p>
        </w:tc>
        <w:tc>
          <w:tcPr>
            <w:tcW w:w="141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w:t>
            </w:r>
          </w:p>
        </w:tc>
        <w:tc>
          <w:tcPr>
            <w:tcW w:w="1275"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r>
      <w:tr w:rsidR="00410356" w:rsidRPr="002B2470" w:rsidTr="004A11D3">
        <w:trPr>
          <w:trHeight w:val="510"/>
        </w:trPr>
        <w:tc>
          <w:tcPr>
            <w:tcW w:w="5244" w:type="dxa"/>
            <w:shd w:val="clear" w:color="auto" w:fill="auto"/>
            <w:vAlign w:val="center"/>
            <w:hideMark/>
          </w:tcPr>
          <w:p w:rsidR="00410356" w:rsidRPr="0038361F" w:rsidRDefault="00410356" w:rsidP="005A7450">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Олеснување на конкуренцијата на внатрешниот пазар преку воведување нови технологии и иновации</w:t>
            </w:r>
          </w:p>
        </w:tc>
        <w:tc>
          <w:tcPr>
            <w:tcW w:w="124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w:t>
            </w:r>
          </w:p>
        </w:tc>
        <w:tc>
          <w:tcPr>
            <w:tcW w:w="141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275"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r>
      <w:tr w:rsidR="00410356" w:rsidRPr="002B2470" w:rsidTr="004A11D3">
        <w:trPr>
          <w:trHeight w:val="765"/>
        </w:trPr>
        <w:tc>
          <w:tcPr>
            <w:tcW w:w="5244" w:type="dxa"/>
            <w:shd w:val="clear" w:color="auto" w:fill="auto"/>
            <w:vAlign w:val="center"/>
            <w:hideMark/>
          </w:tcPr>
          <w:p w:rsidR="00410356" w:rsidRPr="0038361F" w:rsidRDefault="00410356" w:rsidP="005A7450">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Промовирање еколошки практики за производство (намалување на загубите на вода, намалување на загадувањето на животната средина и/или елиминација на нус-производи или отпади)</w:t>
            </w:r>
          </w:p>
        </w:tc>
        <w:tc>
          <w:tcPr>
            <w:tcW w:w="124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41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75"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r>
      <w:tr w:rsidR="00410356" w:rsidRPr="002B2470" w:rsidTr="004A11D3">
        <w:trPr>
          <w:trHeight w:val="915"/>
        </w:trPr>
        <w:tc>
          <w:tcPr>
            <w:tcW w:w="5244"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Да се подобри искористувањето на преработувачките капацитети во поглед на ефикасноста и технолошките подобрувања на производството, како и маркетинг активностите, истовремено промовирајќи иновации и со цел целосно усогласување со стандардите за безбедност на храната во ЕУ</w:t>
            </w:r>
          </w:p>
        </w:tc>
        <w:tc>
          <w:tcPr>
            <w:tcW w:w="1243"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34</w:t>
            </w:r>
          </w:p>
        </w:tc>
        <w:tc>
          <w:tcPr>
            <w:tcW w:w="1418"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18</w:t>
            </w:r>
          </w:p>
        </w:tc>
        <w:tc>
          <w:tcPr>
            <w:tcW w:w="1275" w:type="dxa"/>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2B2470">
        <w:rPr>
          <w:rFonts w:ascii="Arial" w:hAnsi="Arial" w:cs="Arial"/>
          <w:sz w:val="22"/>
          <w:szCs w:val="22"/>
          <w:lang w:val="mk-MK"/>
        </w:rPr>
        <w:t>Барањата</w:t>
      </w:r>
      <w:r w:rsidRPr="0038361F">
        <w:rPr>
          <w:rFonts w:ascii="Arial" w:hAnsi="Arial" w:cs="Arial"/>
          <w:sz w:val="22"/>
          <w:szCs w:val="22"/>
          <w:lang w:val="mk-MK"/>
        </w:rPr>
        <w:t xml:space="preserve"> примен</w:t>
      </w:r>
      <w:r w:rsidRPr="002B2470">
        <w:rPr>
          <w:rFonts w:ascii="Arial" w:hAnsi="Arial" w:cs="Arial"/>
          <w:sz w:val="22"/>
          <w:szCs w:val="22"/>
          <w:lang w:val="mk-MK"/>
        </w:rPr>
        <w:t>и</w:t>
      </w:r>
      <w:r w:rsidRPr="0038361F">
        <w:rPr>
          <w:rFonts w:ascii="Arial" w:hAnsi="Arial" w:cs="Arial"/>
          <w:sz w:val="22"/>
          <w:szCs w:val="22"/>
          <w:lang w:val="mk-MK"/>
        </w:rPr>
        <w:t xml:space="preserve"> на првиот повик има</w:t>
      </w:r>
      <w:r w:rsidRPr="002B2470">
        <w:rPr>
          <w:rFonts w:ascii="Arial" w:hAnsi="Arial" w:cs="Arial"/>
          <w:sz w:val="22"/>
          <w:szCs w:val="22"/>
          <w:lang w:val="mk-MK"/>
        </w:rPr>
        <w:t>ат</w:t>
      </w:r>
      <w:r w:rsidRPr="0038361F">
        <w:rPr>
          <w:rFonts w:ascii="Arial" w:hAnsi="Arial" w:cs="Arial"/>
          <w:sz w:val="22"/>
          <w:szCs w:val="22"/>
          <w:lang w:val="mk-MK"/>
        </w:rPr>
        <w:t xml:space="preserve"> повисока вредност. Најголем дел од </w:t>
      </w:r>
      <w:r w:rsidRPr="002B2470">
        <w:rPr>
          <w:rFonts w:ascii="Arial" w:hAnsi="Arial" w:cs="Arial"/>
          <w:sz w:val="22"/>
          <w:szCs w:val="22"/>
          <w:lang w:val="mk-MK"/>
        </w:rPr>
        <w:t>барањата</w:t>
      </w:r>
      <w:r w:rsidRPr="0038361F">
        <w:rPr>
          <w:rFonts w:ascii="Arial" w:hAnsi="Arial" w:cs="Arial"/>
          <w:sz w:val="22"/>
          <w:szCs w:val="22"/>
          <w:lang w:val="mk-MK"/>
        </w:rPr>
        <w:t xml:space="preserve"> (42%) беа во опсег од 100.000 до 500.000 €, а 23% се во опсег од 10.000 до 50.000 € и 11% </w:t>
      </w:r>
      <w:r w:rsidR="005A7450">
        <w:rPr>
          <w:rFonts w:ascii="Arial" w:hAnsi="Arial" w:cs="Arial"/>
          <w:sz w:val="22"/>
          <w:szCs w:val="22"/>
          <w:lang w:val="mk-MK"/>
        </w:rPr>
        <w:t xml:space="preserve">се </w:t>
      </w:r>
      <w:r w:rsidRPr="0038361F">
        <w:rPr>
          <w:rFonts w:ascii="Arial" w:hAnsi="Arial" w:cs="Arial"/>
          <w:sz w:val="22"/>
          <w:szCs w:val="22"/>
          <w:lang w:val="mk-MK"/>
        </w:rPr>
        <w:t>со вредност од 50.000 до 100.000 €</w:t>
      </w:r>
      <w:r w:rsidRPr="0038361F">
        <w:rPr>
          <w:rStyle w:val="FootnoteReference"/>
          <w:rFonts w:ascii="Arial" w:hAnsi="Arial" w:cs="Arial"/>
          <w:sz w:val="22"/>
          <w:szCs w:val="22"/>
          <w:lang w:val="mk-MK"/>
        </w:rPr>
        <w:footnoteReference w:id="5"/>
      </w:r>
      <w:r w:rsidRPr="0038361F">
        <w:rPr>
          <w:rFonts w:ascii="Arial" w:hAnsi="Arial" w:cs="Arial"/>
          <w:sz w:val="22"/>
          <w:szCs w:val="22"/>
          <w:lang w:val="mk-MK"/>
        </w:rPr>
        <w:t xml:space="preserve">. </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47" w:name="_Toc8640482"/>
      <w:r w:rsidRPr="002B2470">
        <w:rPr>
          <w:rFonts w:ascii="Arial" w:hAnsi="Arial" w:cs="Arial"/>
          <w:sz w:val="20"/>
          <w:szCs w:val="20"/>
          <w:lang w:val="mk-MK"/>
        </w:rPr>
        <w:t>Приказ</w:t>
      </w:r>
      <w:r w:rsidR="004A11D3" w:rsidRPr="002B2470">
        <w:rPr>
          <w:rFonts w:ascii="Arial" w:hAnsi="Arial" w:cs="Arial"/>
          <w:sz w:val="20"/>
          <w:szCs w:val="20"/>
          <w:lang w:val="mk-MK"/>
        </w:rPr>
        <w:t xml:space="preserve">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6</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Преглед на барања по вредност на инвестиција во Мерка</w:t>
      </w:r>
      <w:r w:rsidRPr="0038361F">
        <w:rPr>
          <w:rFonts w:ascii="Arial" w:hAnsi="Arial" w:cs="Arial"/>
          <w:sz w:val="20"/>
          <w:szCs w:val="20"/>
          <w:lang w:val="mk-MK"/>
        </w:rPr>
        <w:t xml:space="preserve"> 3</w:t>
      </w:r>
      <w:bookmarkEnd w:id="47"/>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lastRenderedPageBreak/>
        <w:drawing>
          <wp:inline distT="0" distB="0" distL="0" distR="0" wp14:anchorId="39F0375A" wp14:editId="4F8839DB">
            <wp:extent cx="4584700" cy="2091193"/>
            <wp:effectExtent l="0" t="0" r="635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0225" cy="2093713"/>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Интересот за користење на средствата </w:t>
      </w:r>
      <w:r w:rsidR="005A7450">
        <w:rPr>
          <w:rFonts w:ascii="Arial" w:hAnsi="Arial" w:cs="Arial"/>
          <w:sz w:val="22"/>
          <w:szCs w:val="22"/>
          <w:lang w:val="mk-MK"/>
        </w:rPr>
        <w:t>од</w:t>
      </w:r>
      <w:r w:rsidRPr="0038361F">
        <w:rPr>
          <w:rFonts w:ascii="Arial" w:hAnsi="Arial" w:cs="Arial"/>
          <w:sz w:val="22"/>
          <w:szCs w:val="22"/>
          <w:lang w:val="mk-MK"/>
        </w:rPr>
        <w:t xml:space="preserve"> ИПАРД Програмата е најголем во секторот за </w:t>
      </w:r>
      <w:r w:rsidRPr="002B2470">
        <w:rPr>
          <w:rFonts w:ascii="Arial" w:hAnsi="Arial" w:cs="Arial"/>
          <w:sz w:val="22"/>
          <w:szCs w:val="22"/>
          <w:lang w:val="mk-MK"/>
        </w:rPr>
        <w:t>производство</w:t>
      </w:r>
      <w:r w:rsidRPr="0038361F">
        <w:rPr>
          <w:rFonts w:ascii="Arial" w:hAnsi="Arial" w:cs="Arial"/>
          <w:sz w:val="22"/>
          <w:szCs w:val="22"/>
          <w:lang w:val="mk-MK"/>
        </w:rPr>
        <w:t xml:space="preserve"> на месо и месни производи и преработка на овошје и зеленчук. Преработката на овошје и зеленчук и винскиот сектор се ориентирани кон извоз, со висок степен на ликвидност на компаниите и инвестициски потреби во опрема за модернизација на технолошкиот процес или воведување на нови производни линии.</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48" w:name="_Toc8640204"/>
      <w:r w:rsidRPr="002B2470">
        <w:rPr>
          <w:rFonts w:ascii="Arial" w:hAnsi="Arial" w:cs="Arial"/>
          <w:sz w:val="20"/>
          <w:szCs w:val="20"/>
          <w:lang w:val="mk-MK"/>
        </w:rPr>
        <w:t>Табела</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14</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w:t>
      </w:r>
      <w:r w:rsidRPr="002B2470">
        <w:rPr>
          <w:rFonts w:ascii="Arial" w:hAnsi="Arial" w:cs="Arial"/>
          <w:sz w:val="20"/>
          <w:szCs w:val="20"/>
          <w:lang w:val="mk-MK"/>
        </w:rPr>
        <w:t>Преглед на барања по приоритетни сектори во Мерка 3</w:t>
      </w:r>
      <w:bookmarkEnd w:id="4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276"/>
        <w:gridCol w:w="1148"/>
        <w:gridCol w:w="1262"/>
        <w:gridCol w:w="1148"/>
        <w:gridCol w:w="978"/>
      </w:tblGrid>
      <w:tr w:rsidR="00410356" w:rsidRPr="002B2470" w:rsidTr="004A11D3">
        <w:trPr>
          <w:trHeight w:val="665"/>
        </w:trPr>
        <w:tc>
          <w:tcPr>
            <w:tcW w:w="2235" w:type="dxa"/>
            <w:shd w:val="clear" w:color="auto" w:fill="auto"/>
            <w:noWrap/>
            <w:vAlign w:val="bottom"/>
            <w:hideMark/>
          </w:tcPr>
          <w:p w:rsidR="00410356" w:rsidRPr="0038361F" w:rsidRDefault="00410356" w:rsidP="00410356">
            <w:pPr>
              <w:spacing w:after="0" w:line="240" w:lineRule="auto"/>
              <w:jc w:val="center"/>
              <w:rPr>
                <w:rFonts w:ascii="Arial" w:eastAsia="Times New Roman" w:hAnsi="Arial" w:cs="Arial"/>
                <w:sz w:val="24"/>
                <w:szCs w:val="24"/>
                <w:lang w:val="mk-MK"/>
              </w:rPr>
            </w:pPr>
          </w:p>
        </w:tc>
        <w:tc>
          <w:tcPr>
            <w:tcW w:w="1275" w:type="dxa"/>
            <w:shd w:val="clear" w:color="auto" w:fill="auto"/>
            <w:vAlign w:val="center"/>
            <w:hideMark/>
          </w:tcPr>
          <w:p w:rsidR="00410356" w:rsidRPr="002B2470" w:rsidRDefault="00410356" w:rsidP="00A57727">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(A)</w:t>
            </w:r>
          </w:p>
        </w:tc>
        <w:tc>
          <w:tcPr>
            <w:tcW w:w="1276" w:type="dxa"/>
            <w:shd w:val="clear" w:color="auto" w:fill="auto"/>
            <w:vAlign w:val="center"/>
            <w:hideMark/>
          </w:tcPr>
          <w:p w:rsidR="00410356" w:rsidRPr="002B2470" w:rsidRDefault="00410356" w:rsidP="00A57727">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ЕУ дел одобрен</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c>
          <w:tcPr>
            <w:tcW w:w="1148" w:type="dxa"/>
            <w:shd w:val="clear" w:color="auto" w:fill="auto"/>
            <w:vAlign w:val="center"/>
            <w:hideMark/>
          </w:tcPr>
          <w:p w:rsidR="00C970DC" w:rsidRPr="002B2470" w:rsidRDefault="00C970DC" w:rsidP="00A57727">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ЕУ</w:t>
            </w:r>
            <w:r w:rsidR="005A7450">
              <w:rPr>
                <w:rFonts w:ascii="Arial" w:eastAsia="Times New Roman" w:hAnsi="Arial" w:cs="Arial"/>
                <w:sz w:val="20"/>
                <w:szCs w:val="20"/>
                <w:lang w:val="mk-MK"/>
              </w:rPr>
              <w:t xml:space="preserve"> </w:t>
            </w:r>
            <w:r w:rsidRPr="002B2470">
              <w:rPr>
                <w:rFonts w:ascii="Arial" w:eastAsia="Times New Roman" w:hAnsi="Arial" w:cs="Arial"/>
                <w:sz w:val="20"/>
                <w:szCs w:val="20"/>
                <w:lang w:val="mk-MK"/>
              </w:rPr>
              <w:t>дел</w:t>
            </w:r>
          </w:p>
          <w:p w:rsidR="00410356" w:rsidRPr="0038361F" w:rsidRDefault="00C970DC"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исплатени</w:t>
            </w:r>
          </w:p>
        </w:tc>
        <w:tc>
          <w:tcPr>
            <w:tcW w:w="978" w:type="dxa"/>
          </w:tcPr>
          <w:p w:rsidR="00410356" w:rsidRPr="002B2470"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 xml:space="preserve">% </w:t>
            </w:r>
            <w:r w:rsidR="00C970DC" w:rsidRPr="002B2470">
              <w:rPr>
                <w:rFonts w:ascii="Arial" w:eastAsia="Times New Roman" w:hAnsi="Arial" w:cs="Arial"/>
                <w:sz w:val="20"/>
                <w:szCs w:val="20"/>
                <w:lang w:val="mk-MK"/>
              </w:rPr>
              <w:t>на одобрување</w:t>
            </w:r>
          </w:p>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/A)</w:t>
            </w:r>
          </w:p>
        </w:tc>
      </w:tr>
      <w:tr w:rsidR="00410356" w:rsidRPr="002B2470" w:rsidTr="004A11D3">
        <w:trPr>
          <w:trHeight w:val="435"/>
        </w:trPr>
        <w:tc>
          <w:tcPr>
            <w:tcW w:w="2235"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Собирни центри за млеко</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9</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303.880</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66.425</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56%</w:t>
            </w:r>
          </w:p>
        </w:tc>
      </w:tr>
      <w:tr w:rsidR="00410356" w:rsidRPr="002B2470" w:rsidTr="004A11D3">
        <w:trPr>
          <w:trHeight w:val="345"/>
        </w:trPr>
        <w:tc>
          <w:tcPr>
            <w:tcW w:w="2235"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Месни производи</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2.328.524</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95.783</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67%</w:t>
            </w:r>
          </w:p>
        </w:tc>
      </w:tr>
      <w:tr w:rsidR="00410356" w:rsidRPr="002B2470" w:rsidTr="004A11D3">
        <w:trPr>
          <w:trHeight w:val="345"/>
        </w:trPr>
        <w:tc>
          <w:tcPr>
            <w:tcW w:w="2235"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Собирни центри за овошје и зеленчук</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21</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10</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1.727.013</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383.864</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48%</w:t>
            </w:r>
          </w:p>
        </w:tc>
      </w:tr>
      <w:tr w:rsidR="00410356" w:rsidRPr="002B2470" w:rsidTr="004A11D3">
        <w:trPr>
          <w:trHeight w:val="345"/>
        </w:trPr>
        <w:tc>
          <w:tcPr>
            <w:tcW w:w="2235"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Мелничко производство</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75.879</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40%</w:t>
            </w:r>
          </w:p>
        </w:tc>
      </w:tr>
      <w:tr w:rsidR="00410356" w:rsidRPr="002B2470" w:rsidTr="004A11D3">
        <w:trPr>
          <w:trHeight w:val="345"/>
        </w:trPr>
        <w:tc>
          <w:tcPr>
            <w:tcW w:w="2235" w:type="dxa"/>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Производство на масти масла</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9.619</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50%</w:t>
            </w:r>
          </w:p>
        </w:tc>
      </w:tr>
      <w:tr w:rsidR="00410356" w:rsidRPr="002B2470" w:rsidTr="004A11D3">
        <w:trPr>
          <w:trHeight w:val="435"/>
        </w:trPr>
        <w:tc>
          <w:tcPr>
            <w:tcW w:w="2235" w:type="dxa"/>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Винарство</w:t>
            </w:r>
          </w:p>
        </w:tc>
        <w:tc>
          <w:tcPr>
            <w:tcW w:w="1275"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w:t>
            </w:r>
          </w:p>
        </w:tc>
        <w:tc>
          <w:tcPr>
            <w:tcW w:w="1276"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497.974</w:t>
            </w:r>
          </w:p>
        </w:tc>
        <w:tc>
          <w:tcPr>
            <w:tcW w:w="1262"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1148" w:type="dxa"/>
            <w:shd w:val="clear" w:color="auto" w:fill="auto"/>
            <w:vAlign w:val="center"/>
            <w:hideMark/>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0</w:t>
            </w:r>
          </w:p>
        </w:tc>
        <w:tc>
          <w:tcPr>
            <w:tcW w:w="978" w:type="dxa"/>
          </w:tcPr>
          <w:p w:rsidR="00410356" w:rsidRPr="0038361F" w:rsidRDefault="00410356" w:rsidP="00A57727">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50%</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after="0"/>
        <w:jc w:val="both"/>
        <w:rPr>
          <w:rFonts w:ascii="Arial" w:hAnsi="Arial" w:cs="Arial"/>
          <w:sz w:val="22"/>
          <w:szCs w:val="22"/>
          <w:lang w:val="mk-MK"/>
        </w:rPr>
      </w:pPr>
      <w:r w:rsidRPr="0038361F">
        <w:rPr>
          <w:rFonts w:ascii="Arial" w:hAnsi="Arial" w:cs="Arial"/>
          <w:sz w:val="22"/>
          <w:szCs w:val="22"/>
          <w:lang w:val="mk-MK"/>
        </w:rPr>
        <w:t>Во однос на интересот</w:t>
      </w:r>
      <w:r w:rsidRPr="002B2470">
        <w:rPr>
          <w:rFonts w:ascii="Arial" w:hAnsi="Arial" w:cs="Arial"/>
          <w:sz w:val="22"/>
          <w:szCs w:val="22"/>
          <w:lang w:val="mk-MK"/>
        </w:rPr>
        <w:t xml:space="preserve"> за типови на инвестиции,</w:t>
      </w:r>
      <w:r w:rsidR="005A7450">
        <w:rPr>
          <w:rFonts w:ascii="Arial" w:hAnsi="Arial" w:cs="Arial"/>
          <w:sz w:val="22"/>
          <w:szCs w:val="22"/>
          <w:lang w:val="mk-MK"/>
        </w:rPr>
        <w:t xml:space="preserve"> </w:t>
      </w:r>
      <w:r w:rsidRPr="002B2470">
        <w:rPr>
          <w:rFonts w:ascii="Arial" w:hAnsi="Arial" w:cs="Arial"/>
          <w:sz w:val="22"/>
          <w:szCs w:val="22"/>
          <w:lang w:val="mk-MK"/>
        </w:rPr>
        <w:t xml:space="preserve">опремата за </w:t>
      </w:r>
      <w:r w:rsidRPr="0038361F">
        <w:rPr>
          <w:rFonts w:ascii="Arial" w:hAnsi="Arial" w:cs="Arial"/>
          <w:sz w:val="22"/>
          <w:szCs w:val="22"/>
          <w:lang w:val="mk-MK"/>
        </w:rPr>
        <w:t xml:space="preserve">модернизација на технологијата за производство </w:t>
      </w:r>
      <w:r w:rsidRPr="002B2470">
        <w:rPr>
          <w:rFonts w:ascii="Arial" w:hAnsi="Arial" w:cs="Arial"/>
          <w:sz w:val="22"/>
          <w:szCs w:val="22"/>
          <w:lang w:val="mk-MK"/>
        </w:rPr>
        <w:t>беше најмногу барана од страна на барателите</w:t>
      </w:r>
      <w:r w:rsidRPr="0038361F">
        <w:rPr>
          <w:rFonts w:ascii="Arial" w:hAnsi="Arial" w:cs="Arial"/>
          <w:sz w:val="22"/>
          <w:szCs w:val="22"/>
          <w:lang w:val="mk-MK"/>
        </w:rPr>
        <w:t xml:space="preserve"> (особено во </w:t>
      </w:r>
      <w:r w:rsidRPr="002B2470">
        <w:rPr>
          <w:rFonts w:ascii="Arial" w:hAnsi="Arial" w:cs="Arial"/>
          <w:sz w:val="22"/>
          <w:szCs w:val="22"/>
          <w:lang w:val="mk-MK"/>
        </w:rPr>
        <w:t>преработката на овошје и зеленчук</w:t>
      </w:r>
      <w:r w:rsidR="005A7450">
        <w:rPr>
          <w:rFonts w:ascii="Arial" w:hAnsi="Arial" w:cs="Arial"/>
          <w:sz w:val="22"/>
          <w:szCs w:val="22"/>
          <w:lang w:val="mk-MK"/>
        </w:rPr>
        <w:t xml:space="preserve"> – </w:t>
      </w:r>
      <w:r w:rsidRPr="0038361F">
        <w:rPr>
          <w:rFonts w:ascii="Arial" w:hAnsi="Arial" w:cs="Arial"/>
          <w:sz w:val="22"/>
          <w:szCs w:val="22"/>
          <w:lang w:val="mk-MK"/>
        </w:rPr>
        <w:t xml:space="preserve">11 </w:t>
      </w:r>
      <w:r w:rsidRPr="002B2470">
        <w:rPr>
          <w:rFonts w:ascii="Arial" w:hAnsi="Arial" w:cs="Arial"/>
          <w:sz w:val="22"/>
          <w:szCs w:val="22"/>
          <w:lang w:val="mk-MK"/>
        </w:rPr>
        <w:t>барања</w:t>
      </w:r>
      <w:r w:rsidRPr="0038361F">
        <w:rPr>
          <w:rFonts w:ascii="Arial" w:hAnsi="Arial" w:cs="Arial"/>
          <w:sz w:val="22"/>
          <w:szCs w:val="22"/>
          <w:lang w:val="mk-MK"/>
        </w:rPr>
        <w:t>, 5 договори), изградба/</w:t>
      </w:r>
      <w:r w:rsidR="005A7450">
        <w:rPr>
          <w:rFonts w:ascii="Arial" w:hAnsi="Arial" w:cs="Arial"/>
          <w:sz w:val="22"/>
          <w:szCs w:val="22"/>
          <w:lang w:val="mk-MK"/>
        </w:rPr>
        <w:t xml:space="preserve"> </w:t>
      </w:r>
      <w:r w:rsidRPr="0038361F">
        <w:rPr>
          <w:rFonts w:ascii="Arial" w:hAnsi="Arial" w:cs="Arial"/>
          <w:sz w:val="22"/>
          <w:szCs w:val="22"/>
          <w:lang w:val="mk-MK"/>
        </w:rPr>
        <w:t xml:space="preserve">реконструкција на оперативни капацитети (особено во центрите за собирање на </w:t>
      </w:r>
      <w:r w:rsidRPr="002B2470">
        <w:rPr>
          <w:rFonts w:ascii="Arial" w:hAnsi="Arial" w:cs="Arial"/>
          <w:sz w:val="22"/>
          <w:szCs w:val="22"/>
          <w:lang w:val="mk-MK"/>
        </w:rPr>
        <w:t>овошје и зеленчук</w:t>
      </w:r>
      <w:r w:rsidR="005A7450">
        <w:rPr>
          <w:rFonts w:ascii="Arial" w:hAnsi="Arial" w:cs="Arial"/>
          <w:sz w:val="22"/>
          <w:szCs w:val="22"/>
          <w:lang w:val="mk-MK"/>
        </w:rPr>
        <w:t xml:space="preserve"> –</w:t>
      </w:r>
      <w:r w:rsidRPr="002B2470">
        <w:rPr>
          <w:rFonts w:ascii="Arial" w:hAnsi="Arial" w:cs="Arial"/>
          <w:sz w:val="22"/>
          <w:szCs w:val="22"/>
          <w:lang w:val="mk-MK"/>
        </w:rPr>
        <w:t xml:space="preserve"> </w:t>
      </w:r>
      <w:r w:rsidRPr="0038361F">
        <w:rPr>
          <w:rFonts w:ascii="Arial" w:hAnsi="Arial" w:cs="Arial"/>
          <w:sz w:val="22"/>
          <w:szCs w:val="22"/>
          <w:lang w:val="mk-MK"/>
        </w:rPr>
        <w:t xml:space="preserve">10 </w:t>
      </w:r>
      <w:r w:rsidRPr="002B2470">
        <w:rPr>
          <w:rFonts w:ascii="Arial" w:hAnsi="Arial" w:cs="Arial"/>
          <w:sz w:val="22"/>
          <w:szCs w:val="22"/>
          <w:lang w:val="mk-MK"/>
        </w:rPr>
        <w:t>барања</w:t>
      </w:r>
      <w:r w:rsidRPr="0038361F">
        <w:rPr>
          <w:rFonts w:ascii="Arial" w:hAnsi="Arial" w:cs="Arial"/>
          <w:sz w:val="22"/>
          <w:szCs w:val="22"/>
          <w:lang w:val="mk-MK"/>
        </w:rPr>
        <w:t xml:space="preserve">, 5 договори). Покрај тоа, поднесени се 2 </w:t>
      </w:r>
      <w:r w:rsidRPr="002B2470">
        <w:rPr>
          <w:rFonts w:ascii="Arial" w:hAnsi="Arial" w:cs="Arial"/>
          <w:sz w:val="22"/>
          <w:szCs w:val="22"/>
          <w:lang w:val="mk-MK"/>
        </w:rPr>
        <w:t>гринфилд</w:t>
      </w:r>
      <w:r w:rsidRPr="0038361F">
        <w:rPr>
          <w:rFonts w:ascii="Arial" w:hAnsi="Arial" w:cs="Arial"/>
          <w:sz w:val="22"/>
          <w:szCs w:val="22"/>
          <w:lang w:val="mk-MK"/>
        </w:rPr>
        <w:t xml:space="preserve"> инвестиции и 1 потпишан договор (преработка на месо</w:t>
      </w:r>
      <w:r w:rsidR="005A7450">
        <w:rPr>
          <w:rFonts w:ascii="Arial" w:hAnsi="Arial" w:cs="Arial"/>
          <w:sz w:val="22"/>
          <w:szCs w:val="22"/>
          <w:lang w:val="mk-MK"/>
        </w:rPr>
        <w:t xml:space="preserve"> – </w:t>
      </w:r>
      <w:r w:rsidRPr="0038361F">
        <w:rPr>
          <w:rFonts w:ascii="Arial" w:hAnsi="Arial" w:cs="Arial"/>
          <w:sz w:val="22"/>
          <w:szCs w:val="22"/>
          <w:lang w:val="mk-MK"/>
        </w:rPr>
        <w:t>живина).</w:t>
      </w:r>
    </w:p>
    <w:p w:rsidR="00AA6CCB" w:rsidRPr="002B2470" w:rsidRDefault="00410356" w:rsidP="00AA6CCB">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Кандидатите не покажаа интерес за инвестирање во: управување со отпад и управување со отпадни води, транспортни резервоари, приколки и специјализирани возила за транспорт на суровини, опрема за подобрување на стандардите за благосостојба на животните и инвестиции во развојот на инфраструктурата на </w:t>
      </w:r>
      <w:r w:rsidRPr="002B2470">
        <w:rPr>
          <w:rFonts w:ascii="Arial" w:hAnsi="Arial" w:cs="Arial"/>
          <w:sz w:val="22"/>
          <w:szCs w:val="22"/>
          <w:lang w:val="mk-MK"/>
        </w:rPr>
        <w:t>барателите</w:t>
      </w:r>
      <w:r w:rsidRPr="0038361F">
        <w:rPr>
          <w:rFonts w:ascii="Arial" w:hAnsi="Arial" w:cs="Arial"/>
          <w:sz w:val="22"/>
          <w:szCs w:val="22"/>
          <w:lang w:val="mk-MK"/>
        </w:rPr>
        <w:t>.</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14"/>
          <w:szCs w:val="18"/>
          <w:lang w:val="mk-MK" w:eastAsia="en-US"/>
        </w:rPr>
      </w:pPr>
      <w:bookmarkStart w:id="49" w:name="_Toc8640483"/>
      <w:r w:rsidRPr="002B2470">
        <w:rPr>
          <w:rFonts w:ascii="Arial" w:hAnsi="Arial" w:cs="Arial"/>
          <w:sz w:val="20"/>
          <w:lang w:val="mk-MK"/>
        </w:rPr>
        <w:t>Приказ</w:t>
      </w:r>
      <w:r w:rsidR="00AA6CCB" w:rsidRPr="002B2470">
        <w:rPr>
          <w:rFonts w:ascii="Arial" w:hAnsi="Arial" w:cs="Arial"/>
          <w:sz w:val="20"/>
          <w:lang w:val="mk-MK"/>
        </w:rPr>
        <w:t xml:space="preserve"> </w:t>
      </w:r>
      <w:r w:rsidR="001C2124" w:rsidRPr="0038361F">
        <w:rPr>
          <w:rFonts w:ascii="Arial" w:hAnsi="Arial" w:cs="Arial"/>
          <w:sz w:val="20"/>
          <w:lang w:val="mk-MK"/>
        </w:rPr>
        <w:fldChar w:fldCharType="begin"/>
      </w:r>
      <w:r w:rsidRPr="0038361F">
        <w:rPr>
          <w:rFonts w:ascii="Arial" w:hAnsi="Arial" w:cs="Arial"/>
          <w:sz w:val="20"/>
          <w:lang w:val="mk-MK"/>
        </w:rPr>
        <w:instrText xml:space="preserve"> SEQ Figure \* ARABIC </w:instrText>
      </w:r>
      <w:r w:rsidR="001C2124" w:rsidRPr="0038361F">
        <w:rPr>
          <w:rFonts w:ascii="Arial" w:hAnsi="Arial" w:cs="Arial"/>
          <w:sz w:val="20"/>
          <w:lang w:val="mk-MK"/>
        </w:rPr>
        <w:fldChar w:fldCharType="separate"/>
      </w:r>
      <w:r w:rsidRPr="0038361F">
        <w:rPr>
          <w:rFonts w:ascii="Arial" w:hAnsi="Arial" w:cs="Arial"/>
          <w:sz w:val="20"/>
          <w:lang w:val="mk-MK"/>
        </w:rPr>
        <w:t>7</w:t>
      </w:r>
      <w:r w:rsidR="001C2124" w:rsidRPr="0038361F">
        <w:rPr>
          <w:rFonts w:ascii="Arial" w:hAnsi="Arial" w:cs="Arial"/>
          <w:sz w:val="20"/>
          <w:lang w:val="mk-MK"/>
        </w:rPr>
        <w:fldChar w:fldCharType="end"/>
      </w:r>
      <w:r w:rsidRPr="0038361F">
        <w:rPr>
          <w:rFonts w:ascii="Arial" w:hAnsi="Arial" w:cs="Arial"/>
          <w:sz w:val="20"/>
          <w:lang w:val="mk-MK"/>
        </w:rPr>
        <w:t xml:space="preserve">: </w:t>
      </w:r>
      <w:r w:rsidRPr="002B2470">
        <w:rPr>
          <w:rFonts w:ascii="Arial" w:hAnsi="Arial" w:cs="Arial"/>
          <w:sz w:val="20"/>
          <w:lang w:val="mk-MK"/>
        </w:rPr>
        <w:t>Преглед на барањата по тип на инвестиција во Мерка 3</w:t>
      </w:r>
      <w:bookmarkEnd w:id="49"/>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5A7450">
        <w:rPr>
          <w:rFonts w:ascii="Arial" w:hAnsi="Arial" w:cs="Arial"/>
          <w:noProof/>
          <w:sz w:val="18"/>
          <w:szCs w:val="18"/>
          <w:lang w:val="en-US" w:eastAsia="en-US"/>
        </w:rPr>
        <w:lastRenderedPageBreak/>
        <w:drawing>
          <wp:inline distT="0" distB="0" distL="0" distR="0" wp14:anchorId="4CAC2FAD" wp14:editId="04ADE9CD">
            <wp:extent cx="56515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1500" cy="2755900"/>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9B65D1">
      <w:pPr>
        <w:pStyle w:val="ListParagraph"/>
        <w:numPr>
          <w:ilvl w:val="1"/>
          <w:numId w:val="36"/>
        </w:numPr>
        <w:spacing w:before="120" w:after="0" w:line="240" w:lineRule="auto"/>
        <w:jc w:val="both"/>
        <w:outlineLvl w:val="1"/>
        <w:rPr>
          <w:rFonts w:ascii="Arial" w:hAnsi="Arial" w:cs="Arial"/>
          <w:b/>
          <w:lang w:val="mk-MK"/>
        </w:rPr>
      </w:pPr>
      <w:bookmarkStart w:id="50" w:name="_Toc7520957"/>
      <w:bookmarkStart w:id="51" w:name="_Toc8639872"/>
      <w:r w:rsidRPr="0038361F">
        <w:rPr>
          <w:rFonts w:ascii="Arial" w:hAnsi="Arial" w:cs="Arial"/>
          <w:b/>
          <w:lang w:val="mk-MK"/>
        </w:rPr>
        <w:t xml:space="preserve">Мерка 7 – </w:t>
      </w:r>
      <w:r w:rsidRPr="002B2470">
        <w:rPr>
          <w:rFonts w:ascii="Arial" w:hAnsi="Arial" w:cs="Arial"/>
          <w:b/>
          <w:lang w:val="mk-MK"/>
        </w:rPr>
        <w:t>Диверзификација на фарм</w:t>
      </w:r>
      <w:r w:rsidR="00AD5130">
        <w:rPr>
          <w:rFonts w:ascii="Arial" w:hAnsi="Arial" w:cs="Arial"/>
          <w:b/>
          <w:lang w:val="mk-MK"/>
        </w:rPr>
        <w:t>и</w:t>
      </w:r>
      <w:r w:rsidRPr="002B2470">
        <w:rPr>
          <w:rFonts w:ascii="Arial" w:hAnsi="Arial" w:cs="Arial"/>
          <w:b/>
          <w:lang w:val="mk-MK"/>
        </w:rPr>
        <w:t xml:space="preserve"> и развој на бизниси</w:t>
      </w:r>
      <w:bookmarkEnd w:id="50"/>
      <w:bookmarkEnd w:id="51"/>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eastAsia="en-US"/>
        </w:rPr>
      </w:pPr>
      <w:r w:rsidRPr="0038361F">
        <w:rPr>
          <w:rFonts w:ascii="Arial" w:hAnsi="Arial" w:cs="Arial"/>
          <w:sz w:val="22"/>
          <w:szCs w:val="22"/>
          <w:lang w:val="mk-MK" w:eastAsia="en-US"/>
        </w:rPr>
        <w:t>Склучувањето на договорите во оваа мерка беше одложено поради големиот број и вредноста на доставените барања. Првиот повик им</w:t>
      </w:r>
      <w:r w:rsidR="005A7450">
        <w:rPr>
          <w:rFonts w:ascii="Arial" w:hAnsi="Arial" w:cs="Arial"/>
          <w:sz w:val="22"/>
          <w:szCs w:val="22"/>
          <w:lang w:val="mk-MK" w:eastAsia="en-US"/>
        </w:rPr>
        <w:t>а</w:t>
      </w:r>
      <w:r w:rsidRPr="0038361F">
        <w:rPr>
          <w:rFonts w:ascii="Arial" w:hAnsi="Arial" w:cs="Arial"/>
          <w:sz w:val="22"/>
          <w:szCs w:val="22"/>
          <w:lang w:val="mk-MK" w:eastAsia="en-US"/>
        </w:rPr>
        <w:t xml:space="preserve">ше 187 барања (41.342.988 € ЕУ придонес) поднесени за оваа мерка. Првите 20 договори под </w:t>
      </w:r>
      <w:r w:rsidR="005A7450">
        <w:rPr>
          <w:rFonts w:ascii="Arial" w:hAnsi="Arial" w:cs="Arial"/>
          <w:sz w:val="22"/>
          <w:szCs w:val="22"/>
          <w:lang w:val="mk-MK" w:eastAsia="en-US"/>
        </w:rPr>
        <w:t>М</w:t>
      </w:r>
      <w:r w:rsidRPr="0038361F">
        <w:rPr>
          <w:rFonts w:ascii="Arial" w:hAnsi="Arial" w:cs="Arial"/>
          <w:sz w:val="22"/>
          <w:szCs w:val="22"/>
          <w:lang w:val="mk-MK" w:eastAsia="en-US"/>
        </w:rPr>
        <w:t xml:space="preserve">ерка 7 </w:t>
      </w:r>
      <w:r w:rsidR="005A7450">
        <w:rPr>
          <w:rFonts w:ascii="Arial" w:hAnsi="Arial" w:cs="Arial"/>
          <w:sz w:val="22"/>
          <w:szCs w:val="22"/>
          <w:lang w:val="mk-MK" w:eastAsia="en-US"/>
        </w:rPr>
        <w:t xml:space="preserve">се </w:t>
      </w:r>
      <w:r w:rsidRPr="0038361F">
        <w:rPr>
          <w:rFonts w:ascii="Arial" w:hAnsi="Arial" w:cs="Arial"/>
          <w:sz w:val="22"/>
          <w:szCs w:val="22"/>
          <w:lang w:val="mk-MK" w:eastAsia="en-US"/>
        </w:rPr>
        <w:t>склучени на почетокот од 2019 година (2.271.506 ЕУ придонес).</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52" w:name="_Toc8640205"/>
      <w:r w:rsidRPr="0038361F">
        <w:rPr>
          <w:rFonts w:ascii="Arial" w:hAnsi="Arial" w:cs="Arial"/>
          <w:sz w:val="20"/>
          <w:szCs w:val="20"/>
          <w:lang w:val="mk-MK" w:eastAsia="en-US"/>
        </w:rPr>
        <w:t>Табела</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15</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:Преглед на исполнување на целите по барање во Мерка 7</w:t>
      </w:r>
      <w:bookmarkEnd w:id="52"/>
    </w:p>
    <w:tbl>
      <w:tblPr>
        <w:tblW w:w="91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08"/>
        <w:gridCol w:w="1296"/>
        <w:gridCol w:w="1159"/>
        <w:gridCol w:w="1417"/>
      </w:tblGrid>
      <w:tr w:rsidR="00410356" w:rsidRPr="002B2470" w:rsidTr="00AA6CCB">
        <w:trPr>
          <w:trHeight w:val="765"/>
        </w:trPr>
        <w:tc>
          <w:tcPr>
            <w:tcW w:w="5308" w:type="dxa"/>
            <w:shd w:val="clear" w:color="auto" w:fill="auto"/>
            <w:vAlign w:val="center"/>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Цели на мерката</w:t>
            </w:r>
          </w:p>
        </w:tc>
        <w:tc>
          <w:tcPr>
            <w:tcW w:w="1296" w:type="dxa"/>
            <w:shd w:val="clear" w:color="auto" w:fill="auto"/>
            <w:noWrap/>
            <w:vAlign w:val="center"/>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r>
      <w:tr w:rsidR="00410356" w:rsidRPr="002B2470" w:rsidTr="00AA6CCB">
        <w:trPr>
          <w:trHeight w:val="376"/>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Зголемени економски активности во руралните средини</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r w:rsidR="00410356" w:rsidRPr="002B2470" w:rsidTr="00AA6CCB">
        <w:trPr>
          <w:trHeight w:val="359"/>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Создавање можности за вработување на руралното население</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47</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r w:rsidR="00410356" w:rsidRPr="002B2470" w:rsidTr="00AA6CCB">
        <w:trPr>
          <w:trHeight w:val="510"/>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Да се зголемат или да се обезбедат дополнителни мејнстрим услуги за руралната економија</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r w:rsidR="00410356" w:rsidRPr="002B2470" w:rsidTr="00AA6CCB">
        <w:trPr>
          <w:trHeight w:val="584"/>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Обезбед</w:t>
            </w:r>
            <w:r w:rsidRPr="002B2470">
              <w:rPr>
                <w:rFonts w:ascii="Arial" w:eastAsia="Times New Roman" w:hAnsi="Arial" w:cs="Arial"/>
                <w:sz w:val="20"/>
                <w:szCs w:val="20"/>
                <w:lang w:val="mk-MK"/>
              </w:rPr>
              <w:t xml:space="preserve">ување на можности </w:t>
            </w:r>
            <w:r w:rsidRPr="0038361F">
              <w:rPr>
                <w:rFonts w:ascii="Arial" w:eastAsia="Times New Roman" w:hAnsi="Arial" w:cs="Arial"/>
                <w:sz w:val="20"/>
                <w:szCs w:val="20"/>
                <w:lang w:val="mk-MK"/>
              </w:rPr>
              <w:t>за иден економски развој, вклучувајќи ги и туризмот и занаетчиските активности</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21</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r w:rsidR="00410356" w:rsidRPr="002B2470" w:rsidTr="00AA6CCB">
        <w:trPr>
          <w:trHeight w:val="915"/>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Поддршка на развојот на постојните и новите рурални бизниси за економски развој и вработување; да се развие потенцијал за рурален туризам</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33</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r w:rsidR="00410356" w:rsidRPr="002B2470" w:rsidTr="00AA6CCB">
        <w:trPr>
          <w:trHeight w:val="915"/>
        </w:trPr>
        <w:tc>
          <w:tcPr>
            <w:tcW w:w="5308" w:type="dxa"/>
            <w:shd w:val="clear" w:color="auto" w:fill="auto"/>
            <w:vAlign w:val="center"/>
          </w:tcPr>
          <w:p w:rsidR="00410356" w:rsidRPr="0038361F" w:rsidRDefault="00410356" w:rsidP="00410356">
            <w:pPr>
              <w:spacing w:after="0" w:line="240" w:lineRule="auto"/>
              <w:rPr>
                <w:rFonts w:ascii="Arial" w:eastAsia="Times New Roman" w:hAnsi="Arial" w:cs="Arial"/>
                <w:sz w:val="20"/>
                <w:szCs w:val="20"/>
                <w:lang w:val="mk-MK"/>
              </w:rPr>
            </w:pPr>
            <w:r w:rsidRPr="0038361F">
              <w:rPr>
                <w:rFonts w:ascii="Arial" w:eastAsia="Times New Roman" w:hAnsi="Arial" w:cs="Arial"/>
                <w:sz w:val="20"/>
                <w:szCs w:val="20"/>
                <w:lang w:val="mk-MK"/>
              </w:rPr>
              <w:t>Да се развие физичка инфраструктура, да се надградат селските површини и да се зголеми обезбедувањето на услуги и рурално сместување, за туризам и развој на бизнисот во руралните области и подобрување на условите за живеење во руралните средини</w:t>
            </w:r>
          </w:p>
        </w:tc>
        <w:tc>
          <w:tcPr>
            <w:tcW w:w="1296"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77</w:t>
            </w:r>
          </w:p>
        </w:tc>
        <w:tc>
          <w:tcPr>
            <w:tcW w:w="1159"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417" w:type="dxa"/>
            <w:shd w:val="clear" w:color="auto" w:fill="auto"/>
            <w:noWrap/>
            <w:vAlign w:val="center"/>
          </w:tcPr>
          <w:p w:rsidR="00410356" w:rsidRPr="0038361F" w:rsidRDefault="00410356" w:rsidP="00410356">
            <w:pPr>
              <w:spacing w:after="0" w:line="240" w:lineRule="auto"/>
              <w:jc w:val="center"/>
              <w:rPr>
                <w:rFonts w:ascii="Arial" w:eastAsia="Times New Roman" w:hAnsi="Arial" w:cs="Arial"/>
                <w:sz w:val="20"/>
                <w:szCs w:val="20"/>
                <w:lang w:val="mk-MK"/>
              </w:rPr>
            </w:pP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Поднесените апликации во оваа мерка се разликуваат во вредноста на инвестицијата. Повеќе од половина од поднесените </w:t>
      </w:r>
      <w:r w:rsidRPr="002B2470">
        <w:rPr>
          <w:rFonts w:ascii="Arial" w:hAnsi="Arial" w:cs="Arial"/>
          <w:sz w:val="22"/>
          <w:szCs w:val="22"/>
          <w:lang w:val="mk-MK"/>
        </w:rPr>
        <w:t>барања</w:t>
      </w:r>
      <w:r w:rsidRPr="0038361F">
        <w:rPr>
          <w:rFonts w:ascii="Arial" w:hAnsi="Arial" w:cs="Arial"/>
          <w:sz w:val="22"/>
          <w:szCs w:val="22"/>
          <w:lang w:val="mk-MK"/>
        </w:rPr>
        <w:t xml:space="preserve"> се во опсег од 10.000-50.000 € (27%) и 100.000-500.000 € (27%).</w:t>
      </w:r>
    </w:p>
    <w:p w:rsidR="004F45B2" w:rsidRPr="0038361F" w:rsidRDefault="004F45B2" w:rsidP="00410356">
      <w:pPr>
        <w:pStyle w:val="m343668044302477783m-3986873246552044066msolistparagraph"/>
        <w:spacing w:before="120" w:beforeAutospacing="0" w:after="0" w:afterAutospacing="0"/>
        <w:jc w:val="both"/>
        <w:rPr>
          <w:rFonts w:ascii="Arial" w:hAnsi="Arial" w:cs="Arial"/>
          <w:sz w:val="22"/>
          <w:szCs w:val="22"/>
          <w:lang w:val="mk-MK"/>
        </w:rPr>
      </w:pP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53" w:name="_Toc8640484"/>
      <w:r w:rsidRPr="002B2470">
        <w:rPr>
          <w:rFonts w:ascii="Arial" w:hAnsi="Arial" w:cs="Arial"/>
          <w:sz w:val="20"/>
          <w:szCs w:val="20"/>
          <w:lang w:val="mk-MK"/>
        </w:rPr>
        <w:t>Приказ</w:t>
      </w:r>
      <w:r w:rsidR="009E4007" w:rsidRPr="002B2470">
        <w:rPr>
          <w:rFonts w:ascii="Arial" w:hAnsi="Arial" w:cs="Arial"/>
          <w:sz w:val="20"/>
          <w:szCs w:val="20"/>
          <w:lang w:val="mk-MK"/>
        </w:rPr>
        <w:t xml:space="preserve">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8</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Преглед на барања по вредност на инвестициите во Мерка 7</w:t>
      </w:r>
      <w:bookmarkEnd w:id="53"/>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lastRenderedPageBreak/>
        <w:drawing>
          <wp:inline distT="0" distB="0" distL="0" distR="0" wp14:anchorId="38FD5DD3" wp14:editId="6B054430">
            <wp:extent cx="4584700" cy="27559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Интересот за користење на средствата </w:t>
      </w:r>
      <w:r w:rsidR="005A7450">
        <w:rPr>
          <w:rFonts w:ascii="Arial" w:hAnsi="Arial" w:cs="Arial"/>
          <w:sz w:val="22"/>
          <w:szCs w:val="22"/>
          <w:lang w:val="mk-MK"/>
        </w:rPr>
        <w:t>од</w:t>
      </w:r>
      <w:r w:rsidRPr="0038361F">
        <w:rPr>
          <w:rFonts w:ascii="Arial" w:hAnsi="Arial" w:cs="Arial"/>
          <w:sz w:val="22"/>
          <w:szCs w:val="22"/>
          <w:lang w:val="mk-MK"/>
        </w:rPr>
        <w:t xml:space="preserve"> ИПАРД Програмата е најголем во секторот </w:t>
      </w:r>
      <w:r w:rsidRPr="002B2470">
        <w:rPr>
          <w:rFonts w:ascii="Arial" w:hAnsi="Arial" w:cs="Arial"/>
          <w:sz w:val="22"/>
          <w:szCs w:val="22"/>
          <w:lang w:val="mk-MK"/>
        </w:rPr>
        <w:t xml:space="preserve">за </w:t>
      </w:r>
      <w:r w:rsidRPr="0038361F">
        <w:rPr>
          <w:rFonts w:ascii="Arial" w:hAnsi="Arial" w:cs="Arial"/>
          <w:sz w:val="22"/>
          <w:szCs w:val="22"/>
          <w:lang w:val="mk-MK"/>
        </w:rPr>
        <w:t xml:space="preserve">производство и продажба на обновлива енергија (39 </w:t>
      </w:r>
      <w:r w:rsidRPr="002B2470">
        <w:rPr>
          <w:rFonts w:ascii="Arial" w:hAnsi="Arial" w:cs="Arial"/>
          <w:sz w:val="22"/>
          <w:szCs w:val="22"/>
          <w:lang w:val="mk-MK"/>
        </w:rPr>
        <w:t>барања</w:t>
      </w:r>
      <w:r w:rsidRPr="0038361F">
        <w:rPr>
          <w:rFonts w:ascii="Arial" w:hAnsi="Arial" w:cs="Arial"/>
          <w:sz w:val="22"/>
          <w:szCs w:val="22"/>
          <w:lang w:val="mk-MK"/>
        </w:rPr>
        <w:t xml:space="preserve"> за соларна енергија, ветер, вода, геотермална енергија), алтернативно земјоделско производство (20 </w:t>
      </w:r>
      <w:r w:rsidRPr="002B2470">
        <w:rPr>
          <w:rFonts w:ascii="Arial" w:hAnsi="Arial" w:cs="Arial"/>
          <w:sz w:val="22"/>
          <w:szCs w:val="22"/>
          <w:lang w:val="mk-MK"/>
        </w:rPr>
        <w:t>барања</w:t>
      </w:r>
      <w:r w:rsidRPr="0038361F">
        <w:rPr>
          <w:rFonts w:ascii="Arial" w:hAnsi="Arial" w:cs="Arial"/>
          <w:sz w:val="22"/>
          <w:szCs w:val="22"/>
          <w:lang w:val="mk-MK"/>
        </w:rPr>
        <w:t xml:space="preserve"> за одгледување билки, семиња и други зачини и ароматични култури), непрехранбени производи (33 </w:t>
      </w:r>
      <w:r w:rsidRPr="002B2470">
        <w:rPr>
          <w:rFonts w:ascii="Arial" w:hAnsi="Arial" w:cs="Arial"/>
          <w:sz w:val="22"/>
          <w:szCs w:val="22"/>
          <w:lang w:val="mk-MK"/>
        </w:rPr>
        <w:t>барања</w:t>
      </w:r>
      <w:r w:rsidRPr="0038361F">
        <w:rPr>
          <w:rFonts w:ascii="Arial" w:hAnsi="Arial" w:cs="Arial"/>
          <w:sz w:val="22"/>
          <w:szCs w:val="22"/>
          <w:lang w:val="mk-MK"/>
        </w:rPr>
        <w:t xml:space="preserve"> во обработка на дрво) и рурален туризам (17 </w:t>
      </w:r>
      <w:r w:rsidRPr="002B2470">
        <w:rPr>
          <w:rFonts w:ascii="Arial" w:hAnsi="Arial" w:cs="Arial"/>
          <w:sz w:val="22"/>
          <w:szCs w:val="22"/>
          <w:lang w:val="mk-MK"/>
        </w:rPr>
        <w:t>барања</w:t>
      </w:r>
      <w:r w:rsidRPr="0038361F">
        <w:rPr>
          <w:rFonts w:ascii="Arial" w:hAnsi="Arial" w:cs="Arial"/>
          <w:sz w:val="22"/>
          <w:szCs w:val="22"/>
          <w:lang w:val="mk-MK"/>
        </w:rPr>
        <w:t xml:space="preserve"> во сместување, 13 </w:t>
      </w:r>
      <w:r w:rsidRPr="002B2470">
        <w:rPr>
          <w:rFonts w:ascii="Arial" w:hAnsi="Arial" w:cs="Arial"/>
          <w:sz w:val="22"/>
          <w:szCs w:val="22"/>
          <w:lang w:val="mk-MK"/>
        </w:rPr>
        <w:t>барања</w:t>
      </w:r>
      <w:r w:rsidRPr="0038361F">
        <w:rPr>
          <w:rFonts w:ascii="Arial" w:hAnsi="Arial" w:cs="Arial"/>
          <w:sz w:val="22"/>
          <w:szCs w:val="22"/>
          <w:lang w:val="mk-MK"/>
        </w:rPr>
        <w:t xml:space="preserve"> во руралните музеи).</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54" w:name="_Toc8640206"/>
      <w:r w:rsidRPr="002B2470">
        <w:rPr>
          <w:rFonts w:ascii="Arial" w:hAnsi="Arial" w:cs="Arial"/>
          <w:sz w:val="20"/>
          <w:szCs w:val="20"/>
          <w:lang w:val="mk-MK"/>
        </w:rPr>
        <w:t>Табела</w:t>
      </w:r>
      <w:r w:rsidR="001C2124" w:rsidRPr="0038361F">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38361F">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16</w:t>
      </w:r>
      <w:r w:rsidR="001C2124" w:rsidRPr="0038361F">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w:t>
      </w:r>
      <w:r w:rsidRPr="002B2470">
        <w:rPr>
          <w:rFonts w:ascii="Arial" w:hAnsi="Arial" w:cs="Arial"/>
          <w:sz w:val="20"/>
          <w:szCs w:val="20"/>
          <w:lang w:val="mk-MK"/>
        </w:rPr>
        <w:t>Преглед на барања по приоритетен сектор во Мерка 7</w:t>
      </w:r>
      <w:bookmarkEnd w:id="54"/>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296"/>
        <w:gridCol w:w="1250"/>
        <w:gridCol w:w="992"/>
        <w:gridCol w:w="1417"/>
      </w:tblGrid>
      <w:tr w:rsidR="00410356" w:rsidRPr="002B2470" w:rsidTr="009E4007">
        <w:trPr>
          <w:trHeight w:val="665"/>
        </w:trPr>
        <w:tc>
          <w:tcPr>
            <w:tcW w:w="4225" w:type="dxa"/>
            <w:shd w:val="clear" w:color="auto" w:fill="auto"/>
            <w:noWrap/>
            <w:vAlign w:val="bottom"/>
            <w:hideMark/>
          </w:tcPr>
          <w:p w:rsidR="00410356" w:rsidRPr="0038361F" w:rsidRDefault="00410356" w:rsidP="00410356">
            <w:pPr>
              <w:spacing w:after="0" w:line="240" w:lineRule="auto"/>
              <w:jc w:val="center"/>
              <w:rPr>
                <w:rFonts w:ascii="Arial" w:eastAsia="Times New Roman" w:hAnsi="Arial" w:cs="Arial"/>
                <w:sz w:val="20"/>
                <w:szCs w:val="20"/>
                <w:lang w:val="mk-MK"/>
              </w:rPr>
            </w:pPr>
          </w:p>
        </w:tc>
        <w:tc>
          <w:tcPr>
            <w:tcW w:w="1296" w:type="dxa"/>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(A)</w:t>
            </w:r>
          </w:p>
        </w:tc>
        <w:tc>
          <w:tcPr>
            <w:tcW w:w="1250" w:type="dxa"/>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w:t>
            </w:r>
          </w:p>
        </w:tc>
        <w:tc>
          <w:tcPr>
            <w:tcW w:w="992" w:type="dxa"/>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ЕУ дел одобрени</w:t>
            </w:r>
          </w:p>
        </w:tc>
        <w:tc>
          <w:tcPr>
            <w:tcW w:w="1417" w:type="dxa"/>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 xml:space="preserve">% </w:t>
            </w:r>
            <w:r w:rsidRPr="002B2470">
              <w:rPr>
                <w:rFonts w:ascii="Arial" w:eastAsia="Times New Roman" w:hAnsi="Arial" w:cs="Arial"/>
                <w:sz w:val="20"/>
                <w:szCs w:val="20"/>
                <w:lang w:val="mk-MK"/>
              </w:rPr>
              <w:t>на одобрување</w:t>
            </w:r>
          </w:p>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w:t>
            </w:r>
            <w:r w:rsidRPr="002B2470">
              <w:rPr>
                <w:rFonts w:ascii="Arial" w:eastAsia="Times New Roman" w:hAnsi="Arial" w:cs="Arial"/>
                <w:sz w:val="20"/>
                <w:szCs w:val="20"/>
                <w:lang w:val="mk-MK"/>
              </w:rPr>
              <w:t>Б</w:t>
            </w:r>
            <w:r w:rsidRPr="0038361F">
              <w:rPr>
                <w:rFonts w:ascii="Arial" w:eastAsia="Times New Roman" w:hAnsi="Arial" w:cs="Arial"/>
                <w:sz w:val="20"/>
                <w:szCs w:val="20"/>
                <w:lang w:val="mk-MK"/>
              </w:rPr>
              <w:t>/A)</w:t>
            </w:r>
          </w:p>
        </w:tc>
      </w:tr>
      <w:tr w:rsidR="00410356" w:rsidRPr="002B2470" w:rsidTr="009E4007">
        <w:trPr>
          <w:trHeight w:val="43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2B2470">
              <w:rPr>
                <w:rFonts w:ascii="Arial" w:hAnsi="Arial" w:cs="Arial"/>
                <w:sz w:val="20"/>
                <w:szCs w:val="20"/>
                <w:lang w:val="mk-MK"/>
              </w:rPr>
              <w:t>Алтернативно земјоделско производство</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39</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10</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268.650</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26%</w:t>
            </w:r>
          </w:p>
        </w:tc>
      </w:tr>
      <w:tr w:rsidR="00410356" w:rsidRPr="002B2470" w:rsidTr="009E4007">
        <w:trPr>
          <w:trHeight w:val="34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 xml:space="preserve">Производство на прехранбени производи и </w:t>
            </w:r>
            <w:r w:rsidR="005A7450" w:rsidRPr="005A7450">
              <w:rPr>
                <w:rFonts w:ascii="Arial" w:hAnsi="Arial" w:cs="Arial"/>
                <w:sz w:val="20"/>
                <w:szCs w:val="20"/>
                <w:lang w:val="mk-MK"/>
              </w:rPr>
              <w:t>пијалаци</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21</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20.549</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5%</w:t>
            </w:r>
          </w:p>
        </w:tc>
      </w:tr>
      <w:tr w:rsidR="00410356" w:rsidRPr="002B2470" w:rsidTr="009E4007">
        <w:trPr>
          <w:trHeight w:val="34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Производство на непрехранбени производи</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33</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4</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502.247</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12%</w:t>
            </w:r>
          </w:p>
        </w:tc>
      </w:tr>
      <w:tr w:rsidR="00410356" w:rsidRPr="002B2470" w:rsidTr="009E4007">
        <w:trPr>
          <w:trHeight w:val="34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Развој на занаетчиски активности</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5</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0</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0</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0%</w:t>
            </w:r>
          </w:p>
        </w:tc>
      </w:tr>
      <w:tr w:rsidR="00410356" w:rsidRPr="002B2470" w:rsidTr="009E4007">
        <w:trPr>
          <w:trHeight w:val="34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Обезбедување на услуги за земјоделство</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4</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9.055</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25%</w:t>
            </w:r>
          </w:p>
        </w:tc>
      </w:tr>
      <w:tr w:rsidR="00410356" w:rsidRPr="002B2470" w:rsidTr="009E4007">
        <w:trPr>
          <w:trHeight w:val="43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Развој на услуги за руралното население</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8</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487.158</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13%</w:t>
            </w:r>
          </w:p>
        </w:tc>
      </w:tr>
      <w:tr w:rsidR="00410356" w:rsidRPr="002B2470" w:rsidTr="009E4007">
        <w:trPr>
          <w:trHeight w:val="43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Промоција на руралниот туризам</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32</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3</w:t>
            </w:r>
          </w:p>
        </w:tc>
        <w:tc>
          <w:tcPr>
            <w:tcW w:w="992" w:type="dxa"/>
            <w:shd w:val="clear" w:color="auto" w:fill="auto"/>
            <w:vAlign w:val="center"/>
          </w:tcPr>
          <w:p w:rsidR="00410356" w:rsidRPr="0038361F" w:rsidRDefault="00410356" w:rsidP="009E4007">
            <w:pPr>
              <w:spacing w:after="0" w:line="240" w:lineRule="auto"/>
              <w:jc w:val="center"/>
              <w:rPr>
                <w:rFonts w:ascii="Arial" w:hAnsi="Arial" w:cs="Arial"/>
                <w:sz w:val="20"/>
                <w:szCs w:val="20"/>
                <w:lang w:val="mk-MK"/>
              </w:rPr>
            </w:pPr>
            <w:r w:rsidRPr="0038361F">
              <w:rPr>
                <w:rFonts w:ascii="Arial" w:hAnsi="Arial" w:cs="Arial"/>
                <w:sz w:val="20"/>
                <w:szCs w:val="20"/>
                <w:lang w:val="mk-MK"/>
              </w:rPr>
              <w:t>983.847</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9%</w:t>
            </w:r>
          </w:p>
        </w:tc>
      </w:tr>
      <w:tr w:rsidR="00410356" w:rsidRPr="002B2470" w:rsidTr="009E4007">
        <w:trPr>
          <w:trHeight w:val="435"/>
        </w:trPr>
        <w:tc>
          <w:tcPr>
            <w:tcW w:w="4225" w:type="dxa"/>
            <w:shd w:val="clear" w:color="auto" w:fill="auto"/>
            <w:vAlign w:val="center"/>
          </w:tcPr>
          <w:p w:rsidR="00410356" w:rsidRPr="0038361F" w:rsidRDefault="00410356" w:rsidP="00410356">
            <w:pPr>
              <w:spacing w:after="0" w:line="240" w:lineRule="auto"/>
              <w:rPr>
                <w:rFonts w:ascii="Arial" w:hAnsi="Arial" w:cs="Arial"/>
                <w:sz w:val="20"/>
                <w:szCs w:val="20"/>
                <w:lang w:val="mk-MK"/>
              </w:rPr>
            </w:pPr>
            <w:r w:rsidRPr="0038361F">
              <w:rPr>
                <w:rFonts w:ascii="Arial" w:hAnsi="Arial" w:cs="Arial"/>
                <w:sz w:val="20"/>
                <w:szCs w:val="20"/>
                <w:lang w:val="mk-MK"/>
              </w:rPr>
              <w:t>Производство и продажба на обновлива енергија</w:t>
            </w:r>
          </w:p>
        </w:tc>
        <w:tc>
          <w:tcPr>
            <w:tcW w:w="1296"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45</w:t>
            </w:r>
          </w:p>
        </w:tc>
        <w:tc>
          <w:tcPr>
            <w:tcW w:w="1250" w:type="dxa"/>
            <w:shd w:val="clear" w:color="auto" w:fill="auto"/>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0</w:t>
            </w:r>
          </w:p>
        </w:tc>
        <w:tc>
          <w:tcPr>
            <w:tcW w:w="992" w:type="dxa"/>
            <w:shd w:val="clear" w:color="auto" w:fill="auto"/>
            <w:vAlign w:val="center"/>
          </w:tcPr>
          <w:p w:rsidR="00410356" w:rsidRPr="0038361F" w:rsidRDefault="00410356" w:rsidP="00410356">
            <w:pPr>
              <w:spacing w:after="0" w:line="240" w:lineRule="auto"/>
              <w:jc w:val="right"/>
              <w:rPr>
                <w:rFonts w:ascii="Arial" w:hAnsi="Arial" w:cs="Arial"/>
                <w:sz w:val="20"/>
                <w:szCs w:val="20"/>
                <w:lang w:val="mk-MK"/>
              </w:rPr>
            </w:pPr>
            <w:r w:rsidRPr="0038361F">
              <w:rPr>
                <w:rFonts w:ascii="Arial" w:hAnsi="Arial" w:cs="Arial"/>
                <w:sz w:val="20"/>
                <w:szCs w:val="20"/>
                <w:lang w:val="mk-MK"/>
              </w:rPr>
              <w:t>0</w:t>
            </w:r>
          </w:p>
        </w:tc>
        <w:tc>
          <w:tcPr>
            <w:tcW w:w="1417" w:type="dxa"/>
            <w:vAlign w:val="center"/>
          </w:tcPr>
          <w:p w:rsidR="00410356" w:rsidRPr="0038361F" w:rsidRDefault="00410356" w:rsidP="00410356">
            <w:pPr>
              <w:spacing w:after="0" w:line="240" w:lineRule="auto"/>
              <w:jc w:val="center"/>
              <w:rPr>
                <w:rFonts w:ascii="Arial" w:hAnsi="Arial" w:cs="Arial"/>
                <w:sz w:val="20"/>
                <w:szCs w:val="20"/>
                <w:lang w:val="mk-MK"/>
              </w:rPr>
            </w:pPr>
            <w:r w:rsidRPr="0038361F">
              <w:rPr>
                <w:rFonts w:ascii="Arial" w:hAnsi="Arial" w:cs="Arial"/>
                <w:sz w:val="20"/>
                <w:szCs w:val="20"/>
                <w:lang w:val="mk-MK"/>
              </w:rPr>
              <w:t>0%</w:t>
            </w:r>
          </w:p>
        </w:tc>
      </w:tr>
    </w:tbl>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2"/>
          <w:szCs w:val="22"/>
          <w:lang w:val="mk-MK"/>
        </w:rPr>
      </w:pPr>
      <w:r w:rsidRPr="0038361F">
        <w:rPr>
          <w:rFonts w:ascii="Arial" w:hAnsi="Arial" w:cs="Arial"/>
          <w:sz w:val="22"/>
          <w:szCs w:val="22"/>
          <w:lang w:val="mk-MK"/>
        </w:rPr>
        <w:t>Кандидатите не покажале интерес за инвестирање во: специјализирани транспортни резервоари и приколки и набавка на повеќегодишни дрвја и растенија.</w:t>
      </w:r>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0"/>
          <w:szCs w:val="20"/>
          <w:lang w:val="mk-MK" w:eastAsia="en-US"/>
        </w:rPr>
      </w:pPr>
      <w:bookmarkStart w:id="55" w:name="_Toc8640485"/>
      <w:r w:rsidRPr="002B2470">
        <w:rPr>
          <w:rFonts w:ascii="Arial" w:hAnsi="Arial" w:cs="Arial"/>
          <w:sz w:val="20"/>
          <w:szCs w:val="20"/>
          <w:lang w:val="mk-MK"/>
        </w:rPr>
        <w:t>Приказ</w:t>
      </w:r>
      <w:r w:rsidR="009E4007" w:rsidRPr="002B2470">
        <w:rPr>
          <w:rFonts w:ascii="Arial" w:hAnsi="Arial" w:cs="Arial"/>
          <w:sz w:val="20"/>
          <w:szCs w:val="20"/>
          <w:lang w:val="mk-MK"/>
        </w:rPr>
        <w:t xml:space="preserve"> </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9</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Преглед на барањата по тип на инвестиции во Мерка 7</w:t>
      </w:r>
      <w:bookmarkEnd w:id="55"/>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lastRenderedPageBreak/>
        <w:drawing>
          <wp:inline distT="0" distB="0" distL="0" distR="0" wp14:anchorId="65720B6B" wp14:editId="632CEAB3">
            <wp:extent cx="4584700" cy="2755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9B65D1" w:rsidRPr="002B2470" w:rsidRDefault="00410356" w:rsidP="00410356">
      <w:pPr>
        <w:rPr>
          <w:rFonts w:ascii="Arial" w:hAnsi="Arial" w:cs="Arial"/>
          <w:sz w:val="18"/>
          <w:szCs w:val="18"/>
          <w:lang w:val="mk-MK"/>
        </w:rPr>
      </w:pPr>
      <w:r w:rsidRPr="002B2470">
        <w:rPr>
          <w:rFonts w:ascii="Arial" w:hAnsi="Arial" w:cs="Arial"/>
          <w:sz w:val="18"/>
          <w:szCs w:val="18"/>
          <w:lang w:val="mk-MK"/>
        </w:rPr>
        <w:t>Извор: Тело за управување</w:t>
      </w:r>
    </w:p>
    <w:p w:rsidR="00410356" w:rsidRPr="0038361F" w:rsidRDefault="00410356" w:rsidP="009B65D1">
      <w:pPr>
        <w:pStyle w:val="ListParagraph"/>
        <w:numPr>
          <w:ilvl w:val="1"/>
          <w:numId w:val="36"/>
        </w:numPr>
        <w:spacing w:before="120" w:after="0" w:line="240" w:lineRule="auto"/>
        <w:jc w:val="both"/>
        <w:outlineLvl w:val="1"/>
        <w:rPr>
          <w:rFonts w:ascii="Arial" w:hAnsi="Arial" w:cs="Arial"/>
          <w:b/>
          <w:lang w:val="mk-MK"/>
        </w:rPr>
      </w:pPr>
      <w:bookmarkStart w:id="56" w:name="_Toc7520958"/>
      <w:bookmarkStart w:id="57" w:name="_Toc8639873"/>
      <w:r w:rsidRPr="002B2470">
        <w:rPr>
          <w:rFonts w:ascii="Arial" w:hAnsi="Arial" w:cs="Arial"/>
          <w:b/>
          <w:lang w:val="mk-MK"/>
        </w:rPr>
        <w:t>Географска анализа на спроведувањето на ИПАРД Програмата</w:t>
      </w:r>
      <w:bookmarkEnd w:id="56"/>
      <w:bookmarkEnd w:id="57"/>
    </w:p>
    <w:p w:rsidR="00410356" w:rsidRPr="0038361F" w:rsidRDefault="00410356" w:rsidP="00410356">
      <w:pPr>
        <w:pStyle w:val="m343668044302477783m-3986873246552044066msolistparagraph"/>
        <w:spacing w:before="120" w:after="0"/>
        <w:jc w:val="both"/>
        <w:rPr>
          <w:rFonts w:ascii="Arial" w:hAnsi="Arial" w:cs="Arial"/>
          <w:sz w:val="22"/>
          <w:szCs w:val="22"/>
          <w:lang w:val="mk-MK"/>
        </w:rPr>
      </w:pPr>
      <w:r w:rsidRPr="0038361F">
        <w:rPr>
          <w:rFonts w:ascii="Arial" w:hAnsi="Arial" w:cs="Arial"/>
          <w:sz w:val="22"/>
          <w:szCs w:val="22"/>
          <w:lang w:val="mk-MK"/>
        </w:rPr>
        <w:t>Податоците за географск</w:t>
      </w:r>
      <w:r w:rsidRPr="002B2470">
        <w:rPr>
          <w:rFonts w:ascii="Arial" w:hAnsi="Arial" w:cs="Arial"/>
          <w:sz w:val="22"/>
          <w:szCs w:val="22"/>
          <w:lang w:val="mk-MK"/>
        </w:rPr>
        <w:t>ото</w:t>
      </w:r>
      <w:r w:rsidR="009E4007" w:rsidRPr="002B2470">
        <w:rPr>
          <w:rFonts w:ascii="Arial" w:hAnsi="Arial" w:cs="Arial"/>
          <w:sz w:val="22"/>
          <w:szCs w:val="22"/>
          <w:lang w:val="mk-MK"/>
        </w:rPr>
        <w:t xml:space="preserve"> </w:t>
      </w:r>
      <w:r w:rsidRPr="002B2470">
        <w:rPr>
          <w:rFonts w:ascii="Arial" w:hAnsi="Arial" w:cs="Arial"/>
          <w:sz w:val="22"/>
          <w:szCs w:val="22"/>
          <w:lang w:val="mk-MK"/>
        </w:rPr>
        <w:t>спроведување</w:t>
      </w:r>
      <w:r w:rsidRPr="0038361F">
        <w:rPr>
          <w:rFonts w:ascii="Arial" w:hAnsi="Arial" w:cs="Arial"/>
          <w:sz w:val="22"/>
          <w:szCs w:val="22"/>
          <w:lang w:val="mk-MK"/>
        </w:rPr>
        <w:t xml:space="preserve"> на ИПАРД </w:t>
      </w:r>
      <w:r w:rsidRPr="002B2470">
        <w:rPr>
          <w:rFonts w:ascii="Arial" w:hAnsi="Arial" w:cs="Arial"/>
          <w:sz w:val="22"/>
          <w:szCs w:val="22"/>
          <w:lang w:val="mk-MK"/>
        </w:rPr>
        <w:t>П</w:t>
      </w:r>
      <w:r w:rsidRPr="0038361F">
        <w:rPr>
          <w:rFonts w:ascii="Arial" w:hAnsi="Arial" w:cs="Arial"/>
          <w:sz w:val="22"/>
          <w:szCs w:val="22"/>
          <w:lang w:val="mk-MK"/>
        </w:rPr>
        <w:t xml:space="preserve">рограмата и поддршката за регионалниот развој на Република Северна Македонија се презентирани во овој извештај </w:t>
      </w:r>
      <w:r w:rsidRPr="002B2470">
        <w:rPr>
          <w:rFonts w:ascii="Arial" w:hAnsi="Arial" w:cs="Arial"/>
          <w:sz w:val="22"/>
          <w:szCs w:val="22"/>
          <w:lang w:val="mk-MK"/>
        </w:rPr>
        <w:t>на основа</w:t>
      </w:r>
      <w:r w:rsidRPr="0038361F">
        <w:rPr>
          <w:rFonts w:ascii="Arial" w:hAnsi="Arial" w:cs="Arial"/>
          <w:sz w:val="22"/>
          <w:szCs w:val="22"/>
          <w:lang w:val="mk-MK"/>
        </w:rPr>
        <w:t xml:space="preserve"> на статистичките региони (НУТС 3) и општини.</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Најголем дел од вкупн</w:t>
      </w:r>
      <w:r w:rsidRPr="002B2470">
        <w:rPr>
          <w:rFonts w:ascii="Arial" w:hAnsi="Arial" w:cs="Arial"/>
          <w:sz w:val="22"/>
          <w:szCs w:val="22"/>
          <w:lang w:val="mk-MK"/>
        </w:rPr>
        <w:t>о</w:t>
      </w:r>
      <w:r w:rsidRPr="0038361F">
        <w:rPr>
          <w:rFonts w:ascii="Arial" w:hAnsi="Arial" w:cs="Arial"/>
          <w:sz w:val="22"/>
          <w:szCs w:val="22"/>
          <w:lang w:val="mk-MK"/>
        </w:rPr>
        <w:t xml:space="preserve"> поднесени</w:t>
      </w:r>
      <w:r w:rsidRPr="002B2470">
        <w:rPr>
          <w:rFonts w:ascii="Arial" w:hAnsi="Arial" w:cs="Arial"/>
          <w:sz w:val="22"/>
          <w:szCs w:val="22"/>
          <w:lang w:val="mk-MK"/>
        </w:rPr>
        <w:t>те</w:t>
      </w:r>
      <w:r w:rsidR="00552C04">
        <w:rPr>
          <w:rFonts w:ascii="Arial" w:hAnsi="Arial" w:cs="Arial"/>
          <w:sz w:val="22"/>
          <w:szCs w:val="22"/>
          <w:lang w:val="mk-MK"/>
        </w:rPr>
        <w:t xml:space="preserve"> </w:t>
      </w:r>
      <w:r w:rsidRPr="002B2470">
        <w:rPr>
          <w:rFonts w:ascii="Arial" w:hAnsi="Arial" w:cs="Arial"/>
          <w:sz w:val="22"/>
          <w:szCs w:val="22"/>
          <w:lang w:val="mk-MK"/>
        </w:rPr>
        <w:t>барања се</w:t>
      </w:r>
      <w:r w:rsidRPr="0038361F">
        <w:rPr>
          <w:rFonts w:ascii="Arial" w:hAnsi="Arial" w:cs="Arial"/>
          <w:sz w:val="22"/>
          <w:szCs w:val="22"/>
          <w:lang w:val="mk-MK"/>
        </w:rPr>
        <w:t xml:space="preserve"> од регионот Пелагонија (721), Вардар (348), Југоисто</w:t>
      </w:r>
      <w:r w:rsidRPr="002B2470">
        <w:rPr>
          <w:rFonts w:ascii="Arial" w:hAnsi="Arial" w:cs="Arial"/>
          <w:sz w:val="22"/>
          <w:szCs w:val="22"/>
          <w:lang w:val="mk-MK"/>
        </w:rPr>
        <w:t>к</w:t>
      </w:r>
      <w:r w:rsidRPr="0038361F">
        <w:rPr>
          <w:rFonts w:ascii="Arial" w:hAnsi="Arial" w:cs="Arial"/>
          <w:sz w:val="22"/>
          <w:szCs w:val="22"/>
          <w:lang w:val="mk-MK"/>
        </w:rPr>
        <w:t xml:space="preserve"> (150) и Исто</w:t>
      </w:r>
      <w:r w:rsidRPr="002B2470">
        <w:rPr>
          <w:rFonts w:ascii="Arial" w:hAnsi="Arial" w:cs="Arial"/>
          <w:sz w:val="22"/>
          <w:szCs w:val="22"/>
          <w:lang w:val="mk-MK"/>
        </w:rPr>
        <w:t>к</w:t>
      </w:r>
      <w:r w:rsidRPr="0038361F">
        <w:rPr>
          <w:rFonts w:ascii="Arial" w:hAnsi="Arial" w:cs="Arial"/>
          <w:sz w:val="22"/>
          <w:szCs w:val="22"/>
          <w:lang w:val="mk-MK"/>
        </w:rPr>
        <w:t xml:space="preserve"> (104). Пелагонија, исто така, има најголем број на договори (468), по што следуваат Вардар (207), Југоисто</w:t>
      </w:r>
      <w:r w:rsidRPr="002B2470">
        <w:rPr>
          <w:rFonts w:ascii="Arial" w:hAnsi="Arial" w:cs="Arial"/>
          <w:sz w:val="22"/>
          <w:szCs w:val="22"/>
          <w:lang w:val="mk-MK"/>
        </w:rPr>
        <w:t>к</w:t>
      </w:r>
      <w:r w:rsidRPr="0038361F">
        <w:rPr>
          <w:rFonts w:ascii="Arial" w:hAnsi="Arial" w:cs="Arial"/>
          <w:sz w:val="22"/>
          <w:szCs w:val="22"/>
          <w:lang w:val="mk-MK"/>
        </w:rPr>
        <w:t xml:space="preserve"> (68) и Североисто</w:t>
      </w:r>
      <w:r w:rsidRPr="002B2470">
        <w:rPr>
          <w:rFonts w:ascii="Arial" w:hAnsi="Arial" w:cs="Arial"/>
          <w:sz w:val="22"/>
          <w:szCs w:val="22"/>
          <w:lang w:val="mk-MK"/>
        </w:rPr>
        <w:t>к</w:t>
      </w:r>
      <w:r w:rsidRPr="0038361F">
        <w:rPr>
          <w:rFonts w:ascii="Arial" w:hAnsi="Arial" w:cs="Arial"/>
          <w:sz w:val="22"/>
          <w:szCs w:val="22"/>
          <w:lang w:val="mk-MK"/>
        </w:rPr>
        <w:t xml:space="preserve"> (45).</w:t>
      </w:r>
    </w:p>
    <w:p w:rsidR="00410356" w:rsidRPr="002B2470" w:rsidRDefault="00410356" w:rsidP="00410356">
      <w:pPr>
        <w:pStyle w:val="m343668044302477783m-3986873246552044066msolistparagraph"/>
        <w:spacing w:before="120" w:beforeAutospacing="0" w:after="0" w:afterAutospacing="0"/>
        <w:jc w:val="both"/>
        <w:rPr>
          <w:rFonts w:ascii="Arial" w:hAnsi="Arial" w:cs="Arial"/>
          <w:sz w:val="20"/>
          <w:lang w:val="mk-MK"/>
        </w:rPr>
      </w:pPr>
      <w:bookmarkStart w:id="58" w:name="_Toc8640486"/>
      <w:r w:rsidRPr="002B2470">
        <w:rPr>
          <w:rFonts w:ascii="Arial" w:hAnsi="Arial" w:cs="Arial"/>
          <w:sz w:val="20"/>
          <w:lang w:val="mk-MK"/>
        </w:rPr>
        <w:t>Приказ</w:t>
      </w:r>
      <w:r w:rsidR="00552C04">
        <w:rPr>
          <w:rFonts w:ascii="Arial" w:hAnsi="Arial" w:cs="Arial"/>
          <w:sz w:val="20"/>
          <w:lang w:val="mk-MK"/>
        </w:rPr>
        <w:t xml:space="preserve"> </w:t>
      </w:r>
      <w:r w:rsidR="001C2124" w:rsidRPr="0038361F">
        <w:rPr>
          <w:rFonts w:ascii="Arial" w:hAnsi="Arial" w:cs="Arial"/>
          <w:sz w:val="20"/>
          <w:lang w:val="mk-MK"/>
        </w:rPr>
        <w:fldChar w:fldCharType="begin"/>
      </w:r>
      <w:r w:rsidRPr="0038361F">
        <w:rPr>
          <w:rFonts w:ascii="Arial" w:hAnsi="Arial" w:cs="Arial"/>
          <w:sz w:val="20"/>
          <w:lang w:val="mk-MK"/>
        </w:rPr>
        <w:instrText xml:space="preserve"> SEQ Figure \* ARABIC </w:instrText>
      </w:r>
      <w:r w:rsidR="001C2124" w:rsidRPr="0038361F">
        <w:rPr>
          <w:rFonts w:ascii="Arial" w:hAnsi="Arial" w:cs="Arial"/>
          <w:sz w:val="20"/>
          <w:lang w:val="mk-MK"/>
        </w:rPr>
        <w:fldChar w:fldCharType="separate"/>
      </w:r>
      <w:r w:rsidRPr="0038361F">
        <w:rPr>
          <w:rFonts w:ascii="Arial" w:hAnsi="Arial" w:cs="Arial"/>
          <w:sz w:val="20"/>
          <w:lang w:val="mk-MK"/>
        </w:rPr>
        <w:t>10</w:t>
      </w:r>
      <w:r w:rsidR="001C2124" w:rsidRPr="0038361F">
        <w:rPr>
          <w:rFonts w:ascii="Arial" w:hAnsi="Arial" w:cs="Arial"/>
          <w:sz w:val="20"/>
          <w:lang w:val="mk-MK"/>
        </w:rPr>
        <w:fldChar w:fldCharType="end"/>
      </w:r>
      <w:r w:rsidRPr="0038361F">
        <w:rPr>
          <w:rFonts w:ascii="Arial" w:hAnsi="Arial" w:cs="Arial"/>
          <w:sz w:val="20"/>
          <w:lang w:val="mk-MK"/>
        </w:rPr>
        <w:t xml:space="preserve">: </w:t>
      </w:r>
      <w:r w:rsidRPr="002B2470">
        <w:rPr>
          <w:rFonts w:ascii="Arial" w:hAnsi="Arial" w:cs="Arial"/>
          <w:sz w:val="20"/>
          <w:lang w:val="mk-MK"/>
        </w:rPr>
        <w:t>Преглед на барањата по статистички региони</w:t>
      </w:r>
      <w:bookmarkEnd w:id="58"/>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5A7450">
        <w:rPr>
          <w:rFonts w:ascii="Arial" w:hAnsi="Arial" w:cs="Arial"/>
          <w:noProof/>
          <w:sz w:val="22"/>
          <w:szCs w:val="22"/>
          <w:lang w:val="en-US" w:eastAsia="en-US"/>
        </w:rPr>
        <w:drawing>
          <wp:inline distT="0" distB="0" distL="0" distR="0" wp14:anchorId="0C9B4664" wp14:editId="3BE82885">
            <wp:extent cx="5657721" cy="216275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006" cy="2167833"/>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Раст</w:t>
      </w:r>
      <w:r w:rsidRPr="002B2470">
        <w:rPr>
          <w:rFonts w:ascii="Arial" w:hAnsi="Arial" w:cs="Arial"/>
          <w:sz w:val="22"/>
          <w:szCs w:val="22"/>
          <w:lang w:val="mk-MK"/>
        </w:rPr>
        <w:t>ителното</w:t>
      </w:r>
      <w:r w:rsidRPr="0038361F">
        <w:rPr>
          <w:rFonts w:ascii="Arial" w:hAnsi="Arial" w:cs="Arial"/>
          <w:sz w:val="22"/>
          <w:szCs w:val="22"/>
          <w:lang w:val="mk-MK"/>
        </w:rPr>
        <w:t xml:space="preserve"> производство (житар</w:t>
      </w:r>
      <w:r w:rsidR="00552C04">
        <w:rPr>
          <w:rFonts w:ascii="Arial" w:hAnsi="Arial" w:cs="Arial"/>
          <w:sz w:val="22"/>
          <w:szCs w:val="22"/>
          <w:lang w:val="mk-MK"/>
        </w:rPr>
        <w:t>ки</w:t>
      </w:r>
      <w:r w:rsidRPr="0038361F">
        <w:rPr>
          <w:rFonts w:ascii="Arial" w:hAnsi="Arial" w:cs="Arial"/>
          <w:sz w:val="22"/>
          <w:szCs w:val="22"/>
          <w:lang w:val="mk-MK"/>
        </w:rPr>
        <w:t xml:space="preserve">, овоштарници и лозја) се претежно земјоделско производство во Пелагонискиот и Вардарскиот регион. Повеќето </w:t>
      </w:r>
      <w:r w:rsidRPr="002B2470">
        <w:rPr>
          <w:rFonts w:ascii="Arial" w:hAnsi="Arial" w:cs="Arial"/>
          <w:sz w:val="22"/>
          <w:szCs w:val="22"/>
          <w:lang w:val="mk-MK"/>
        </w:rPr>
        <w:t>барања</w:t>
      </w:r>
      <w:r w:rsidRPr="0038361F">
        <w:rPr>
          <w:rFonts w:ascii="Arial" w:hAnsi="Arial" w:cs="Arial"/>
          <w:sz w:val="22"/>
          <w:szCs w:val="22"/>
          <w:lang w:val="mk-MK"/>
        </w:rPr>
        <w:t xml:space="preserve"> во овие региони се за поевтини инвестиции (трактори и мали парчиња земјоделска механизација).</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0"/>
          <w:szCs w:val="20"/>
          <w:lang w:val="mk-MK"/>
        </w:rPr>
      </w:pPr>
      <w:bookmarkStart w:id="59" w:name="_Toc8640487"/>
      <w:r w:rsidRPr="002B2470">
        <w:rPr>
          <w:rFonts w:ascii="Arial" w:hAnsi="Arial" w:cs="Arial"/>
          <w:sz w:val="20"/>
          <w:szCs w:val="20"/>
          <w:lang w:val="mk-MK"/>
        </w:rPr>
        <w:t>Приказ</w:t>
      </w:r>
      <w:r w:rsidR="001C2124" w:rsidRPr="0038361F">
        <w:rPr>
          <w:rFonts w:ascii="Arial" w:hAnsi="Arial" w:cs="Arial"/>
          <w:sz w:val="20"/>
          <w:szCs w:val="20"/>
          <w:lang w:val="mk-MK"/>
        </w:rPr>
        <w:fldChar w:fldCharType="begin"/>
      </w:r>
      <w:r w:rsidRPr="0038361F">
        <w:rPr>
          <w:rFonts w:ascii="Arial" w:hAnsi="Arial" w:cs="Arial"/>
          <w:sz w:val="20"/>
          <w:szCs w:val="20"/>
          <w:lang w:val="mk-MK"/>
        </w:rPr>
        <w:instrText xml:space="preserve"> SEQ Figure \* ARABIC </w:instrText>
      </w:r>
      <w:r w:rsidR="001C2124" w:rsidRPr="0038361F">
        <w:rPr>
          <w:rFonts w:ascii="Arial" w:hAnsi="Arial" w:cs="Arial"/>
          <w:sz w:val="20"/>
          <w:szCs w:val="20"/>
          <w:lang w:val="mk-MK"/>
        </w:rPr>
        <w:fldChar w:fldCharType="separate"/>
      </w:r>
      <w:r w:rsidRPr="0038361F">
        <w:rPr>
          <w:rFonts w:ascii="Arial" w:hAnsi="Arial" w:cs="Arial"/>
          <w:sz w:val="20"/>
          <w:szCs w:val="20"/>
          <w:lang w:val="mk-MK"/>
        </w:rPr>
        <w:t>11</w:t>
      </w:r>
      <w:r w:rsidR="001C2124" w:rsidRPr="0038361F">
        <w:rPr>
          <w:rFonts w:ascii="Arial" w:hAnsi="Arial" w:cs="Arial"/>
          <w:sz w:val="20"/>
          <w:szCs w:val="20"/>
          <w:lang w:val="mk-MK"/>
        </w:rPr>
        <w:fldChar w:fldCharType="end"/>
      </w:r>
      <w:r w:rsidRPr="0038361F">
        <w:rPr>
          <w:rFonts w:ascii="Arial" w:hAnsi="Arial" w:cs="Arial"/>
          <w:sz w:val="20"/>
          <w:szCs w:val="20"/>
          <w:lang w:val="mk-MK"/>
        </w:rPr>
        <w:t xml:space="preserve">: </w:t>
      </w:r>
      <w:r w:rsidRPr="002B2470">
        <w:rPr>
          <w:rFonts w:ascii="Arial" w:hAnsi="Arial" w:cs="Arial"/>
          <w:sz w:val="20"/>
          <w:szCs w:val="20"/>
          <w:lang w:val="mk-MK"/>
        </w:rPr>
        <w:t>Преглед на вкупни јавни трошоци по статистички региони</w:t>
      </w:r>
      <w:bookmarkEnd w:id="59"/>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18"/>
          <w:szCs w:val="18"/>
          <w:lang w:val="mk-MK" w:eastAsia="en-US"/>
        </w:rPr>
      </w:pPr>
      <w:r w:rsidRPr="005A7450">
        <w:rPr>
          <w:rFonts w:ascii="Arial" w:hAnsi="Arial" w:cs="Arial"/>
          <w:noProof/>
          <w:sz w:val="18"/>
          <w:szCs w:val="18"/>
          <w:lang w:val="en-US" w:eastAsia="en-US"/>
        </w:rPr>
        <w:lastRenderedPageBreak/>
        <w:drawing>
          <wp:inline distT="0" distB="0" distL="0" distR="0" wp14:anchorId="4BD1B4ED" wp14:editId="4716CEAD">
            <wp:extent cx="5905542" cy="2361537"/>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306" cy="2377038"/>
                    </a:xfrm>
                    <a:prstGeom prst="rect">
                      <a:avLst/>
                    </a:prstGeom>
                    <a:noFill/>
                  </pic:spPr>
                </pic:pic>
              </a:graphicData>
            </a:graphic>
          </wp:inline>
        </w:drawing>
      </w:r>
    </w:p>
    <w:p w:rsidR="00410356" w:rsidRPr="0038361F" w:rsidRDefault="00410356" w:rsidP="00410356">
      <w:pPr>
        <w:pStyle w:val="m343668044302477783m-3986873246552044066msolistparagraph"/>
        <w:spacing w:before="0" w:beforeAutospacing="0" w:after="0" w:afterAutospacing="0"/>
        <w:jc w:val="both"/>
        <w:rPr>
          <w:rFonts w:ascii="Arial" w:hAnsi="Arial" w:cs="Arial"/>
          <w:sz w:val="18"/>
          <w:szCs w:val="18"/>
          <w:lang w:val="mk-MK" w:eastAsia="en-US"/>
        </w:rPr>
      </w:pPr>
      <w:r w:rsidRPr="002B2470">
        <w:rPr>
          <w:rFonts w:ascii="Arial" w:hAnsi="Arial" w:cs="Arial"/>
          <w:sz w:val="18"/>
          <w:szCs w:val="18"/>
          <w:lang w:val="mk-MK"/>
        </w:rPr>
        <w:t>Извор: Тело за управување</w:t>
      </w:r>
    </w:p>
    <w:p w:rsidR="004F686E" w:rsidRPr="002B2470" w:rsidRDefault="00410356" w:rsidP="00410356">
      <w:pPr>
        <w:pStyle w:val="m343668044302477783m-3986873246552044066msolistparagraph"/>
        <w:spacing w:before="120" w:beforeAutospacing="0" w:after="120" w:afterAutospacing="0"/>
        <w:jc w:val="both"/>
        <w:rPr>
          <w:rFonts w:ascii="Arial" w:hAnsi="Arial" w:cs="Arial"/>
          <w:sz w:val="20"/>
          <w:szCs w:val="20"/>
          <w:lang w:val="mk-MK"/>
        </w:rPr>
      </w:pPr>
      <w:bookmarkStart w:id="60" w:name="_Toc8640207"/>
      <w:r w:rsidRPr="002B2470">
        <w:rPr>
          <w:rFonts w:ascii="Arial" w:eastAsia="Times New Roman" w:hAnsi="Arial" w:cs="Arial"/>
          <w:sz w:val="20"/>
          <w:szCs w:val="20"/>
          <w:lang w:val="mk-MK"/>
        </w:rPr>
        <w:t xml:space="preserve">Табела </w:t>
      </w:r>
      <w:r w:rsidR="001C2124" w:rsidRPr="00552C04">
        <w:rPr>
          <w:rFonts w:ascii="Arial" w:eastAsia="Times New Roman" w:hAnsi="Arial" w:cs="Arial"/>
          <w:i/>
          <w:sz w:val="20"/>
          <w:szCs w:val="20"/>
          <w:lang w:val="mk-MK"/>
        </w:rPr>
        <w:fldChar w:fldCharType="begin"/>
      </w:r>
      <w:r w:rsidRPr="002B2470">
        <w:rPr>
          <w:rFonts w:ascii="Arial" w:eastAsia="Times New Roman" w:hAnsi="Arial" w:cs="Arial"/>
          <w:sz w:val="20"/>
          <w:szCs w:val="20"/>
          <w:lang w:val="mk-MK"/>
        </w:rPr>
        <w:instrText xml:space="preserve"> SEQ Table \* ARABIC </w:instrText>
      </w:r>
      <w:r w:rsidR="001C2124" w:rsidRPr="00552C04">
        <w:rPr>
          <w:rFonts w:ascii="Arial" w:eastAsia="Times New Roman" w:hAnsi="Arial" w:cs="Arial"/>
          <w:i/>
          <w:sz w:val="20"/>
          <w:szCs w:val="20"/>
          <w:lang w:val="mk-MK"/>
        </w:rPr>
        <w:fldChar w:fldCharType="separate"/>
      </w:r>
      <w:r w:rsidRPr="0038361F">
        <w:rPr>
          <w:rFonts w:ascii="Arial" w:eastAsia="Times New Roman" w:hAnsi="Arial" w:cs="Arial"/>
          <w:sz w:val="20"/>
          <w:szCs w:val="20"/>
          <w:lang w:val="mk-MK"/>
        </w:rPr>
        <w:t>17</w:t>
      </w:r>
      <w:r w:rsidR="001C2124" w:rsidRPr="00552C04">
        <w:rPr>
          <w:rFonts w:ascii="Arial" w:eastAsia="Times New Roman" w:hAnsi="Arial" w:cs="Arial"/>
          <w:i/>
          <w:sz w:val="20"/>
          <w:szCs w:val="20"/>
          <w:lang w:val="mk-MK"/>
        </w:rPr>
        <w:fldChar w:fldCharType="end"/>
      </w:r>
      <w:r w:rsidRPr="002B2470">
        <w:rPr>
          <w:rFonts w:ascii="Arial" w:eastAsia="Times New Roman" w:hAnsi="Arial" w:cs="Arial"/>
          <w:sz w:val="20"/>
          <w:szCs w:val="20"/>
          <w:lang w:val="mk-MK"/>
        </w:rPr>
        <w:t>:</w:t>
      </w:r>
      <w:r w:rsidR="00552C04">
        <w:rPr>
          <w:rFonts w:ascii="Arial" w:eastAsia="Times New Roman" w:hAnsi="Arial" w:cs="Arial"/>
          <w:sz w:val="20"/>
          <w:szCs w:val="20"/>
          <w:lang w:val="mk-MK"/>
        </w:rPr>
        <w:t xml:space="preserve"> </w:t>
      </w:r>
      <w:r w:rsidRPr="002B2470">
        <w:rPr>
          <w:rFonts w:ascii="Arial" w:hAnsi="Arial" w:cs="Arial"/>
          <w:sz w:val="20"/>
          <w:szCs w:val="20"/>
          <w:lang w:val="mk-MK"/>
        </w:rPr>
        <w:t>Преглед на барања по општини</w:t>
      </w:r>
      <w:bookmarkEnd w:id="60"/>
    </w:p>
    <w:tbl>
      <w:tblPr>
        <w:tblW w:w="9180" w:type="dxa"/>
        <w:tblLook w:val="04A0" w:firstRow="1" w:lastRow="0" w:firstColumn="1" w:lastColumn="0" w:noHBand="0" w:noVBand="1"/>
      </w:tblPr>
      <w:tblGrid>
        <w:gridCol w:w="1543"/>
        <w:gridCol w:w="1264"/>
        <w:gridCol w:w="1260"/>
        <w:gridCol w:w="1189"/>
        <w:gridCol w:w="1231"/>
        <w:gridCol w:w="1276"/>
        <w:gridCol w:w="1417"/>
      </w:tblGrid>
      <w:tr w:rsidR="00410356" w:rsidRPr="002B2470" w:rsidTr="009E4007">
        <w:trPr>
          <w:trHeight w:val="255"/>
        </w:trPr>
        <w:tc>
          <w:tcPr>
            <w:tcW w:w="1543" w:type="dxa"/>
            <w:vMerge w:val="restart"/>
            <w:tcBorders>
              <w:top w:val="single" w:sz="4" w:space="0" w:color="auto"/>
              <w:left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Општина</w:t>
            </w:r>
          </w:p>
        </w:tc>
        <w:tc>
          <w:tcPr>
            <w:tcW w:w="3713" w:type="dxa"/>
            <w:gridSpan w:val="3"/>
            <w:tcBorders>
              <w:top w:val="single" w:sz="4" w:space="0" w:color="auto"/>
              <w:left w:val="nil"/>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Број на барања</w:t>
            </w:r>
          </w:p>
        </w:tc>
        <w:tc>
          <w:tcPr>
            <w:tcW w:w="3924" w:type="dxa"/>
            <w:gridSpan w:val="3"/>
            <w:tcBorders>
              <w:top w:val="single" w:sz="4" w:space="0" w:color="auto"/>
              <w:left w:val="nil"/>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Вкупно јавни трошоци во €</w:t>
            </w:r>
          </w:p>
        </w:tc>
      </w:tr>
      <w:tr w:rsidR="00410356" w:rsidRPr="002B2470" w:rsidTr="009E4007">
        <w:trPr>
          <w:trHeight w:val="255"/>
        </w:trPr>
        <w:tc>
          <w:tcPr>
            <w:tcW w:w="1543" w:type="dxa"/>
            <w:vMerge/>
            <w:tcBorders>
              <w:left w:val="single" w:sz="4" w:space="0" w:color="auto"/>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rPr>
                <w:rFonts w:ascii="Arial" w:eastAsia="Times New Roman" w:hAnsi="Arial" w:cs="Arial"/>
                <w:sz w:val="20"/>
                <w:szCs w:val="20"/>
                <w:lang w:val="mk-MK"/>
              </w:rPr>
            </w:pPr>
          </w:p>
        </w:tc>
        <w:tc>
          <w:tcPr>
            <w:tcW w:w="1264" w:type="dxa"/>
            <w:tcBorders>
              <w:top w:val="nil"/>
              <w:left w:val="nil"/>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поднесени</w:t>
            </w:r>
          </w:p>
        </w:tc>
        <w:tc>
          <w:tcPr>
            <w:tcW w:w="1260" w:type="dxa"/>
            <w:tcBorders>
              <w:top w:val="nil"/>
              <w:left w:val="nil"/>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tc>
        <w:tc>
          <w:tcPr>
            <w:tcW w:w="1189" w:type="dxa"/>
            <w:tcBorders>
              <w:top w:val="nil"/>
              <w:left w:val="nil"/>
              <w:bottom w:val="single" w:sz="4" w:space="0" w:color="auto"/>
              <w:right w:val="single" w:sz="4" w:space="0" w:color="auto"/>
            </w:tcBorders>
            <w:shd w:val="clear" w:color="auto" w:fill="auto"/>
            <w:vAlign w:val="center"/>
            <w:hideMark/>
          </w:tcPr>
          <w:p w:rsidR="00410356" w:rsidRPr="008A22EF" w:rsidRDefault="00410356" w:rsidP="00410356">
            <w:pPr>
              <w:spacing w:after="0" w:line="240" w:lineRule="auto"/>
              <w:jc w:val="center"/>
              <w:rPr>
                <w:rFonts w:ascii="Arial" w:eastAsia="Times New Roman" w:hAnsi="Arial" w:cs="Arial"/>
                <w:sz w:val="20"/>
                <w:szCs w:val="20"/>
                <w:lang w:val="mk-MK"/>
              </w:rPr>
            </w:pPr>
            <w:r w:rsidRPr="008A22EF">
              <w:rPr>
                <w:rFonts w:ascii="Arial" w:eastAsia="Times New Roman" w:hAnsi="Arial" w:cs="Arial"/>
                <w:sz w:val="20"/>
                <w:szCs w:val="20"/>
                <w:lang w:val="mk-MK"/>
              </w:rPr>
              <w:t>исплатени</w:t>
            </w:r>
          </w:p>
        </w:tc>
        <w:tc>
          <w:tcPr>
            <w:tcW w:w="1231" w:type="dxa"/>
            <w:tcBorders>
              <w:top w:val="nil"/>
              <w:left w:val="nil"/>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6F23FF">
              <w:rPr>
                <w:rFonts w:ascii="Arial" w:eastAsia="Times New Roman" w:hAnsi="Arial" w:cs="Arial"/>
                <w:sz w:val="20"/>
                <w:szCs w:val="20"/>
                <w:lang w:val="mk-MK"/>
              </w:rPr>
              <w:t>поднесени</w:t>
            </w:r>
          </w:p>
        </w:tc>
        <w:tc>
          <w:tcPr>
            <w:tcW w:w="1276" w:type="dxa"/>
            <w:tcBorders>
              <w:top w:val="nil"/>
              <w:left w:val="nil"/>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одобрени</w:t>
            </w:r>
          </w:p>
        </w:tc>
        <w:tc>
          <w:tcPr>
            <w:tcW w:w="1417" w:type="dxa"/>
            <w:tcBorders>
              <w:top w:val="nil"/>
              <w:left w:val="nil"/>
              <w:bottom w:val="single" w:sz="4" w:space="0" w:color="auto"/>
              <w:right w:val="single" w:sz="4" w:space="0" w:color="auto"/>
            </w:tcBorders>
            <w:shd w:val="clear" w:color="auto" w:fill="auto"/>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2B2470">
              <w:rPr>
                <w:rFonts w:ascii="Arial" w:eastAsia="Times New Roman" w:hAnsi="Arial" w:cs="Arial"/>
                <w:sz w:val="20"/>
                <w:szCs w:val="20"/>
                <w:lang w:val="mk-MK"/>
              </w:rPr>
              <w:t>исплатени</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Ресен</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213</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166</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30</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2.549.515</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1.348.695</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207.510</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Могила</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124</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89</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14</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1.422.626</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562.492</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62.657</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Битола</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112</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72</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1.981.335</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887.787</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19.470</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Прилеп</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84</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41</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868.771</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349.461</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143.447</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Неготино</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74</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48</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8</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2.618.895</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292.525</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15.748</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Новаци</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53</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38</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3.122.449</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242.380</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6.759</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Кавадарци</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51</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39</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9</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2.827.988</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178.317</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16.378</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Долнени</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48</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26</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878.005</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533.644</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21.878</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Велес</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48</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23</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1.719.844</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372.523</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5.842</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Куманово</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47</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25</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1.230.098</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248.292</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7.109</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Росоман</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42</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29</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7</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558.706</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322.759</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14.922</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Кривогаштани</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38</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20</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327.507</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121.945</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1.277</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Свети Николе</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36</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21</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692.622</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181.612</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50.715</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Дебарца</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35</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18</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1.552.488</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137.292</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13.183</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Чашка</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33</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17</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270.939</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110.235</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5.171</w:t>
            </w:r>
          </w:p>
        </w:tc>
      </w:tr>
      <w:tr w:rsidR="00410356" w:rsidRPr="002B2470" w:rsidTr="009E4007">
        <w:trPr>
          <w:trHeight w:val="255"/>
        </w:trPr>
        <w:tc>
          <w:tcPr>
            <w:tcW w:w="1543" w:type="dxa"/>
            <w:tcBorders>
              <w:top w:val="nil"/>
              <w:left w:val="single" w:sz="4" w:space="0" w:color="auto"/>
              <w:bottom w:val="single" w:sz="4" w:space="0" w:color="auto"/>
              <w:right w:val="single" w:sz="4" w:space="0" w:color="auto"/>
            </w:tcBorders>
            <w:shd w:val="clear" w:color="auto" w:fill="auto"/>
            <w:vAlign w:val="center"/>
            <w:hideMark/>
          </w:tcPr>
          <w:p w:rsidR="00410356" w:rsidRPr="002B2470" w:rsidRDefault="00410356" w:rsidP="00410356">
            <w:pPr>
              <w:spacing w:after="0" w:line="240" w:lineRule="auto"/>
              <w:rPr>
                <w:rFonts w:ascii="Arial" w:eastAsia="Times New Roman" w:hAnsi="Arial" w:cs="Arial"/>
                <w:sz w:val="20"/>
                <w:szCs w:val="20"/>
                <w:lang w:val="mk-MK"/>
              </w:rPr>
            </w:pPr>
            <w:r w:rsidRPr="002B2470">
              <w:rPr>
                <w:rFonts w:ascii="Arial" w:eastAsia="Times New Roman" w:hAnsi="Arial" w:cs="Arial"/>
                <w:sz w:val="20"/>
                <w:szCs w:val="20"/>
                <w:lang w:val="mk-MK"/>
              </w:rPr>
              <w:t>Лозово</w:t>
            </w:r>
          </w:p>
        </w:tc>
        <w:tc>
          <w:tcPr>
            <w:tcW w:w="1264"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23</w:t>
            </w:r>
          </w:p>
        </w:tc>
        <w:tc>
          <w:tcPr>
            <w:tcW w:w="1260"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13</w:t>
            </w:r>
          </w:p>
        </w:tc>
        <w:tc>
          <w:tcPr>
            <w:tcW w:w="1189"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center"/>
              <w:rPr>
                <w:rFonts w:ascii="Arial" w:eastAsia="Times New Roman" w:hAnsi="Arial" w:cs="Arial"/>
                <w:sz w:val="20"/>
                <w:szCs w:val="20"/>
                <w:lang w:val="mk-MK"/>
              </w:rPr>
            </w:pPr>
            <w:r w:rsidRPr="0038361F">
              <w:rPr>
                <w:rFonts w:ascii="Arial" w:eastAsia="Times New Roman" w:hAnsi="Arial" w:cs="Arial"/>
                <w:sz w:val="20"/>
                <w:szCs w:val="20"/>
                <w:lang w:val="mk-MK"/>
              </w:rPr>
              <w:t>1</w:t>
            </w:r>
          </w:p>
        </w:tc>
        <w:tc>
          <w:tcPr>
            <w:tcW w:w="1231"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1.212.163</w:t>
            </w:r>
          </w:p>
        </w:tc>
        <w:tc>
          <w:tcPr>
            <w:tcW w:w="1276"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754.053</w:t>
            </w:r>
          </w:p>
        </w:tc>
        <w:tc>
          <w:tcPr>
            <w:tcW w:w="1417" w:type="dxa"/>
            <w:tcBorders>
              <w:top w:val="nil"/>
              <w:left w:val="nil"/>
              <w:bottom w:val="single" w:sz="4" w:space="0" w:color="auto"/>
              <w:right w:val="single" w:sz="4" w:space="0" w:color="auto"/>
            </w:tcBorders>
            <w:shd w:val="clear" w:color="auto" w:fill="auto"/>
            <w:noWrap/>
            <w:vAlign w:val="center"/>
            <w:hideMark/>
          </w:tcPr>
          <w:p w:rsidR="00410356" w:rsidRPr="0038361F" w:rsidRDefault="00410356" w:rsidP="00410356">
            <w:pPr>
              <w:spacing w:after="0" w:line="240" w:lineRule="auto"/>
              <w:jc w:val="right"/>
              <w:rPr>
                <w:rFonts w:ascii="Arial" w:eastAsia="Times New Roman" w:hAnsi="Arial" w:cs="Arial"/>
                <w:sz w:val="20"/>
                <w:szCs w:val="20"/>
                <w:lang w:val="mk-MK"/>
              </w:rPr>
            </w:pPr>
            <w:r w:rsidRPr="0038361F">
              <w:rPr>
                <w:rFonts w:ascii="Arial" w:eastAsia="Times New Roman" w:hAnsi="Arial" w:cs="Arial"/>
                <w:sz w:val="20"/>
                <w:szCs w:val="20"/>
                <w:lang w:val="mk-MK"/>
              </w:rPr>
              <w:t>5.657</w:t>
            </w:r>
          </w:p>
        </w:tc>
      </w:tr>
    </w:tbl>
    <w:p w:rsidR="00410356" w:rsidRPr="0038361F" w:rsidRDefault="00410356" w:rsidP="00410356">
      <w:pPr>
        <w:rPr>
          <w:rFonts w:ascii="Arial" w:eastAsia="Calibri" w:hAnsi="Arial" w:cs="Arial"/>
          <w:sz w:val="18"/>
          <w:szCs w:val="18"/>
          <w:lang w:val="mk-MK"/>
        </w:rPr>
      </w:pPr>
      <w:r w:rsidRPr="002B2470">
        <w:rPr>
          <w:rFonts w:ascii="Arial" w:hAnsi="Arial" w:cs="Arial"/>
          <w:sz w:val="18"/>
          <w:szCs w:val="18"/>
          <w:lang w:val="mk-MK"/>
        </w:rPr>
        <w:t>Извор: Тело за управување</w:t>
      </w:r>
      <w:r w:rsidRPr="0038361F">
        <w:rPr>
          <w:rFonts w:ascii="Arial" w:hAnsi="Arial" w:cs="Arial"/>
          <w:sz w:val="18"/>
          <w:szCs w:val="18"/>
          <w:lang w:val="mk-MK"/>
        </w:rPr>
        <w:br w:type="page"/>
      </w:r>
    </w:p>
    <w:p w:rsidR="00410356" w:rsidRPr="0038361F" w:rsidRDefault="00410356" w:rsidP="009B65D1">
      <w:pPr>
        <w:pStyle w:val="ListParagraph"/>
        <w:numPr>
          <w:ilvl w:val="0"/>
          <w:numId w:val="12"/>
        </w:numPr>
        <w:spacing w:after="0" w:line="240" w:lineRule="auto"/>
        <w:jc w:val="both"/>
        <w:outlineLvl w:val="0"/>
        <w:rPr>
          <w:rFonts w:ascii="Arial" w:hAnsi="Arial" w:cs="Arial"/>
          <w:b/>
          <w:sz w:val="24"/>
          <w:szCs w:val="24"/>
          <w:lang w:val="mk-MK"/>
        </w:rPr>
      </w:pPr>
      <w:bookmarkStart w:id="61" w:name="_Toc7520959"/>
      <w:bookmarkStart w:id="62" w:name="_Toc8639874"/>
      <w:r w:rsidRPr="0038361F">
        <w:rPr>
          <w:rFonts w:ascii="Arial" w:hAnsi="Arial" w:cs="Arial"/>
          <w:b/>
          <w:sz w:val="24"/>
          <w:szCs w:val="24"/>
          <w:lang w:val="mk-MK"/>
        </w:rPr>
        <w:lastRenderedPageBreak/>
        <w:t>Преземени активности за подобрување на квалитетот и ефикасноста на имплементацијата на ИПАРД</w:t>
      </w:r>
      <w:bookmarkStart w:id="63" w:name="_Toc6577105"/>
      <w:bookmarkStart w:id="64" w:name="_Toc6577182"/>
      <w:bookmarkStart w:id="65" w:name="_Toc6577226"/>
      <w:bookmarkStart w:id="66" w:name="_Toc6577252"/>
      <w:bookmarkStart w:id="67" w:name="_Toc6578179"/>
      <w:bookmarkStart w:id="68" w:name="_Toc6578206"/>
      <w:bookmarkStart w:id="69" w:name="_Toc6578415"/>
      <w:bookmarkStart w:id="70" w:name="_Toc6578635"/>
      <w:bookmarkStart w:id="71" w:name="_Toc6832335"/>
      <w:bookmarkStart w:id="72" w:name="_Toc7520960"/>
      <w:bookmarkEnd w:id="61"/>
      <w:bookmarkEnd w:id="62"/>
      <w:bookmarkEnd w:id="63"/>
      <w:bookmarkEnd w:id="64"/>
      <w:bookmarkEnd w:id="65"/>
      <w:bookmarkEnd w:id="66"/>
      <w:bookmarkEnd w:id="67"/>
      <w:bookmarkEnd w:id="68"/>
      <w:bookmarkEnd w:id="69"/>
      <w:bookmarkEnd w:id="70"/>
      <w:bookmarkEnd w:id="71"/>
      <w:bookmarkEnd w:id="72"/>
    </w:p>
    <w:p w:rsidR="000E151E" w:rsidRPr="0038361F" w:rsidRDefault="000E151E" w:rsidP="000E151E">
      <w:pPr>
        <w:pStyle w:val="ListParagraph"/>
        <w:numPr>
          <w:ilvl w:val="0"/>
          <w:numId w:val="36"/>
        </w:numPr>
        <w:spacing w:before="120" w:after="0" w:line="240" w:lineRule="auto"/>
        <w:jc w:val="both"/>
        <w:outlineLvl w:val="1"/>
        <w:rPr>
          <w:rFonts w:ascii="Arial" w:hAnsi="Arial" w:cs="Arial"/>
          <w:b/>
          <w:vanish/>
          <w:lang w:val="mk-MK"/>
        </w:rPr>
      </w:pPr>
      <w:bookmarkStart w:id="73" w:name="_Toc8639875"/>
      <w:bookmarkStart w:id="74" w:name="_Toc7520961"/>
      <w:bookmarkEnd w:id="73"/>
    </w:p>
    <w:p w:rsidR="00410356" w:rsidRPr="0038361F" w:rsidRDefault="003E2C25" w:rsidP="000E151E">
      <w:pPr>
        <w:pStyle w:val="ListParagraph"/>
        <w:numPr>
          <w:ilvl w:val="1"/>
          <w:numId w:val="36"/>
        </w:numPr>
        <w:spacing w:before="120" w:after="0" w:line="240" w:lineRule="auto"/>
        <w:contextualSpacing w:val="0"/>
        <w:jc w:val="both"/>
        <w:outlineLvl w:val="1"/>
        <w:rPr>
          <w:rFonts w:ascii="Arial" w:hAnsi="Arial" w:cs="Arial"/>
          <w:b/>
          <w:lang w:val="mk-MK"/>
        </w:rPr>
      </w:pPr>
      <w:bookmarkStart w:id="75" w:name="_Toc8639876"/>
      <w:r w:rsidRPr="0038361F">
        <w:rPr>
          <w:rFonts w:ascii="Arial" w:hAnsi="Arial" w:cs="Arial"/>
          <w:b/>
          <w:lang w:val="mk-MK"/>
        </w:rPr>
        <w:t>Активности пре</w:t>
      </w:r>
      <w:r w:rsidR="00410356" w:rsidRPr="0038361F">
        <w:rPr>
          <w:rFonts w:ascii="Arial" w:hAnsi="Arial" w:cs="Arial"/>
          <w:b/>
          <w:lang w:val="mk-MK"/>
        </w:rPr>
        <w:t>земени од страна на Телото за управување со ИПАРД</w:t>
      </w:r>
      <w:bookmarkEnd w:id="74"/>
      <w:bookmarkEnd w:id="75"/>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Имајќи предвид дека во претходниот период беа преземени разни активности за надминување на проблемите и подобрување на спроведувањето на Програмата, последните активности на Телото за управување беа насочени кон зајакнување на човечките капацитети и подобрување на програмските аспекти на имплементацијата на барање на корисниците и Агенцијата. Со цел да се зајакнат човечките капацитети, во 2018 година, неколку вработени беа префрлени во Телото за управување од другите сектори во МЗШВ, така што вкупниот број вработени во Телото за управување достигна 16. Телото за управување беше зајакнато со еден советник за следење, еден раководител на одделение за програмирање и двајца советници за набавка. Исто така, вработените на Телото за управување распоредени во други сектори на МЗШВ беа трајно префрлени во секторите во кои работеле.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Првата </w:t>
      </w:r>
      <w:r w:rsidRPr="0038361F">
        <w:rPr>
          <w:rFonts w:ascii="Arial" w:hAnsi="Arial" w:cs="Arial"/>
          <w:b/>
          <w:sz w:val="22"/>
          <w:szCs w:val="22"/>
          <w:u w:val="single"/>
          <w:lang w:val="mk-MK"/>
        </w:rPr>
        <w:t>модификација на програмата</w:t>
      </w:r>
      <w:r w:rsidRPr="0038361F">
        <w:rPr>
          <w:rFonts w:ascii="Arial" w:hAnsi="Arial" w:cs="Arial"/>
          <w:sz w:val="22"/>
          <w:szCs w:val="22"/>
          <w:lang w:val="mk-MK"/>
        </w:rPr>
        <w:t xml:space="preserve"> ИПАРД 2014-2020 беше предложена со цел да се прошират и разјаснат можностите за потенцијалните корисници на ИПАРД</w:t>
      </w:r>
      <w:r w:rsidR="00552C04">
        <w:rPr>
          <w:rFonts w:ascii="Arial" w:hAnsi="Arial" w:cs="Arial"/>
          <w:sz w:val="22"/>
          <w:szCs w:val="22"/>
          <w:lang w:val="mk-MK"/>
        </w:rPr>
        <w:t xml:space="preserve"> </w:t>
      </w:r>
      <w:r w:rsidR="00A36718" w:rsidRPr="0038361F">
        <w:rPr>
          <w:rFonts w:ascii="Arial" w:hAnsi="Arial" w:cs="Arial"/>
          <w:sz w:val="22"/>
          <w:szCs w:val="22"/>
          <w:lang w:val="mk-MK"/>
        </w:rPr>
        <w:t>2014-2020</w:t>
      </w:r>
      <w:r w:rsidRPr="0038361F">
        <w:rPr>
          <w:rFonts w:ascii="Arial" w:hAnsi="Arial" w:cs="Arial"/>
          <w:sz w:val="22"/>
          <w:szCs w:val="22"/>
          <w:lang w:val="mk-MK"/>
        </w:rPr>
        <w:t>. Повеќето од предложените измени се засноваат на искуството од спроведувањето н</w:t>
      </w:r>
      <w:r w:rsidR="00A36718" w:rsidRPr="0038361F">
        <w:rPr>
          <w:rFonts w:ascii="Arial" w:hAnsi="Arial" w:cs="Arial"/>
          <w:sz w:val="22"/>
          <w:szCs w:val="22"/>
          <w:lang w:val="mk-MK"/>
        </w:rPr>
        <w:t>а првиот јавен повик на ИПАРД 2014-2020</w:t>
      </w:r>
      <w:r w:rsidRPr="0038361F">
        <w:rPr>
          <w:rFonts w:ascii="Arial" w:hAnsi="Arial" w:cs="Arial"/>
          <w:sz w:val="22"/>
          <w:szCs w:val="22"/>
          <w:lang w:val="mk-MK"/>
        </w:rPr>
        <w:t>, со цел да се о</w:t>
      </w:r>
      <w:r w:rsidR="00552C04">
        <w:rPr>
          <w:rFonts w:ascii="Arial" w:hAnsi="Arial" w:cs="Arial"/>
          <w:sz w:val="22"/>
          <w:szCs w:val="22"/>
          <w:lang w:val="mk-MK"/>
        </w:rPr>
        <w:t xml:space="preserve">возможи </w:t>
      </w:r>
      <w:r w:rsidRPr="0038361F">
        <w:rPr>
          <w:rFonts w:ascii="Arial" w:hAnsi="Arial" w:cs="Arial"/>
          <w:sz w:val="22"/>
          <w:szCs w:val="22"/>
          <w:lang w:val="mk-MK"/>
        </w:rPr>
        <w:t xml:space="preserve">полесен процес на имплементација. Искуството од првиот јавен повик покажа дека многу од доставените барања беа нецелосни, што ја продолжи процедурата за одобрување. Затоа, во оваа модификација се воведуваат некои измени на правилата на </w:t>
      </w:r>
      <w:r w:rsidRPr="0038361F">
        <w:rPr>
          <w:rFonts w:ascii="Arial" w:hAnsi="Arial" w:cs="Arial"/>
          <w:b/>
          <w:sz w:val="22"/>
          <w:szCs w:val="22"/>
          <w:u w:val="single"/>
          <w:lang w:val="mk-MK"/>
        </w:rPr>
        <w:t>задолжителни документи</w:t>
      </w:r>
      <w:r w:rsidRPr="0038361F">
        <w:rPr>
          <w:rFonts w:ascii="Arial" w:hAnsi="Arial" w:cs="Arial"/>
          <w:sz w:val="22"/>
          <w:szCs w:val="22"/>
          <w:lang w:val="mk-MK"/>
        </w:rPr>
        <w:t xml:space="preserve"> кои треба да се достават заедно со барањето.</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Дополнително, се предлагаат измени на инвестициите поврзани со воспоставување на </w:t>
      </w:r>
      <w:r w:rsidRPr="0038361F">
        <w:rPr>
          <w:rFonts w:ascii="Arial" w:hAnsi="Arial" w:cs="Arial"/>
          <w:b/>
          <w:sz w:val="22"/>
          <w:szCs w:val="22"/>
          <w:u w:val="single"/>
          <w:lang w:val="mk-MK"/>
        </w:rPr>
        <w:t>нов систем за наводнување</w:t>
      </w:r>
      <w:r w:rsidRPr="0038361F">
        <w:rPr>
          <w:rFonts w:ascii="Arial" w:hAnsi="Arial" w:cs="Arial"/>
          <w:sz w:val="22"/>
          <w:szCs w:val="22"/>
          <w:lang w:val="mk-MK"/>
        </w:rPr>
        <w:t xml:space="preserve"> како прифатлива инвестиција по мерка </w:t>
      </w:r>
      <w:r w:rsidR="00552C04">
        <w:rPr>
          <w:rFonts w:ascii="Arial" w:hAnsi="Arial" w:cs="Arial"/>
          <w:sz w:val="22"/>
          <w:szCs w:val="22"/>
          <w:lang w:val="mk-MK"/>
        </w:rPr>
        <w:t>„</w:t>
      </w:r>
      <w:r w:rsidRPr="0038361F">
        <w:rPr>
          <w:rFonts w:ascii="Arial" w:hAnsi="Arial" w:cs="Arial"/>
          <w:sz w:val="22"/>
          <w:szCs w:val="22"/>
          <w:lang w:val="mk-MK"/>
        </w:rPr>
        <w:t>Инвестиции во физички средства на земјоделски стопанства</w:t>
      </w:r>
      <w:r w:rsidR="00552C04">
        <w:rPr>
          <w:rFonts w:ascii="Arial" w:hAnsi="Arial" w:cs="Arial"/>
          <w:sz w:val="22"/>
          <w:szCs w:val="22"/>
          <w:lang w:val="mk-MK"/>
        </w:rPr>
        <w:t>“</w:t>
      </w:r>
      <w:r w:rsidRPr="0038361F">
        <w:rPr>
          <w:rFonts w:ascii="Arial" w:hAnsi="Arial" w:cs="Arial"/>
          <w:sz w:val="22"/>
          <w:szCs w:val="22"/>
          <w:lang w:val="mk-MK"/>
        </w:rPr>
        <w:t xml:space="preserve">. Како резултат на спроведувањето на првиот јавен повик, вклучени се и некои </w:t>
      </w:r>
      <w:r w:rsidRPr="0038361F">
        <w:rPr>
          <w:rFonts w:ascii="Arial" w:hAnsi="Arial" w:cs="Arial"/>
          <w:b/>
          <w:sz w:val="22"/>
          <w:szCs w:val="22"/>
          <w:u w:val="single"/>
          <w:lang w:val="mk-MK"/>
        </w:rPr>
        <w:t>промени за прифатливи инвестиции во секторот за обновлива енергија</w:t>
      </w:r>
      <w:r w:rsidRPr="0038361F">
        <w:rPr>
          <w:rFonts w:ascii="Arial" w:hAnsi="Arial" w:cs="Arial"/>
          <w:sz w:val="22"/>
          <w:szCs w:val="22"/>
          <w:lang w:val="mk-MK"/>
        </w:rPr>
        <w:t xml:space="preserve"> во рамките на мерката </w:t>
      </w:r>
      <w:r w:rsidR="00552C04">
        <w:rPr>
          <w:rFonts w:ascii="Arial" w:hAnsi="Arial" w:cs="Arial"/>
          <w:sz w:val="22"/>
          <w:szCs w:val="22"/>
          <w:lang w:val="mk-MK"/>
        </w:rPr>
        <w:t>„</w:t>
      </w:r>
      <w:r w:rsidRPr="0038361F">
        <w:rPr>
          <w:rFonts w:ascii="Arial" w:hAnsi="Arial" w:cs="Arial"/>
          <w:sz w:val="22"/>
          <w:szCs w:val="22"/>
          <w:lang w:val="mk-MK"/>
        </w:rPr>
        <w:t>Диверзификација на фарми и развој на бизнисот</w:t>
      </w:r>
      <w:r w:rsidR="00552C04">
        <w:rPr>
          <w:rFonts w:ascii="Arial" w:hAnsi="Arial" w:cs="Arial"/>
          <w:sz w:val="22"/>
          <w:szCs w:val="22"/>
          <w:lang w:val="mk-MK"/>
        </w:rPr>
        <w:t>“</w:t>
      </w:r>
      <w:r w:rsidRPr="0038361F">
        <w:rPr>
          <w:rFonts w:ascii="Arial" w:hAnsi="Arial" w:cs="Arial"/>
          <w:sz w:val="22"/>
          <w:szCs w:val="22"/>
          <w:lang w:val="mk-MK"/>
        </w:rPr>
        <w:t xml:space="preserve">. Поради интересот за инвестиции во рамките на мерката </w:t>
      </w:r>
      <w:r w:rsidR="00552C04">
        <w:rPr>
          <w:rFonts w:ascii="Arial" w:hAnsi="Arial" w:cs="Arial"/>
          <w:sz w:val="22"/>
          <w:szCs w:val="22"/>
          <w:lang w:val="mk-MK"/>
        </w:rPr>
        <w:t>„</w:t>
      </w:r>
      <w:r w:rsidRPr="0038361F">
        <w:rPr>
          <w:rFonts w:ascii="Arial" w:hAnsi="Arial" w:cs="Arial"/>
          <w:sz w:val="22"/>
          <w:szCs w:val="22"/>
          <w:lang w:val="mk-MK"/>
        </w:rPr>
        <w:t>Диверзификација на фарми и развој на бизнисот</w:t>
      </w:r>
      <w:r w:rsidR="00552C04">
        <w:rPr>
          <w:rFonts w:ascii="Arial" w:hAnsi="Arial" w:cs="Arial"/>
          <w:sz w:val="22"/>
          <w:szCs w:val="22"/>
          <w:lang w:val="mk-MK"/>
        </w:rPr>
        <w:t>“</w:t>
      </w:r>
      <w:r w:rsidRPr="0038361F">
        <w:rPr>
          <w:rFonts w:ascii="Arial" w:hAnsi="Arial" w:cs="Arial"/>
          <w:sz w:val="22"/>
          <w:szCs w:val="22"/>
          <w:lang w:val="mk-MK"/>
        </w:rPr>
        <w:t>,</w:t>
      </w:r>
      <w:r w:rsidR="00552C04">
        <w:rPr>
          <w:rFonts w:ascii="Arial" w:hAnsi="Arial" w:cs="Arial"/>
          <w:sz w:val="22"/>
          <w:szCs w:val="22"/>
          <w:lang w:val="mk-MK"/>
        </w:rPr>
        <w:t xml:space="preserve"> </w:t>
      </w:r>
      <w:r w:rsidRPr="0038361F">
        <w:rPr>
          <w:rFonts w:ascii="Arial" w:hAnsi="Arial" w:cs="Arial"/>
          <w:sz w:val="22"/>
          <w:szCs w:val="22"/>
          <w:lang w:val="mk-MK"/>
        </w:rPr>
        <w:t xml:space="preserve">кој ги надмина првично планираните средства, се предлагаат </w:t>
      </w:r>
      <w:r w:rsidRPr="0038361F">
        <w:rPr>
          <w:rFonts w:ascii="Arial" w:hAnsi="Arial" w:cs="Arial"/>
          <w:b/>
          <w:sz w:val="22"/>
          <w:szCs w:val="22"/>
          <w:u w:val="single"/>
          <w:lang w:val="mk-MK"/>
        </w:rPr>
        <w:t>промени во финансиските алокации</w:t>
      </w:r>
      <w:r w:rsidRPr="0038361F">
        <w:rPr>
          <w:rFonts w:ascii="Arial" w:hAnsi="Arial" w:cs="Arial"/>
          <w:sz w:val="22"/>
          <w:szCs w:val="22"/>
          <w:lang w:val="mk-MK"/>
        </w:rPr>
        <w:t>. Покрај тоа, се предлагаат неколку измени во условите за прифатливост и критериумите за избор. Предложени се дополнителни модификации за подобрување на текстот на програмата за коригирање на техничките грешки.</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Промената во листата на прифатливи трошоци за мерката (1) </w:t>
      </w:r>
      <w:r w:rsidR="00552C04">
        <w:rPr>
          <w:rFonts w:ascii="Arial" w:hAnsi="Arial" w:cs="Arial"/>
          <w:sz w:val="22"/>
          <w:szCs w:val="22"/>
          <w:lang w:val="mk-MK"/>
        </w:rPr>
        <w:t>„</w:t>
      </w:r>
      <w:r w:rsidRPr="0038361F">
        <w:rPr>
          <w:rFonts w:ascii="Arial" w:hAnsi="Arial" w:cs="Arial"/>
          <w:sz w:val="22"/>
          <w:szCs w:val="22"/>
          <w:lang w:val="mk-MK"/>
        </w:rPr>
        <w:t>Инвестиции во физички средства на земјоделски стопанства</w:t>
      </w:r>
      <w:r w:rsidR="00552C04">
        <w:rPr>
          <w:rFonts w:ascii="Arial" w:hAnsi="Arial" w:cs="Arial"/>
          <w:sz w:val="22"/>
          <w:szCs w:val="22"/>
          <w:lang w:val="mk-MK"/>
        </w:rPr>
        <w:t>“</w:t>
      </w:r>
      <w:r w:rsidRPr="0038361F">
        <w:rPr>
          <w:rFonts w:ascii="Arial" w:hAnsi="Arial" w:cs="Arial"/>
          <w:sz w:val="22"/>
          <w:szCs w:val="22"/>
          <w:lang w:val="mk-MK"/>
        </w:rPr>
        <w:t xml:space="preserve"> вклучува </w:t>
      </w:r>
      <w:r w:rsidRPr="0038361F">
        <w:rPr>
          <w:rFonts w:ascii="Arial" w:hAnsi="Arial" w:cs="Arial"/>
          <w:b/>
          <w:sz w:val="22"/>
          <w:szCs w:val="22"/>
          <w:u w:val="single"/>
          <w:lang w:val="mk-MK"/>
        </w:rPr>
        <w:t>воведување на опрема за заштита од мраз</w:t>
      </w:r>
      <w:r w:rsidRPr="0038361F">
        <w:rPr>
          <w:rFonts w:ascii="Arial" w:hAnsi="Arial" w:cs="Arial"/>
          <w:sz w:val="22"/>
          <w:szCs w:val="22"/>
          <w:lang w:val="mk-MK"/>
        </w:rPr>
        <w:t xml:space="preserve">, која беше предложена на барање на потенцијални кандидати за ИПАРД. Освен тоа, вклучено е појаснување </w:t>
      </w:r>
      <w:r w:rsidR="00552C04">
        <w:rPr>
          <w:rFonts w:ascii="Arial" w:hAnsi="Arial" w:cs="Arial"/>
          <w:sz w:val="22"/>
          <w:szCs w:val="22"/>
          <w:lang w:val="mk-MK"/>
        </w:rPr>
        <w:t>з</w:t>
      </w:r>
      <w:r w:rsidRPr="0038361F">
        <w:rPr>
          <w:rFonts w:ascii="Arial" w:hAnsi="Arial" w:cs="Arial"/>
          <w:sz w:val="22"/>
          <w:szCs w:val="22"/>
          <w:lang w:val="mk-MK"/>
        </w:rPr>
        <w:t>а прифатливоста на трошоците за снабдување со електрична енергија, наводнување, одводнување, бушотини, бунари, пумпи итн.</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Промената во листата на прифатливи трошоци за Мерките (3) и (7) ја следи одобрената промена на програмата во делот за производство на енергија од обновливи извори. Исто така, извршена е промена на листата на прифатливи трошоци за мерката </w:t>
      </w:r>
      <w:r w:rsidR="00552C04">
        <w:rPr>
          <w:rFonts w:ascii="Arial" w:hAnsi="Arial" w:cs="Arial"/>
          <w:sz w:val="22"/>
          <w:szCs w:val="22"/>
          <w:lang w:val="mk-MK"/>
        </w:rPr>
        <w:t>„</w:t>
      </w:r>
      <w:r w:rsidRPr="0038361F">
        <w:rPr>
          <w:rFonts w:ascii="Arial" w:hAnsi="Arial" w:cs="Arial"/>
          <w:sz w:val="22"/>
          <w:szCs w:val="22"/>
          <w:lang w:val="mk-MK"/>
        </w:rPr>
        <w:t>Инвестиции во рурална јавна инфраструктура</w:t>
      </w:r>
      <w:r w:rsidR="00552C04">
        <w:rPr>
          <w:rFonts w:ascii="Arial" w:hAnsi="Arial" w:cs="Arial"/>
          <w:sz w:val="22"/>
          <w:szCs w:val="22"/>
          <w:lang w:val="mk-MK"/>
        </w:rPr>
        <w:t>“</w:t>
      </w:r>
      <w:r w:rsidRPr="0038361F">
        <w:rPr>
          <w:rFonts w:ascii="Arial" w:hAnsi="Arial" w:cs="Arial"/>
          <w:sz w:val="22"/>
          <w:szCs w:val="22"/>
          <w:lang w:val="mk-MK"/>
        </w:rPr>
        <w:t xml:space="preserve"> врз основа на наодите и препораките од спроведената ревизија.</w:t>
      </w:r>
    </w:p>
    <w:p w:rsidR="00CC620D" w:rsidRPr="0038361F" w:rsidRDefault="003E2C25" w:rsidP="000E151E">
      <w:pPr>
        <w:pStyle w:val="ListParagraph"/>
        <w:numPr>
          <w:ilvl w:val="1"/>
          <w:numId w:val="36"/>
        </w:numPr>
        <w:spacing w:before="120" w:after="0" w:line="240" w:lineRule="auto"/>
        <w:contextualSpacing w:val="0"/>
        <w:jc w:val="both"/>
        <w:outlineLvl w:val="1"/>
        <w:rPr>
          <w:rFonts w:ascii="Arial" w:hAnsi="Arial" w:cs="Arial"/>
          <w:b/>
          <w:lang w:val="mk-MK"/>
        </w:rPr>
      </w:pPr>
      <w:bookmarkStart w:id="76" w:name="_Toc8639877"/>
      <w:r w:rsidRPr="0038361F">
        <w:rPr>
          <w:rFonts w:ascii="Arial" w:hAnsi="Arial" w:cs="Arial"/>
          <w:b/>
          <w:lang w:val="mk-MK"/>
        </w:rPr>
        <w:t>Преземени активности од НАО и НФ</w:t>
      </w:r>
      <w:bookmarkEnd w:id="76"/>
    </w:p>
    <w:p w:rsidR="00A37576" w:rsidRPr="0038361F" w:rsidRDefault="00A37576" w:rsidP="00A37576">
      <w:pPr>
        <w:spacing w:before="120" w:after="0" w:line="240" w:lineRule="auto"/>
        <w:jc w:val="both"/>
        <w:rPr>
          <w:rFonts w:ascii="Arial" w:eastAsia="Calibri" w:hAnsi="Arial" w:cs="Arial"/>
          <w:lang w:val="mk-MK"/>
        </w:rPr>
      </w:pPr>
      <w:r w:rsidRPr="0038361F">
        <w:rPr>
          <w:rFonts w:ascii="Arial" w:eastAsia="Calibri" w:hAnsi="Arial" w:cs="Arial"/>
          <w:lang w:val="mk-MK"/>
        </w:rPr>
        <w:t>Системот за индиректно спроведување на ИПАРД Програмата 2014-2020 (</w:t>
      </w:r>
      <w:r w:rsidR="00552C04">
        <w:rPr>
          <w:rFonts w:ascii="Arial" w:eastAsia="Calibri" w:hAnsi="Arial" w:cs="Arial"/>
          <w:lang w:val="mk-MK"/>
        </w:rPr>
        <w:t>М</w:t>
      </w:r>
      <w:r w:rsidRPr="0038361F">
        <w:rPr>
          <w:rFonts w:ascii="Arial" w:eastAsia="Calibri" w:hAnsi="Arial" w:cs="Arial"/>
          <w:lang w:val="mk-MK"/>
        </w:rPr>
        <w:t>ерк</w:t>
      </w:r>
      <w:r w:rsidR="00552C04">
        <w:rPr>
          <w:rFonts w:ascii="Arial" w:eastAsia="Calibri" w:hAnsi="Arial" w:cs="Arial"/>
          <w:lang w:val="mk-MK"/>
        </w:rPr>
        <w:t>и</w:t>
      </w:r>
      <w:r w:rsidRPr="0038361F">
        <w:rPr>
          <w:rFonts w:ascii="Arial" w:eastAsia="Calibri" w:hAnsi="Arial" w:cs="Arial"/>
          <w:lang w:val="mk-MK"/>
        </w:rPr>
        <w:t xml:space="preserve"> 1,</w:t>
      </w:r>
      <w:r w:rsidR="00552C04">
        <w:rPr>
          <w:rFonts w:ascii="Arial" w:eastAsia="Calibri" w:hAnsi="Arial" w:cs="Arial"/>
          <w:lang w:val="mk-MK"/>
        </w:rPr>
        <w:t xml:space="preserve"> </w:t>
      </w:r>
      <w:r w:rsidRPr="0038361F">
        <w:rPr>
          <w:rFonts w:ascii="Arial" w:eastAsia="Calibri" w:hAnsi="Arial" w:cs="Arial"/>
          <w:lang w:val="mk-MK"/>
        </w:rPr>
        <w:t>3,</w:t>
      </w:r>
      <w:r w:rsidR="00552C04">
        <w:rPr>
          <w:rFonts w:ascii="Arial" w:eastAsia="Calibri" w:hAnsi="Arial" w:cs="Arial"/>
          <w:lang w:val="mk-MK"/>
        </w:rPr>
        <w:t xml:space="preserve"> </w:t>
      </w:r>
      <w:r w:rsidRPr="0038361F">
        <w:rPr>
          <w:rFonts w:ascii="Arial" w:eastAsia="Calibri" w:hAnsi="Arial" w:cs="Arial"/>
          <w:lang w:val="mk-MK"/>
        </w:rPr>
        <w:t>7 и 9) беше доверен со потпишувањето и влегувањето во сила на Финансискиот договор за ИПАРД 2014-2020 во јуни 2017 година.</w:t>
      </w:r>
    </w:p>
    <w:p w:rsidR="00A37576" w:rsidRPr="0038361F" w:rsidRDefault="00A37576" w:rsidP="00A37576">
      <w:pPr>
        <w:spacing w:before="120" w:after="0" w:line="240" w:lineRule="auto"/>
        <w:jc w:val="both"/>
        <w:rPr>
          <w:rFonts w:ascii="Arial" w:eastAsia="Calibri" w:hAnsi="Arial" w:cs="Arial"/>
          <w:lang w:val="mk-MK"/>
        </w:rPr>
      </w:pPr>
      <w:r w:rsidRPr="0038361F">
        <w:rPr>
          <w:rFonts w:ascii="Arial" w:eastAsia="Calibri" w:hAnsi="Arial" w:cs="Arial"/>
          <w:lang w:val="mk-MK"/>
        </w:rPr>
        <w:t>Во 2018 година беа направени подобрувања на работните процедури на ИПАРД Агенцијата, врз основа на:</w:t>
      </w:r>
    </w:p>
    <w:p w:rsidR="00A37576" w:rsidRPr="0038361F" w:rsidRDefault="00A37576" w:rsidP="00A37576">
      <w:pPr>
        <w:pStyle w:val="ListParagraph"/>
        <w:numPr>
          <w:ilvl w:val="0"/>
          <w:numId w:val="17"/>
        </w:numPr>
        <w:spacing w:before="120" w:after="0" w:line="240" w:lineRule="auto"/>
        <w:jc w:val="both"/>
        <w:rPr>
          <w:rFonts w:ascii="Arial" w:eastAsia="Calibri" w:hAnsi="Arial" w:cs="Arial"/>
          <w:lang w:val="mk-MK"/>
        </w:rPr>
      </w:pPr>
      <w:r w:rsidRPr="0038361F">
        <w:rPr>
          <w:rFonts w:ascii="Arial" w:eastAsia="Calibri" w:hAnsi="Arial" w:cs="Arial"/>
          <w:lang w:val="mk-MK"/>
        </w:rPr>
        <w:lastRenderedPageBreak/>
        <w:t>искуство во обработка на првиот јавен повик според ИПАРД II;</w:t>
      </w:r>
    </w:p>
    <w:p w:rsidR="00A37576" w:rsidRDefault="00A37576" w:rsidP="00A37576">
      <w:pPr>
        <w:pStyle w:val="ListParagraph"/>
        <w:numPr>
          <w:ilvl w:val="0"/>
          <w:numId w:val="17"/>
        </w:numPr>
        <w:spacing w:before="120" w:after="0" w:line="240" w:lineRule="auto"/>
        <w:jc w:val="both"/>
        <w:rPr>
          <w:rFonts w:ascii="Arial" w:eastAsia="Calibri" w:hAnsi="Arial" w:cs="Arial"/>
          <w:lang w:val="mk-MK"/>
        </w:rPr>
      </w:pPr>
      <w:r w:rsidRPr="0038361F">
        <w:rPr>
          <w:rFonts w:ascii="Arial" w:eastAsia="Calibri" w:hAnsi="Arial" w:cs="Arial"/>
          <w:lang w:val="mk-MK"/>
        </w:rPr>
        <w:t xml:space="preserve">понатамошни препораки од </w:t>
      </w:r>
      <w:r w:rsidR="00552C04" w:rsidRPr="002B2470">
        <w:rPr>
          <w:rFonts w:ascii="Arial" w:eastAsia="Calibri" w:hAnsi="Arial" w:cs="Arial"/>
          <w:lang w:val="mk-MK"/>
        </w:rPr>
        <w:t>ГД АГРИ</w:t>
      </w:r>
      <w:r w:rsidRPr="0038361F">
        <w:rPr>
          <w:rFonts w:ascii="Arial" w:eastAsia="Calibri" w:hAnsi="Arial" w:cs="Arial"/>
          <w:lang w:val="mk-MK"/>
        </w:rPr>
        <w:t>, за поднесените работни процедури;</w:t>
      </w:r>
    </w:p>
    <w:p w:rsidR="00A37576" w:rsidRPr="0038361F" w:rsidRDefault="00552C04" w:rsidP="0038361F">
      <w:pPr>
        <w:pStyle w:val="ListParagraph"/>
        <w:spacing w:before="120" w:after="0" w:line="240" w:lineRule="auto"/>
        <w:jc w:val="both"/>
        <w:rPr>
          <w:rFonts w:ascii="Arial" w:eastAsia="Calibri" w:hAnsi="Arial" w:cs="Arial"/>
          <w:highlight w:val="yellow"/>
          <w:lang w:val="mk-MK"/>
        </w:rPr>
      </w:pPr>
      <w:r w:rsidRPr="00552C04">
        <w:rPr>
          <w:rFonts w:ascii="Arial" w:eastAsia="Calibri" w:hAnsi="Arial" w:cs="Arial"/>
          <w:lang w:val="mk-MK"/>
        </w:rPr>
        <w:t>имајќи ги предвид слабостите идентификувани во процесот на усогласеност/ финансиско одобрување според ИПАРД I и наодите од Ревизорското тело.</w:t>
      </w:r>
    </w:p>
    <w:p w:rsidR="00A37576" w:rsidRPr="0038361F" w:rsidRDefault="00A37576" w:rsidP="00A37576">
      <w:pPr>
        <w:spacing w:before="120" w:after="0" w:line="240" w:lineRule="auto"/>
        <w:jc w:val="both"/>
        <w:rPr>
          <w:rFonts w:ascii="Arial" w:eastAsia="Calibri" w:hAnsi="Arial" w:cs="Arial"/>
          <w:lang w:val="mk-MK"/>
        </w:rPr>
      </w:pPr>
      <w:r w:rsidRPr="002B2470">
        <w:rPr>
          <w:rFonts w:ascii="Arial" w:eastAsia="Calibri" w:hAnsi="Arial" w:cs="Arial"/>
          <w:lang w:val="mk-MK"/>
        </w:rPr>
        <w:t>Модификациите на прирачникот за процедури на ИПАРД Агенцијата се одобрени од страна на НАО како незначајни и стапија во сила по одобрувањето на НАО. Главните промени се однесуваа на насочување на контролите за откривање на вештачк</w:t>
      </w:r>
      <w:r w:rsidRPr="008A22EF">
        <w:rPr>
          <w:rFonts w:ascii="Arial" w:eastAsia="Calibri" w:hAnsi="Arial" w:cs="Arial"/>
          <w:lang w:val="mk-MK"/>
        </w:rPr>
        <w:t xml:space="preserve">а поделба на понудите поради заобиколување на правилото за потекло (иницирано од </w:t>
      </w:r>
      <w:r w:rsidR="008C50B8" w:rsidRPr="002B2470">
        <w:rPr>
          <w:rFonts w:ascii="Arial" w:eastAsia="Calibri" w:hAnsi="Arial" w:cs="Arial"/>
          <w:lang w:val="mk-MK"/>
        </w:rPr>
        <w:t>ГД АГРИ</w:t>
      </w:r>
      <w:r w:rsidRPr="002B2470">
        <w:rPr>
          <w:rFonts w:ascii="Arial" w:eastAsia="Calibri" w:hAnsi="Arial" w:cs="Arial"/>
          <w:lang w:val="mk-MK"/>
        </w:rPr>
        <w:t>), подобрување на контролите над податоците внесени во дата базата за референтни цени (ДБРЦ), рационализирање на текстот на прирачникот за редовно истражување на пазарот да се изврши за најчесто користените предмети и да се иницира за истечени предмети веднаш штом се добие информација за објавување на нов јавен повик во Одделението за ДБРЦ.</w:t>
      </w:r>
    </w:p>
    <w:p w:rsidR="00A37576" w:rsidRPr="002B2470" w:rsidRDefault="00A37576" w:rsidP="00A37576">
      <w:pPr>
        <w:spacing w:before="120" w:after="0" w:line="240" w:lineRule="auto"/>
        <w:jc w:val="both"/>
        <w:rPr>
          <w:rFonts w:ascii="Arial" w:eastAsia="Calibri" w:hAnsi="Arial" w:cs="Arial"/>
          <w:lang w:val="mk-MK"/>
        </w:rPr>
      </w:pPr>
      <w:r w:rsidRPr="0038361F">
        <w:rPr>
          <w:rFonts w:ascii="Arial" w:eastAsia="Calibri" w:hAnsi="Arial" w:cs="Arial"/>
          <w:lang w:val="mk-MK"/>
        </w:rPr>
        <w:t xml:space="preserve">Другите промени кои се одобрени се повеќе од технички карактер и </w:t>
      </w:r>
      <w:r w:rsidR="00552C04">
        <w:rPr>
          <w:rFonts w:ascii="Arial" w:eastAsia="Calibri" w:hAnsi="Arial" w:cs="Arial"/>
          <w:lang w:val="mk-MK"/>
        </w:rPr>
        <w:t xml:space="preserve">поради </w:t>
      </w:r>
      <w:r w:rsidRPr="0038361F">
        <w:rPr>
          <w:rFonts w:ascii="Arial" w:eastAsia="Calibri" w:hAnsi="Arial" w:cs="Arial"/>
          <w:lang w:val="mk-MK"/>
        </w:rPr>
        <w:t>потреба за корекции во прирачниците и усогласување со препораките издадени од ревизорите во Процесот за оценување на усогласеноста за акредитација на мерк</w:t>
      </w:r>
      <w:r w:rsidRPr="002B2470">
        <w:rPr>
          <w:rFonts w:ascii="Arial" w:eastAsia="Calibri" w:hAnsi="Arial" w:cs="Arial"/>
          <w:lang w:val="mk-MK"/>
        </w:rPr>
        <w:t>ата</w:t>
      </w:r>
      <w:r w:rsidRPr="0038361F">
        <w:rPr>
          <w:rFonts w:ascii="Arial" w:eastAsia="Calibri" w:hAnsi="Arial" w:cs="Arial"/>
          <w:lang w:val="mk-MK"/>
        </w:rPr>
        <w:t xml:space="preserve"> Рурална инфраструктура, </w:t>
      </w:r>
      <w:r w:rsidR="0048673D">
        <w:rPr>
          <w:rFonts w:ascii="Arial" w:eastAsia="Calibri" w:hAnsi="Arial" w:cs="Arial"/>
          <w:lang w:val="mk-MK"/>
        </w:rPr>
        <w:t xml:space="preserve">а </w:t>
      </w:r>
      <w:r w:rsidRPr="002B2470">
        <w:rPr>
          <w:rFonts w:ascii="Arial" w:eastAsia="Calibri" w:hAnsi="Arial" w:cs="Arial"/>
          <w:lang w:val="mk-MK"/>
        </w:rPr>
        <w:t xml:space="preserve">промени се направени </w:t>
      </w:r>
      <w:r w:rsidR="0048673D">
        <w:rPr>
          <w:rFonts w:ascii="Arial" w:eastAsia="Calibri" w:hAnsi="Arial" w:cs="Arial"/>
          <w:lang w:val="mk-MK"/>
        </w:rPr>
        <w:t xml:space="preserve">и </w:t>
      </w:r>
      <w:r w:rsidRPr="002B2470">
        <w:rPr>
          <w:rFonts w:ascii="Arial" w:eastAsia="Calibri" w:hAnsi="Arial" w:cs="Arial"/>
          <w:lang w:val="mk-MK"/>
        </w:rPr>
        <w:t xml:space="preserve">во </w:t>
      </w:r>
      <w:r w:rsidRPr="0038361F">
        <w:rPr>
          <w:rFonts w:ascii="Arial" w:eastAsia="Calibri" w:hAnsi="Arial" w:cs="Arial"/>
          <w:lang w:val="mk-MK"/>
        </w:rPr>
        <w:t xml:space="preserve">фазата на одобрување на проектот, каде што времето за поднесување дополнителни документи од </w:t>
      </w:r>
      <w:r w:rsidRPr="002B2470">
        <w:rPr>
          <w:rFonts w:ascii="Arial" w:eastAsia="Calibri" w:hAnsi="Arial" w:cs="Arial"/>
          <w:lang w:val="mk-MK"/>
        </w:rPr>
        <w:t xml:space="preserve">барателот </w:t>
      </w:r>
      <w:r w:rsidRPr="0038361F">
        <w:rPr>
          <w:rFonts w:ascii="Arial" w:eastAsia="Calibri" w:hAnsi="Arial" w:cs="Arial"/>
          <w:lang w:val="mk-MK"/>
        </w:rPr>
        <w:t xml:space="preserve">се намалува од 15 (+10 дополнителни денови по барање на барателот) </w:t>
      </w:r>
      <w:r w:rsidRPr="002B2470">
        <w:rPr>
          <w:rFonts w:ascii="Arial" w:eastAsia="Calibri" w:hAnsi="Arial" w:cs="Arial"/>
          <w:lang w:val="mk-MK"/>
        </w:rPr>
        <w:t>на</w:t>
      </w:r>
      <w:r w:rsidRPr="0038361F">
        <w:rPr>
          <w:rFonts w:ascii="Arial" w:eastAsia="Calibri" w:hAnsi="Arial" w:cs="Arial"/>
          <w:lang w:val="mk-MK"/>
        </w:rPr>
        <w:t xml:space="preserve"> 8 дена</w:t>
      </w:r>
      <w:r w:rsidRPr="002B2470">
        <w:rPr>
          <w:rFonts w:ascii="Arial" w:eastAsia="Calibri" w:hAnsi="Arial" w:cs="Arial"/>
          <w:lang w:val="mk-MK"/>
        </w:rPr>
        <w:t>.</w:t>
      </w:r>
    </w:p>
    <w:p w:rsidR="00A37576" w:rsidRPr="002B2470" w:rsidRDefault="00A37576" w:rsidP="00A37576">
      <w:pPr>
        <w:spacing w:before="120" w:after="0" w:line="240" w:lineRule="auto"/>
        <w:jc w:val="both"/>
        <w:rPr>
          <w:rFonts w:ascii="Arial" w:eastAsia="Calibri" w:hAnsi="Arial" w:cs="Arial"/>
          <w:lang w:val="mk-MK"/>
        </w:rPr>
      </w:pPr>
      <w:r w:rsidRPr="002B2470">
        <w:rPr>
          <w:rFonts w:ascii="Arial" w:eastAsia="Calibri" w:hAnsi="Arial" w:cs="Arial"/>
          <w:lang w:val="mk-MK"/>
        </w:rPr>
        <w:t xml:space="preserve">Покрај тоа, значајни промени беа предложени во работните процедури на Националниот фонд, особено во сметководствениот систем. Предложените измени на работните </w:t>
      </w:r>
      <w:r w:rsidRPr="008A22EF">
        <w:rPr>
          <w:rFonts w:ascii="Arial" w:eastAsia="Calibri" w:hAnsi="Arial" w:cs="Arial"/>
          <w:lang w:val="mk-MK"/>
        </w:rPr>
        <w:t xml:space="preserve">процедури беа оценети од канцеларијата за поддршка на НАО и одобрени од НАО. Имајќи предвид дека промените се значителни, тие беа доставени до ГД АГРИ за одобрување во јуни </w:t>
      </w:r>
      <w:r w:rsidRPr="002B2470">
        <w:rPr>
          <w:rFonts w:ascii="Arial" w:eastAsia="Calibri" w:hAnsi="Arial" w:cs="Arial"/>
          <w:lang w:val="mk-MK"/>
        </w:rPr>
        <w:t xml:space="preserve">2018 година. Согласно одредбите од Секторскиот договор, предложените измени ќе се спроведат по одобрување од ГД </w:t>
      </w:r>
      <w:r w:rsidR="008C50B8" w:rsidRPr="002B2470">
        <w:rPr>
          <w:rFonts w:ascii="Arial" w:eastAsia="Calibri" w:hAnsi="Arial" w:cs="Arial"/>
          <w:lang w:val="mk-MK"/>
        </w:rPr>
        <w:t>АГРИ</w:t>
      </w:r>
      <w:r w:rsidRPr="002B2470">
        <w:rPr>
          <w:rFonts w:ascii="Arial" w:eastAsia="Calibri" w:hAnsi="Arial" w:cs="Arial"/>
          <w:lang w:val="mk-MK"/>
        </w:rPr>
        <w:t xml:space="preserve">. Потребата од промени во важечките работни </w:t>
      </w:r>
      <w:r w:rsidR="008C50B8" w:rsidRPr="002B2470">
        <w:rPr>
          <w:rFonts w:ascii="Arial" w:eastAsia="Calibri" w:hAnsi="Arial" w:cs="Arial"/>
          <w:lang w:val="mk-MK"/>
        </w:rPr>
        <w:t>процедури</w:t>
      </w:r>
      <w:r w:rsidRPr="002B2470">
        <w:rPr>
          <w:rFonts w:ascii="Arial" w:eastAsia="Calibri" w:hAnsi="Arial" w:cs="Arial"/>
          <w:lang w:val="mk-MK"/>
        </w:rPr>
        <w:t xml:space="preserve"> на Националниот фонд произлезе од препораките за подобрување на сметководствениот систем, даден од страна на TWL проектот </w:t>
      </w:r>
      <w:r w:rsidR="0048673D">
        <w:rPr>
          <w:rFonts w:ascii="Arial" w:eastAsia="Calibri" w:hAnsi="Arial" w:cs="Arial"/>
          <w:lang w:val="mk-MK"/>
        </w:rPr>
        <w:t>„</w:t>
      </w:r>
      <w:r w:rsidRPr="002B2470">
        <w:rPr>
          <w:rFonts w:ascii="Arial" w:eastAsia="Calibri" w:hAnsi="Arial" w:cs="Arial"/>
          <w:lang w:val="mk-MK"/>
        </w:rPr>
        <w:t>Зајакнување на капацитетите на националните власти за добро и ефикасно управување со фондовите на ЕУ, како и во поглед на Новата регулатива на ЕУ за финансиска перспектива 2014-2020</w:t>
      </w:r>
      <w:r w:rsidR="0048673D">
        <w:rPr>
          <w:rFonts w:ascii="Arial" w:eastAsia="Calibri" w:hAnsi="Arial" w:cs="Arial"/>
          <w:lang w:val="mk-MK"/>
        </w:rPr>
        <w:t>“</w:t>
      </w:r>
      <w:r w:rsidRPr="002B2470">
        <w:rPr>
          <w:rFonts w:ascii="Arial" w:eastAsia="Calibri" w:hAnsi="Arial" w:cs="Arial"/>
          <w:lang w:val="mk-MK"/>
        </w:rPr>
        <w:t xml:space="preserve">, како и лекциите научени од практичната имплементација. Главната причина за модифицирање на постапките е препораката за измени и дополнувања во врска со признавањето на приходите и трошоците дадени од експертите </w:t>
      </w:r>
      <w:r w:rsidR="008C50B8" w:rsidRPr="002B2470">
        <w:rPr>
          <w:rFonts w:ascii="Arial" w:eastAsia="Calibri" w:hAnsi="Arial" w:cs="Arial"/>
          <w:lang w:val="mk-MK"/>
        </w:rPr>
        <w:t xml:space="preserve">на </w:t>
      </w:r>
      <w:r w:rsidRPr="002B2470">
        <w:rPr>
          <w:rFonts w:ascii="Arial" w:eastAsia="Calibri" w:hAnsi="Arial" w:cs="Arial"/>
          <w:lang w:val="mk-MK"/>
        </w:rPr>
        <w:t>T</w:t>
      </w:r>
      <w:r w:rsidR="008C50B8" w:rsidRPr="002B2470">
        <w:rPr>
          <w:rFonts w:ascii="Arial" w:eastAsia="Calibri" w:hAnsi="Arial" w:cs="Arial"/>
          <w:lang w:val="mk-MK"/>
        </w:rPr>
        <w:t>W</w:t>
      </w:r>
      <w:r w:rsidRPr="002B2470">
        <w:rPr>
          <w:rFonts w:ascii="Arial" w:eastAsia="Calibri" w:hAnsi="Arial" w:cs="Arial"/>
          <w:lang w:val="mk-MK"/>
        </w:rPr>
        <w:t>L</w:t>
      </w:r>
      <w:r w:rsidR="008C50B8" w:rsidRPr="002B2470">
        <w:rPr>
          <w:rFonts w:ascii="Arial" w:eastAsia="Calibri" w:hAnsi="Arial" w:cs="Arial"/>
          <w:lang w:val="mk-MK"/>
        </w:rPr>
        <w:t xml:space="preserve"> проектот</w:t>
      </w:r>
      <w:r w:rsidRPr="002B2470">
        <w:rPr>
          <w:rFonts w:ascii="Arial" w:eastAsia="Calibri" w:hAnsi="Arial" w:cs="Arial"/>
          <w:lang w:val="mk-MK"/>
        </w:rPr>
        <w:t xml:space="preserve">. Промената сè уште не е одобрена од страна на </w:t>
      </w:r>
      <w:r w:rsidR="008C50B8" w:rsidRPr="002B2470">
        <w:rPr>
          <w:rFonts w:ascii="Arial" w:eastAsia="Calibri" w:hAnsi="Arial" w:cs="Arial"/>
          <w:lang w:val="mk-MK"/>
        </w:rPr>
        <w:t>ГД АГРИ</w:t>
      </w:r>
      <w:r w:rsidRPr="002B2470">
        <w:rPr>
          <w:rFonts w:ascii="Arial" w:eastAsia="Calibri" w:hAnsi="Arial" w:cs="Arial"/>
          <w:lang w:val="mk-MK"/>
        </w:rPr>
        <w:t>.</w:t>
      </w:r>
    </w:p>
    <w:p w:rsidR="00A37576" w:rsidRPr="002B2470" w:rsidRDefault="00A37576" w:rsidP="00A37576">
      <w:pPr>
        <w:spacing w:before="120" w:after="0" w:line="240" w:lineRule="auto"/>
        <w:jc w:val="both"/>
        <w:rPr>
          <w:rFonts w:ascii="Arial" w:eastAsia="Calibri" w:hAnsi="Arial" w:cs="Arial"/>
          <w:highlight w:val="yellow"/>
          <w:lang w:val="mk-MK"/>
        </w:rPr>
      </w:pPr>
      <w:r w:rsidRPr="002B2470">
        <w:rPr>
          <w:rFonts w:ascii="Arial" w:eastAsia="Calibri" w:hAnsi="Arial" w:cs="Arial"/>
          <w:lang w:val="mk-MK"/>
        </w:rPr>
        <w:t>Активностите преземени од ИПАРД структурите за подобрување на функционирањето на системот за индиректно управување се прикажани во следниот дел.</w:t>
      </w:r>
    </w:p>
    <w:p w:rsidR="00CC620D" w:rsidRPr="0038361F" w:rsidRDefault="00CC620D" w:rsidP="00CC620D">
      <w:pPr>
        <w:widowControl w:val="0"/>
        <w:numPr>
          <w:ilvl w:val="0"/>
          <w:numId w:val="40"/>
        </w:numPr>
        <w:suppressAutoHyphens/>
        <w:overflowPunct w:val="0"/>
        <w:autoSpaceDE w:val="0"/>
        <w:spacing w:before="120" w:after="120" w:line="100" w:lineRule="atLeast"/>
        <w:jc w:val="both"/>
        <w:textAlignment w:val="baseline"/>
        <w:rPr>
          <w:rFonts w:ascii="Arial" w:eastAsia="TimesNewRomanPS-BoldItalicMT" w:hAnsi="Arial" w:cs="Arial"/>
          <w:b/>
          <w:i/>
          <w:kern w:val="1"/>
          <w:u w:val="single"/>
          <w:lang w:val="mk-MK" w:eastAsia="zh-CN" w:bidi="hi-IN"/>
        </w:rPr>
      </w:pPr>
      <w:r w:rsidRPr="0038361F">
        <w:rPr>
          <w:rFonts w:ascii="Arial" w:eastAsia="Times New Roman" w:hAnsi="Arial" w:cs="Arial"/>
          <w:b/>
          <w:i/>
          <w:u w:val="single"/>
          <w:lang w:val="mk-MK" w:eastAsia="mk-MK"/>
        </w:rPr>
        <w:t>Верификациски посети</w:t>
      </w:r>
    </w:p>
    <w:p w:rsidR="00CC620D" w:rsidRPr="0038361F" w:rsidRDefault="00CC620D" w:rsidP="00CC620D">
      <w:pPr>
        <w:spacing w:after="0" w:line="240" w:lineRule="auto"/>
        <w:jc w:val="both"/>
        <w:rPr>
          <w:rFonts w:ascii="Arial" w:eastAsia="Calibri" w:hAnsi="Arial" w:cs="Arial"/>
          <w:lang w:val="mk-MK"/>
        </w:rPr>
      </w:pPr>
      <w:r w:rsidRPr="0038361F">
        <w:rPr>
          <w:rFonts w:ascii="Arial" w:eastAsia="Calibri" w:hAnsi="Arial" w:cs="Arial"/>
          <w:lang w:val="mk-MK"/>
        </w:rPr>
        <w:t>Одделението за поддршка на НАО во рамки на Годишниот план за Верификациски посети за 2018 година планира една верификациска посета во рамки на програмскиот период ИПАРД 1 (проверка на исплатени крајни корисници во делот на о</w:t>
      </w:r>
      <w:r w:rsidR="0048673D">
        <w:rPr>
          <w:rFonts w:ascii="Arial" w:eastAsia="Calibri" w:hAnsi="Arial" w:cs="Arial"/>
          <w:lang w:val="mk-MK"/>
        </w:rPr>
        <w:t>д</w:t>
      </w:r>
      <w:r w:rsidRPr="0038361F">
        <w:rPr>
          <w:rFonts w:ascii="Arial" w:eastAsia="Calibri" w:hAnsi="Arial" w:cs="Arial"/>
          <w:lang w:val="mk-MK"/>
        </w:rPr>
        <w:t>држливост на проекти</w:t>
      </w:r>
      <w:r w:rsidR="00F5373B" w:rsidRPr="0038361F">
        <w:rPr>
          <w:rFonts w:ascii="Arial" w:hAnsi="Arial" w:cs="Arial"/>
          <w:lang w:val="mk-MK"/>
        </w:rPr>
        <w:t xml:space="preserve"> во ИПАРД 1 Програмата) како и </w:t>
      </w:r>
      <w:r w:rsidRPr="0038361F">
        <w:rPr>
          <w:rFonts w:ascii="Arial" w:eastAsia="Calibri" w:hAnsi="Arial" w:cs="Arial"/>
          <w:lang w:val="mk-MK"/>
        </w:rPr>
        <w:t>верификациски посети во рамките на програмскиот период ИПАРД 2, и тоа верификациска посета во фаза на склучување на договори и верификациска посета за платени проекти кои треба да бидат декларирани до ЕК.</w:t>
      </w:r>
      <w:r w:rsidR="002B2470">
        <w:rPr>
          <w:rFonts w:ascii="Arial" w:eastAsia="Calibri" w:hAnsi="Arial" w:cs="Arial"/>
          <w:lang w:val="mk-MK"/>
        </w:rPr>
        <w:t xml:space="preserve"> </w:t>
      </w:r>
    </w:p>
    <w:p w:rsidR="00CC620D" w:rsidRPr="0038361F" w:rsidRDefault="008C50B8" w:rsidP="000272CC">
      <w:pPr>
        <w:spacing w:before="120" w:after="0" w:line="240" w:lineRule="auto"/>
        <w:jc w:val="both"/>
        <w:rPr>
          <w:rFonts w:ascii="Arial" w:eastAsia="Calibri" w:hAnsi="Arial" w:cs="Arial"/>
          <w:lang w:val="mk-MK"/>
        </w:rPr>
      </w:pPr>
      <w:r w:rsidRPr="0038361F">
        <w:rPr>
          <w:rFonts w:ascii="Arial" w:eastAsia="Calibri" w:hAnsi="Arial" w:cs="Arial"/>
          <w:lang w:val="mk-MK"/>
        </w:rPr>
        <w:t xml:space="preserve">Во периодот јуни-септември 2018 година во врска со </w:t>
      </w:r>
      <w:r w:rsidRPr="002B2470">
        <w:rPr>
          <w:rFonts w:ascii="Arial" w:eastAsia="Calibri" w:hAnsi="Arial" w:cs="Arial"/>
          <w:lang w:val="mk-MK"/>
        </w:rPr>
        <w:t xml:space="preserve">програмскиот период за ИПАРД 1, верификациска посета </w:t>
      </w:r>
      <w:r w:rsidRPr="0038361F">
        <w:rPr>
          <w:rFonts w:ascii="Arial" w:eastAsia="Calibri" w:hAnsi="Arial" w:cs="Arial"/>
          <w:lang w:val="mk-MK"/>
        </w:rPr>
        <w:t xml:space="preserve">беше извршена </w:t>
      </w:r>
      <w:r w:rsidRPr="002B2470">
        <w:rPr>
          <w:rFonts w:ascii="Arial" w:eastAsia="Calibri" w:hAnsi="Arial" w:cs="Arial"/>
          <w:lang w:val="mk-MK"/>
        </w:rPr>
        <w:t xml:space="preserve">на лице место за да се утврди </w:t>
      </w:r>
      <w:r w:rsidRPr="0038361F">
        <w:rPr>
          <w:rFonts w:ascii="Arial" w:eastAsia="Calibri" w:hAnsi="Arial" w:cs="Arial"/>
          <w:lang w:val="mk-MK"/>
        </w:rPr>
        <w:t>о</w:t>
      </w:r>
      <w:r w:rsidR="0048673D">
        <w:rPr>
          <w:rFonts w:ascii="Arial" w:eastAsia="Calibri" w:hAnsi="Arial" w:cs="Arial"/>
          <w:lang w:val="mk-MK"/>
        </w:rPr>
        <w:t>д</w:t>
      </w:r>
      <w:r w:rsidRPr="0038361F">
        <w:rPr>
          <w:rFonts w:ascii="Arial" w:eastAsia="Calibri" w:hAnsi="Arial" w:cs="Arial"/>
          <w:lang w:val="mk-MK"/>
        </w:rPr>
        <w:t xml:space="preserve">држливоста на проектите за обезбедување на законитоста и правилноста на трансакциите на платени проекти. </w:t>
      </w:r>
      <w:r w:rsidRPr="002B2470">
        <w:rPr>
          <w:rFonts w:ascii="Arial" w:eastAsia="Calibri" w:hAnsi="Arial" w:cs="Arial"/>
          <w:lang w:val="mk-MK"/>
        </w:rPr>
        <w:t>Финализирани беа и в</w:t>
      </w:r>
      <w:r w:rsidRPr="0038361F">
        <w:rPr>
          <w:rFonts w:ascii="Arial" w:eastAsia="Calibri" w:hAnsi="Arial" w:cs="Arial"/>
          <w:lang w:val="mk-MK"/>
        </w:rPr>
        <w:t xml:space="preserve">тората и третата </w:t>
      </w:r>
      <w:r w:rsidRPr="002B2470">
        <w:rPr>
          <w:rFonts w:ascii="Arial" w:eastAsia="Calibri" w:hAnsi="Arial" w:cs="Arial"/>
          <w:lang w:val="mk-MK"/>
        </w:rPr>
        <w:t xml:space="preserve">верификациска посета на </w:t>
      </w:r>
      <w:r w:rsidRPr="0038361F">
        <w:rPr>
          <w:rFonts w:ascii="Arial" w:eastAsia="Calibri" w:hAnsi="Arial" w:cs="Arial"/>
          <w:lang w:val="mk-MK"/>
        </w:rPr>
        <w:t xml:space="preserve">процесот </w:t>
      </w:r>
      <w:r w:rsidR="0048673D">
        <w:rPr>
          <w:rFonts w:ascii="Arial" w:eastAsia="Calibri" w:hAnsi="Arial" w:cs="Arial"/>
          <w:lang w:val="mk-MK"/>
        </w:rPr>
        <w:t>з</w:t>
      </w:r>
      <w:r w:rsidRPr="0038361F">
        <w:rPr>
          <w:rFonts w:ascii="Arial" w:eastAsia="Calibri" w:hAnsi="Arial" w:cs="Arial"/>
          <w:lang w:val="mk-MK"/>
        </w:rPr>
        <w:t>а одобрување проект</w:t>
      </w:r>
      <w:r w:rsidR="000272CC" w:rsidRPr="002B2470">
        <w:rPr>
          <w:rFonts w:ascii="Arial" w:eastAsia="Calibri" w:hAnsi="Arial" w:cs="Arial"/>
          <w:lang w:val="mk-MK"/>
        </w:rPr>
        <w:t>и</w:t>
      </w:r>
      <w:r w:rsidRPr="0038361F">
        <w:rPr>
          <w:rFonts w:ascii="Arial" w:eastAsia="Calibri" w:hAnsi="Arial" w:cs="Arial"/>
          <w:lang w:val="mk-MK"/>
        </w:rPr>
        <w:t xml:space="preserve"> и процесот на плаќање</w:t>
      </w:r>
      <w:r w:rsidR="000272CC" w:rsidRPr="002B2470">
        <w:rPr>
          <w:rFonts w:ascii="Arial" w:eastAsia="Calibri" w:hAnsi="Arial" w:cs="Arial"/>
          <w:lang w:val="mk-MK"/>
        </w:rPr>
        <w:t>.</w:t>
      </w:r>
      <w:r w:rsidRPr="0038361F">
        <w:rPr>
          <w:rFonts w:ascii="Arial" w:eastAsia="Calibri" w:hAnsi="Arial" w:cs="Arial"/>
          <w:lang w:val="mk-MK"/>
        </w:rPr>
        <w:t xml:space="preserve"> Целта на овие две посети беше да се надгледуваат системите за управување и контрола, да се провери контролата на подобните апликации за склучување договори и да се провер</w:t>
      </w:r>
      <w:r w:rsidR="000272CC" w:rsidRPr="002B2470">
        <w:rPr>
          <w:rFonts w:ascii="Arial" w:eastAsia="Calibri" w:hAnsi="Arial" w:cs="Arial"/>
          <w:lang w:val="mk-MK"/>
        </w:rPr>
        <w:t>ат</w:t>
      </w:r>
      <w:r w:rsidRPr="0038361F">
        <w:rPr>
          <w:rFonts w:ascii="Arial" w:eastAsia="Calibri" w:hAnsi="Arial" w:cs="Arial"/>
          <w:lang w:val="mk-MK"/>
        </w:rPr>
        <w:t xml:space="preserve"> контролите во врска со законитоста и регуларноста на трансакциите за платени проекти од истиот јавен повик. </w:t>
      </w:r>
      <w:r w:rsidRPr="0038361F">
        <w:rPr>
          <w:rFonts w:ascii="Arial" w:eastAsia="Calibri" w:hAnsi="Arial" w:cs="Arial"/>
          <w:lang w:val="mk-MK"/>
        </w:rPr>
        <w:lastRenderedPageBreak/>
        <w:t xml:space="preserve">Вкупниот број на проверени проекти (за </w:t>
      </w:r>
      <w:r w:rsidR="0048673D">
        <w:rPr>
          <w:rFonts w:ascii="Arial" w:eastAsia="Calibri" w:hAnsi="Arial" w:cs="Arial"/>
          <w:lang w:val="mk-MK"/>
        </w:rPr>
        <w:t>М</w:t>
      </w:r>
      <w:r w:rsidRPr="0038361F">
        <w:rPr>
          <w:rFonts w:ascii="Arial" w:eastAsia="Calibri" w:hAnsi="Arial" w:cs="Arial"/>
          <w:lang w:val="mk-MK"/>
        </w:rPr>
        <w:t xml:space="preserve">ерка 1 и 3) за време на оваа </w:t>
      </w:r>
      <w:r w:rsidR="000272CC" w:rsidRPr="002B2470">
        <w:rPr>
          <w:rFonts w:ascii="Arial" w:eastAsia="Calibri" w:hAnsi="Arial" w:cs="Arial"/>
          <w:lang w:val="mk-MK"/>
        </w:rPr>
        <w:t>посета</w:t>
      </w:r>
      <w:r w:rsidRPr="0038361F">
        <w:rPr>
          <w:rFonts w:ascii="Arial" w:eastAsia="Calibri" w:hAnsi="Arial" w:cs="Arial"/>
          <w:lang w:val="mk-MK"/>
        </w:rPr>
        <w:t xml:space="preserve"> бе</w:t>
      </w:r>
      <w:r w:rsidR="000272CC" w:rsidRPr="002B2470">
        <w:rPr>
          <w:rFonts w:ascii="Arial" w:eastAsia="Calibri" w:hAnsi="Arial" w:cs="Arial"/>
          <w:lang w:val="mk-MK"/>
        </w:rPr>
        <w:t>ше</w:t>
      </w:r>
      <w:r w:rsidRPr="0038361F">
        <w:rPr>
          <w:rFonts w:ascii="Arial" w:eastAsia="Calibri" w:hAnsi="Arial" w:cs="Arial"/>
          <w:lang w:val="mk-MK"/>
        </w:rPr>
        <w:t xml:space="preserve"> 9, од кои 6 проекти во процесот на одобрување на проект</w:t>
      </w:r>
      <w:r w:rsidR="000272CC" w:rsidRPr="002B2470">
        <w:rPr>
          <w:rFonts w:ascii="Arial" w:eastAsia="Calibri" w:hAnsi="Arial" w:cs="Arial"/>
          <w:lang w:val="mk-MK"/>
        </w:rPr>
        <w:t>и</w:t>
      </w:r>
      <w:r w:rsidRPr="0038361F">
        <w:rPr>
          <w:rFonts w:ascii="Arial" w:eastAsia="Calibri" w:hAnsi="Arial" w:cs="Arial"/>
          <w:lang w:val="mk-MK"/>
        </w:rPr>
        <w:t xml:space="preserve"> и 3 проекти во фаза на плаќање. Вкупниот износ од 653.904,33 ЕУР се провер</w:t>
      </w:r>
      <w:r w:rsidR="000272CC" w:rsidRPr="002B2470">
        <w:rPr>
          <w:rFonts w:ascii="Arial" w:eastAsia="Calibri" w:hAnsi="Arial" w:cs="Arial"/>
          <w:lang w:val="mk-MK"/>
        </w:rPr>
        <w:t>ени</w:t>
      </w:r>
      <w:r w:rsidRPr="0038361F">
        <w:rPr>
          <w:rFonts w:ascii="Arial" w:eastAsia="Calibri" w:hAnsi="Arial" w:cs="Arial"/>
          <w:lang w:val="mk-MK"/>
        </w:rPr>
        <w:t xml:space="preserve"> од 17.563.187,45 </w:t>
      </w:r>
      <w:r w:rsidR="000272CC" w:rsidRPr="0038361F">
        <w:rPr>
          <w:rFonts w:ascii="Arial" w:eastAsia="Calibri" w:hAnsi="Arial" w:cs="Arial"/>
          <w:lang w:val="mk-MK"/>
        </w:rPr>
        <w:t>ЕУР</w:t>
      </w:r>
      <w:r w:rsidRPr="0038361F">
        <w:rPr>
          <w:rFonts w:ascii="Arial" w:eastAsia="Calibri" w:hAnsi="Arial" w:cs="Arial"/>
          <w:lang w:val="mk-MK"/>
        </w:rPr>
        <w:t xml:space="preserve"> </w:t>
      </w:r>
      <w:r w:rsidR="000272CC" w:rsidRPr="002B2470">
        <w:rPr>
          <w:rFonts w:ascii="Arial" w:eastAsia="Calibri" w:hAnsi="Arial" w:cs="Arial"/>
          <w:lang w:val="mk-MK"/>
        </w:rPr>
        <w:t>одобрен</w:t>
      </w:r>
      <w:r w:rsidRPr="0038361F">
        <w:rPr>
          <w:rFonts w:ascii="Arial" w:eastAsia="Calibri" w:hAnsi="Arial" w:cs="Arial"/>
          <w:lang w:val="mk-MK"/>
        </w:rPr>
        <w:t xml:space="preserve"> износ</w:t>
      </w:r>
      <w:r w:rsidR="000272CC" w:rsidRPr="002B2470">
        <w:rPr>
          <w:rFonts w:ascii="Arial" w:eastAsia="Calibri" w:hAnsi="Arial" w:cs="Arial"/>
          <w:lang w:val="mk-MK"/>
        </w:rPr>
        <w:t>, што</w:t>
      </w:r>
      <w:r w:rsidRPr="0038361F">
        <w:rPr>
          <w:rFonts w:ascii="Arial" w:eastAsia="Calibri" w:hAnsi="Arial" w:cs="Arial"/>
          <w:lang w:val="mk-MK"/>
        </w:rPr>
        <w:t xml:space="preserve"> претставува 3,7% од вкупниот </w:t>
      </w:r>
      <w:r w:rsidR="000272CC" w:rsidRPr="002B2470">
        <w:rPr>
          <w:rFonts w:ascii="Arial" w:eastAsia="Calibri" w:hAnsi="Arial" w:cs="Arial"/>
          <w:lang w:val="mk-MK"/>
        </w:rPr>
        <w:t>одобрен</w:t>
      </w:r>
      <w:r w:rsidRPr="0038361F">
        <w:rPr>
          <w:rFonts w:ascii="Arial" w:eastAsia="Calibri" w:hAnsi="Arial" w:cs="Arial"/>
          <w:lang w:val="mk-MK"/>
        </w:rPr>
        <w:t xml:space="preserve"> износ и износ од 67.631,17 </w:t>
      </w:r>
      <w:r w:rsidR="000272CC" w:rsidRPr="0038361F">
        <w:rPr>
          <w:rFonts w:ascii="Arial" w:eastAsia="Calibri" w:hAnsi="Arial" w:cs="Arial"/>
          <w:lang w:val="mk-MK"/>
        </w:rPr>
        <w:t>ЕУР</w:t>
      </w:r>
      <w:r w:rsidRPr="0038361F">
        <w:rPr>
          <w:rFonts w:ascii="Arial" w:eastAsia="Calibri" w:hAnsi="Arial" w:cs="Arial"/>
          <w:lang w:val="mk-MK"/>
        </w:rPr>
        <w:t xml:space="preserve"> е проверен од 449.689,61 ЕУР платени, што претставува околу 15% </w:t>
      </w:r>
      <w:r w:rsidR="000272CC" w:rsidRPr="002B2470">
        <w:rPr>
          <w:rFonts w:ascii="Arial" w:eastAsia="Calibri" w:hAnsi="Arial" w:cs="Arial"/>
          <w:lang w:val="mk-MK"/>
        </w:rPr>
        <w:t xml:space="preserve">од вкупно </w:t>
      </w:r>
      <w:r w:rsidRPr="0038361F">
        <w:rPr>
          <w:rFonts w:ascii="Arial" w:eastAsia="Calibri" w:hAnsi="Arial" w:cs="Arial"/>
          <w:lang w:val="mk-MK"/>
        </w:rPr>
        <w:t>исплатен</w:t>
      </w:r>
      <w:r w:rsidR="000272CC" w:rsidRPr="002B2470">
        <w:rPr>
          <w:rFonts w:ascii="Arial" w:eastAsia="Calibri" w:hAnsi="Arial" w:cs="Arial"/>
          <w:lang w:val="mk-MK"/>
        </w:rPr>
        <w:t xml:space="preserve">и средства до </w:t>
      </w:r>
      <w:r w:rsidRPr="0038361F">
        <w:rPr>
          <w:rFonts w:ascii="Arial" w:eastAsia="Calibri" w:hAnsi="Arial" w:cs="Arial"/>
          <w:lang w:val="mk-MK"/>
        </w:rPr>
        <w:t>подготовката на анализата.</w:t>
      </w:r>
    </w:p>
    <w:p w:rsidR="00CC620D" w:rsidRPr="0038361F" w:rsidRDefault="00CC620D" w:rsidP="000E151E">
      <w:pPr>
        <w:numPr>
          <w:ilvl w:val="0"/>
          <w:numId w:val="40"/>
        </w:numPr>
        <w:autoSpaceDE w:val="0"/>
        <w:autoSpaceDN w:val="0"/>
        <w:adjustRightInd w:val="0"/>
        <w:spacing w:before="120" w:after="120" w:line="240" w:lineRule="auto"/>
        <w:jc w:val="both"/>
        <w:rPr>
          <w:rFonts w:ascii="Arial" w:eastAsia="Calibri" w:hAnsi="Arial" w:cs="Arial"/>
          <w:b/>
          <w:bCs/>
          <w:i/>
          <w:iCs/>
          <w:sz w:val="24"/>
          <w:u w:val="single"/>
          <w:lang w:val="mk-MK"/>
        </w:rPr>
      </w:pPr>
      <w:r w:rsidRPr="0038361F">
        <w:rPr>
          <w:rFonts w:ascii="Arial" w:eastAsia="Calibri" w:hAnsi="Arial" w:cs="Arial"/>
          <w:b/>
          <w:bCs/>
          <w:i/>
          <w:iCs/>
          <w:sz w:val="24"/>
          <w:u w:val="single"/>
          <w:lang w:val="mk-MK"/>
        </w:rPr>
        <w:t>Следење на спроведувањето на ревизорските препораки</w:t>
      </w:r>
    </w:p>
    <w:p w:rsidR="00CC620D" w:rsidRPr="0038361F" w:rsidRDefault="00CC620D" w:rsidP="00CC620D">
      <w:pPr>
        <w:ind w:firstLine="360"/>
        <w:jc w:val="both"/>
        <w:rPr>
          <w:rFonts w:ascii="Arial" w:eastAsia="Calibri" w:hAnsi="Arial" w:cs="Arial"/>
          <w:b/>
          <w:lang w:val="mk-MK"/>
        </w:rPr>
      </w:pPr>
      <w:r w:rsidRPr="0038361F">
        <w:rPr>
          <w:rFonts w:ascii="Arial" w:eastAsia="Calibri" w:hAnsi="Arial" w:cs="Arial"/>
          <w:b/>
          <w:lang w:val="mk-MK"/>
        </w:rPr>
        <w:t xml:space="preserve">(а) Внатрешна </w:t>
      </w:r>
      <w:r w:rsidR="0048673D">
        <w:rPr>
          <w:rFonts w:ascii="Arial" w:eastAsia="Calibri" w:hAnsi="Arial" w:cs="Arial"/>
          <w:b/>
          <w:lang w:val="mk-MK"/>
        </w:rPr>
        <w:t>р</w:t>
      </w:r>
      <w:r w:rsidRPr="0038361F">
        <w:rPr>
          <w:rFonts w:ascii="Arial" w:eastAsia="Calibri" w:hAnsi="Arial" w:cs="Arial"/>
          <w:b/>
          <w:lang w:val="mk-MK"/>
        </w:rPr>
        <w:t>евизија</w:t>
      </w:r>
    </w:p>
    <w:p w:rsidR="00CC620D" w:rsidRPr="0038361F" w:rsidRDefault="00CC620D" w:rsidP="00CC620D">
      <w:pPr>
        <w:jc w:val="both"/>
        <w:rPr>
          <w:rFonts w:ascii="Arial" w:eastAsia="Calibri" w:hAnsi="Arial" w:cs="Arial"/>
          <w:lang w:val="mk-MK"/>
        </w:rPr>
      </w:pPr>
      <w:r w:rsidRPr="0038361F">
        <w:rPr>
          <w:rFonts w:ascii="Arial" w:eastAsia="Calibri" w:hAnsi="Arial" w:cs="Arial"/>
          <w:lang w:val="mk-MK"/>
        </w:rPr>
        <w:t>Управувачк</w:t>
      </w:r>
      <w:r w:rsidR="000272CC" w:rsidRPr="002B2470">
        <w:rPr>
          <w:rFonts w:ascii="Arial" w:eastAsia="Calibri" w:hAnsi="Arial" w:cs="Arial"/>
          <w:lang w:val="mk-MK"/>
        </w:rPr>
        <w:t>ите</w:t>
      </w:r>
      <w:r w:rsidRPr="0038361F">
        <w:rPr>
          <w:rFonts w:ascii="Arial" w:eastAsia="Calibri" w:hAnsi="Arial" w:cs="Arial"/>
          <w:lang w:val="mk-MK"/>
        </w:rPr>
        <w:t xml:space="preserve"> и оперативните структури на ИПАРД беа предмет на внатрешна ревизија во текот на 2018 година од страна на Секторите/Одделенијата за </w:t>
      </w:r>
      <w:r w:rsidR="0048673D">
        <w:rPr>
          <w:rFonts w:ascii="Arial" w:eastAsia="Calibri" w:hAnsi="Arial" w:cs="Arial"/>
          <w:lang w:val="mk-MK"/>
        </w:rPr>
        <w:t>в</w:t>
      </w:r>
      <w:r w:rsidRPr="0038361F">
        <w:rPr>
          <w:rFonts w:ascii="Arial" w:eastAsia="Calibri" w:hAnsi="Arial" w:cs="Arial"/>
          <w:lang w:val="mk-MK"/>
        </w:rPr>
        <w:t xml:space="preserve">натрешна </w:t>
      </w:r>
      <w:r w:rsidR="0048673D">
        <w:rPr>
          <w:rFonts w:ascii="Arial" w:eastAsia="Calibri" w:hAnsi="Arial" w:cs="Arial"/>
          <w:lang w:val="mk-MK"/>
        </w:rPr>
        <w:t>р</w:t>
      </w:r>
      <w:r w:rsidRPr="0038361F">
        <w:rPr>
          <w:rFonts w:ascii="Arial" w:eastAsia="Calibri" w:hAnsi="Arial" w:cs="Arial"/>
          <w:lang w:val="mk-MK"/>
        </w:rPr>
        <w:t>евизија во рамките на секоја институција.</w:t>
      </w:r>
    </w:p>
    <w:p w:rsidR="00CC620D" w:rsidRPr="0038361F" w:rsidRDefault="00CC620D" w:rsidP="000E151E">
      <w:pPr>
        <w:spacing w:before="120" w:after="120" w:line="240" w:lineRule="auto"/>
        <w:jc w:val="both"/>
        <w:rPr>
          <w:rFonts w:ascii="Arial" w:eastAsia="Times New Roman" w:hAnsi="Arial" w:cs="Arial"/>
          <w:u w:val="single"/>
          <w:lang w:val="mk-MK" w:eastAsia="mk-MK"/>
        </w:rPr>
      </w:pPr>
      <w:r w:rsidRPr="0038361F">
        <w:rPr>
          <w:rFonts w:ascii="Arial" w:eastAsia="Times New Roman" w:hAnsi="Arial" w:cs="Arial"/>
          <w:u w:val="single"/>
          <w:lang w:val="mk-MK" w:eastAsia="mk-MK"/>
        </w:rPr>
        <w:t xml:space="preserve">Сектор за управување со средствата од инструментот за претпристапна помош </w:t>
      </w:r>
      <w:r w:rsidR="0048673D">
        <w:rPr>
          <w:rFonts w:ascii="Arial" w:eastAsia="Times New Roman" w:hAnsi="Arial" w:cs="Arial"/>
          <w:u w:val="single"/>
          <w:lang w:val="mk-MK" w:eastAsia="mk-MK"/>
        </w:rPr>
        <w:t>–</w:t>
      </w:r>
      <w:r w:rsidRPr="0038361F">
        <w:rPr>
          <w:rFonts w:ascii="Arial" w:eastAsia="Times New Roman" w:hAnsi="Arial" w:cs="Arial"/>
          <w:u w:val="single"/>
          <w:lang w:val="mk-MK" w:eastAsia="mk-MK"/>
        </w:rPr>
        <w:t xml:space="preserve"> ИПА</w:t>
      </w:r>
    </w:p>
    <w:p w:rsidR="00CC620D" w:rsidRPr="0038361F" w:rsidRDefault="00CC620D" w:rsidP="00CC620D">
      <w:pPr>
        <w:spacing w:after="0" w:line="240" w:lineRule="auto"/>
        <w:jc w:val="both"/>
        <w:rPr>
          <w:rFonts w:ascii="Arial" w:eastAsia="Calibri" w:hAnsi="Arial" w:cs="Arial"/>
          <w:lang w:val="mk-MK"/>
        </w:rPr>
      </w:pPr>
      <w:r w:rsidRPr="0038361F">
        <w:rPr>
          <w:rFonts w:ascii="Arial" w:eastAsia="Calibri" w:hAnsi="Arial" w:cs="Arial"/>
          <w:lang w:val="mk-MK"/>
        </w:rPr>
        <w:t>Годишниот план за ревизија за 2019 година на Секторот за внатрешна ревизија во рамките на Министерството за финансии предвидува една ревизорска мисија во НАО/УС за системот на внатрешни контроли на процесот на контрола на исправноста на барањата за средства и сертификација на трошоците кон ЕК.</w:t>
      </w:r>
    </w:p>
    <w:p w:rsidR="00CC620D" w:rsidRPr="0038361F" w:rsidRDefault="00CC620D" w:rsidP="000272CC">
      <w:pPr>
        <w:spacing w:before="120" w:after="120" w:line="240" w:lineRule="auto"/>
        <w:jc w:val="both"/>
        <w:rPr>
          <w:rFonts w:ascii="Arial" w:eastAsia="Times New Roman" w:hAnsi="Arial" w:cs="Arial"/>
          <w:u w:val="single"/>
          <w:lang w:val="mk-MK" w:eastAsia="mk-MK"/>
        </w:rPr>
      </w:pPr>
      <w:r w:rsidRPr="0038361F">
        <w:rPr>
          <w:rFonts w:ascii="Arial" w:eastAsia="Times New Roman" w:hAnsi="Arial" w:cs="Arial"/>
          <w:u w:val="single"/>
          <w:lang w:val="mk-MK" w:eastAsia="mk-MK"/>
        </w:rPr>
        <w:t>ИПАРД Агенција</w:t>
      </w:r>
    </w:p>
    <w:p w:rsidR="00CC620D" w:rsidRPr="0038361F" w:rsidRDefault="00CC620D" w:rsidP="000272CC">
      <w:pPr>
        <w:spacing w:before="120" w:after="120" w:line="240" w:lineRule="auto"/>
        <w:jc w:val="both"/>
        <w:rPr>
          <w:rFonts w:ascii="Arial" w:eastAsia="Calibri" w:hAnsi="Arial" w:cs="Arial"/>
          <w:lang w:val="mk-MK"/>
        </w:rPr>
      </w:pPr>
      <w:r w:rsidRPr="0038361F">
        <w:rPr>
          <w:rFonts w:ascii="Arial" w:eastAsia="Times New Roman" w:hAnsi="Arial" w:cs="Arial"/>
          <w:lang w:val="mk-MK" w:eastAsia="mk-MK"/>
        </w:rPr>
        <w:t>Годишниот</w:t>
      </w:r>
      <w:r w:rsidRPr="0038361F">
        <w:rPr>
          <w:rFonts w:ascii="Arial" w:eastAsia="Calibri" w:hAnsi="Arial" w:cs="Arial"/>
          <w:lang w:val="mk-MK"/>
        </w:rPr>
        <w:t xml:space="preserve"> план за ревизија во ИПАРД Агенција</w:t>
      </w:r>
      <w:r w:rsidR="0048673D">
        <w:rPr>
          <w:rFonts w:ascii="Arial" w:eastAsia="Calibri" w:hAnsi="Arial" w:cs="Arial"/>
          <w:lang w:val="mk-MK"/>
        </w:rPr>
        <w:t>та</w:t>
      </w:r>
      <w:r w:rsidRPr="0038361F">
        <w:rPr>
          <w:rFonts w:ascii="Arial" w:eastAsia="Calibri" w:hAnsi="Arial" w:cs="Arial"/>
          <w:lang w:val="mk-MK"/>
        </w:rPr>
        <w:t xml:space="preserve"> за 2019 година е усвоен. Според планот се планирани 10 ревизорски мисии, од кои 5 ревизии за процесите поврзани со ИПАРД и една советодавна мисија во врска со активностите поврзани со процесот на акредитација на нови мерки </w:t>
      </w:r>
      <w:r w:rsidR="0048673D">
        <w:rPr>
          <w:rFonts w:ascii="Arial" w:eastAsia="Calibri" w:hAnsi="Arial" w:cs="Arial"/>
          <w:lang w:val="mk-MK"/>
        </w:rPr>
        <w:t>– М</w:t>
      </w:r>
      <w:r w:rsidRPr="0038361F">
        <w:rPr>
          <w:rFonts w:ascii="Arial" w:eastAsia="Calibri" w:hAnsi="Arial" w:cs="Arial"/>
          <w:lang w:val="mk-MK"/>
        </w:rPr>
        <w:t xml:space="preserve">ерка 5 Лидер и </w:t>
      </w:r>
      <w:r w:rsidR="0048673D">
        <w:rPr>
          <w:rFonts w:ascii="Arial" w:eastAsia="Calibri" w:hAnsi="Arial" w:cs="Arial"/>
          <w:lang w:val="mk-MK"/>
        </w:rPr>
        <w:t>М</w:t>
      </w:r>
      <w:r w:rsidRPr="0038361F">
        <w:rPr>
          <w:rFonts w:ascii="Arial" w:eastAsia="Calibri" w:hAnsi="Arial" w:cs="Arial"/>
          <w:lang w:val="mk-MK"/>
        </w:rPr>
        <w:t>ерка 10 Советодавни услуги од ИПАРД Програмата 2014-2020.</w:t>
      </w:r>
    </w:p>
    <w:p w:rsidR="00CC620D" w:rsidRPr="0038361F" w:rsidRDefault="00CC620D" w:rsidP="000E151E">
      <w:pPr>
        <w:spacing w:before="120" w:after="120" w:line="240" w:lineRule="auto"/>
        <w:jc w:val="both"/>
        <w:rPr>
          <w:rFonts w:ascii="Arial" w:eastAsia="Times New Roman" w:hAnsi="Arial" w:cs="Arial"/>
          <w:u w:val="single"/>
          <w:lang w:val="mk-MK" w:eastAsia="mk-MK"/>
        </w:rPr>
      </w:pPr>
      <w:r w:rsidRPr="0038361F">
        <w:rPr>
          <w:rFonts w:ascii="Arial" w:eastAsia="Times New Roman" w:hAnsi="Arial" w:cs="Arial"/>
          <w:u w:val="single"/>
          <w:lang w:val="mk-MK" w:eastAsia="mk-MK"/>
        </w:rPr>
        <w:t>Тело за управување со ИПАРД</w:t>
      </w:r>
    </w:p>
    <w:p w:rsidR="00CC620D" w:rsidRPr="0038361F" w:rsidRDefault="00CC620D" w:rsidP="000272CC">
      <w:pPr>
        <w:spacing w:before="120" w:after="120" w:line="240" w:lineRule="auto"/>
        <w:jc w:val="both"/>
        <w:rPr>
          <w:rFonts w:ascii="Arial" w:eastAsia="Calibri" w:hAnsi="Arial" w:cs="Arial"/>
          <w:lang w:val="mk-MK"/>
        </w:rPr>
      </w:pPr>
      <w:r w:rsidRPr="0038361F">
        <w:rPr>
          <w:rFonts w:ascii="Arial" w:eastAsia="Times New Roman" w:hAnsi="Arial" w:cs="Arial"/>
          <w:lang w:val="mk-MK" w:eastAsia="mk-MK"/>
        </w:rPr>
        <w:t>За</w:t>
      </w:r>
      <w:r w:rsidRPr="0038361F">
        <w:rPr>
          <w:rFonts w:ascii="Arial" w:eastAsia="Calibri" w:hAnsi="Arial" w:cs="Arial"/>
          <w:lang w:val="mk-MK"/>
        </w:rPr>
        <w:t xml:space="preserve"> 2019 година Годишниот план за ревизија на Министерството за земјоделство, шумарство и водостопанство предвидува ревизорска мисија за ефективноста на спроведените и тековните проекти во рамките на ИПА структурата во МЗШВ.</w:t>
      </w:r>
    </w:p>
    <w:p w:rsidR="00CC620D" w:rsidRPr="0038361F" w:rsidRDefault="00CC620D" w:rsidP="000E151E">
      <w:pPr>
        <w:spacing w:before="120" w:after="120" w:line="240" w:lineRule="auto"/>
        <w:ind w:firstLine="720"/>
        <w:jc w:val="both"/>
        <w:rPr>
          <w:rFonts w:ascii="Arial" w:eastAsia="Calibri" w:hAnsi="Arial" w:cs="Arial"/>
          <w:b/>
          <w:lang w:val="mk-MK"/>
        </w:rPr>
      </w:pPr>
      <w:r w:rsidRPr="0038361F">
        <w:rPr>
          <w:rFonts w:ascii="Arial" w:eastAsia="Calibri" w:hAnsi="Arial" w:cs="Arial"/>
          <w:b/>
          <w:lang w:val="mk-MK"/>
        </w:rPr>
        <w:t>(б) Извештаи од Ревизорско тело</w:t>
      </w:r>
    </w:p>
    <w:p w:rsidR="003248DA" w:rsidRPr="0038361F" w:rsidRDefault="003248DA" w:rsidP="000E1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Ревизорското тело за ИПА во текот на 2018 година ги издаде следниве конечн</w:t>
      </w:r>
      <w:r w:rsidRPr="002B2470">
        <w:rPr>
          <w:rFonts w:ascii="Arial" w:eastAsia="Times New Roman" w:hAnsi="Arial" w:cs="Arial"/>
          <w:color w:val="212121"/>
          <w:szCs w:val="20"/>
          <w:lang w:val="mk-MK"/>
        </w:rPr>
        <w:t>и</w:t>
      </w:r>
      <w:r w:rsidRPr="0038361F">
        <w:rPr>
          <w:rFonts w:ascii="Arial" w:eastAsia="Times New Roman" w:hAnsi="Arial" w:cs="Arial"/>
          <w:color w:val="212121"/>
          <w:szCs w:val="20"/>
          <w:lang w:val="mk-MK"/>
        </w:rPr>
        <w:t xml:space="preserve"> ревизорски извештаи:</w:t>
      </w:r>
    </w:p>
    <w:p w:rsidR="003248DA" w:rsidRPr="0038361F" w:rsidRDefault="003248DA"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 xml:space="preserve">Конечен ревизорски извештај за системска ревизија за 2018 година во НАО/МС за спроведување на ИПАРД II програмата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Политичка област 4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Земјоделство и рурален развој од 4 април 2018 година;</w:t>
      </w:r>
    </w:p>
    <w:p w:rsidR="003248DA" w:rsidRPr="0038361F" w:rsidRDefault="003248DA"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 xml:space="preserve">Конечен ревизорски извештај за ревизија на системот за 2018 година во ТУ за програмите финансирани од ИПА II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Политичка област 4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Земјоделство и рурален развој од 4 април 2018 година;</w:t>
      </w:r>
    </w:p>
    <w:p w:rsidR="003248DA" w:rsidRPr="0038361F" w:rsidRDefault="003248DA"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 xml:space="preserve">Конечен ревизорски извештај за системска ревизија за 2018 година во ИПАРД Агенција за спроведување на Програмата ИПАРД II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Политичка област 4 </w:t>
      </w:r>
      <w:r w:rsidR="0048673D">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Земјоделство и рурален развој од 4 април 2018 година;</w:t>
      </w:r>
    </w:p>
    <w:p w:rsidR="00DC58D2" w:rsidRPr="0038361F" w:rsidRDefault="00DC58D2" w:rsidP="00CE51F5">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Конечен ревизорски извештај за ревизија на сметки и Извештај за расходи за 2017 година за ИПАРД I и ИПАРД II од 27 април 2018 година</w:t>
      </w:r>
    </w:p>
    <w:p w:rsidR="003248DA" w:rsidRPr="0038361F" w:rsidRDefault="00DC58D2" w:rsidP="00CE51F5">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Конечен</w:t>
      </w:r>
      <w:r w:rsidRPr="002B2470">
        <w:rPr>
          <w:rFonts w:ascii="Arial" w:eastAsia="Times New Roman" w:hAnsi="Arial" w:cs="Arial"/>
          <w:color w:val="212121"/>
          <w:szCs w:val="20"/>
          <w:lang w:val="mk-MK"/>
        </w:rPr>
        <w:t xml:space="preserve"> ревизорски извештај за ревизија на работењето.</w:t>
      </w:r>
    </w:p>
    <w:p w:rsidR="00DC58D2" w:rsidRPr="0038361F" w:rsidRDefault="00DC58D2" w:rsidP="00DC58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p>
    <w:p w:rsidR="00CC620D" w:rsidRPr="0038361F" w:rsidRDefault="00CC620D" w:rsidP="00CC620D">
      <w:pPr>
        <w:spacing w:after="0" w:line="240" w:lineRule="auto"/>
        <w:jc w:val="both"/>
        <w:rPr>
          <w:rFonts w:ascii="Arial" w:eastAsia="Calibri" w:hAnsi="Arial" w:cs="Arial"/>
          <w:lang w:val="mk-MK"/>
        </w:rPr>
      </w:pPr>
      <w:r w:rsidRPr="0038361F">
        <w:rPr>
          <w:rFonts w:ascii="Arial" w:eastAsia="Calibri" w:hAnsi="Arial" w:cs="Arial"/>
          <w:lang w:val="mk-MK"/>
        </w:rPr>
        <w:t>Ревизор</w:t>
      </w:r>
      <w:r w:rsidR="006A0D7F" w:rsidRPr="0038361F">
        <w:rPr>
          <w:rFonts w:ascii="Arial" w:eastAsia="Calibri" w:hAnsi="Arial" w:cs="Arial"/>
          <w:lang w:val="mk-MK"/>
        </w:rPr>
        <w:t>ско тело за ИПА во текот на 2018</w:t>
      </w:r>
      <w:r w:rsidRPr="0038361F">
        <w:rPr>
          <w:rFonts w:ascii="Arial" w:eastAsia="Calibri" w:hAnsi="Arial" w:cs="Arial"/>
          <w:lang w:val="mk-MK"/>
        </w:rPr>
        <w:t xml:space="preserve"> година ги издаде Годишниот ревизорски извештај и Годишното ревизорско мислење за 2018 година.</w:t>
      </w:r>
    </w:p>
    <w:p w:rsidR="00CC620D" w:rsidRPr="0038361F" w:rsidRDefault="00CC620D" w:rsidP="00CE51F5">
      <w:pPr>
        <w:spacing w:before="120" w:after="0" w:line="240" w:lineRule="auto"/>
        <w:jc w:val="both"/>
        <w:rPr>
          <w:rFonts w:ascii="Arial" w:eastAsia="Calibri" w:hAnsi="Arial" w:cs="Arial"/>
          <w:lang w:val="mk-MK"/>
        </w:rPr>
      </w:pPr>
      <w:r w:rsidRPr="0038361F">
        <w:rPr>
          <w:rFonts w:ascii="Arial" w:eastAsia="Calibri" w:hAnsi="Arial" w:cs="Arial"/>
          <w:lang w:val="mk-MK"/>
        </w:rPr>
        <w:t xml:space="preserve">Со Годишното ревизорско мислење изразено е неквалификувано мислење во однос на веродостојноста на годишните финансиски извештаи или изјави/годишни сметки. Ревизорите изразија неквалификувано мислење со акцент на прашањето за законитоста и регуларноста на расходите и функционирањето на системите за </w:t>
      </w:r>
      <w:r w:rsidRPr="0038361F">
        <w:rPr>
          <w:rFonts w:ascii="Arial" w:eastAsia="Calibri" w:hAnsi="Arial" w:cs="Arial"/>
          <w:lang w:val="mk-MK"/>
        </w:rPr>
        <w:lastRenderedPageBreak/>
        <w:t>управување и контрола со внимание на: недоволниот број вработени во ИПАРД Агенцијата, немање политика за задржување на вработените, немање професионални обуки, неусогласен Закон за основање на ИПАРД Агенција, недостаток на супервизија во процесот на одобрување на плаќање и погрешно пресметана референтна цена.</w:t>
      </w:r>
    </w:p>
    <w:p w:rsidR="00CC620D" w:rsidRPr="0038361F" w:rsidRDefault="00CC620D" w:rsidP="00CC620D">
      <w:pPr>
        <w:spacing w:after="120" w:line="240" w:lineRule="auto"/>
        <w:jc w:val="both"/>
        <w:rPr>
          <w:rFonts w:ascii="Arial" w:eastAsia="Calibri" w:hAnsi="Arial" w:cs="Arial"/>
          <w:lang w:val="mk-MK"/>
        </w:rPr>
      </w:pPr>
      <w:r w:rsidRPr="0038361F">
        <w:rPr>
          <w:rFonts w:ascii="Arial" w:eastAsia="Calibri" w:hAnsi="Arial" w:cs="Arial"/>
          <w:lang w:val="mk-MK"/>
        </w:rPr>
        <w:t>Во табелата подолу се дадени наодите од Годишниот ревизорски извештај за 2018 година за имплементација на ИПАРД II Програмата: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661"/>
        <w:gridCol w:w="1661"/>
        <w:gridCol w:w="1528"/>
        <w:gridCol w:w="1594"/>
      </w:tblGrid>
      <w:tr w:rsidR="00CC620D" w:rsidRPr="002B2470" w:rsidTr="000E151E">
        <w:tc>
          <w:tcPr>
            <w:tcW w:w="2552" w:type="dxa"/>
            <w:shd w:val="clear" w:color="auto" w:fill="auto"/>
          </w:tcPr>
          <w:p w:rsidR="00CC620D" w:rsidRPr="0038361F" w:rsidRDefault="00CC620D" w:rsidP="000E151E">
            <w:pPr>
              <w:pStyle w:val="NormalWeb"/>
              <w:spacing w:before="0" w:after="0"/>
              <w:rPr>
                <w:rFonts w:ascii="Arial" w:eastAsia="Calibri" w:hAnsi="Arial" w:cs="Arial"/>
                <w:sz w:val="22"/>
                <w:szCs w:val="22"/>
                <w:lang w:val="mk-MK" w:eastAsia="en-US"/>
              </w:rPr>
            </w:pPr>
          </w:p>
        </w:tc>
        <w:tc>
          <w:tcPr>
            <w:tcW w:w="1701" w:type="dxa"/>
            <w:shd w:val="clear" w:color="auto" w:fill="auto"/>
          </w:tcPr>
          <w:p w:rsidR="00CC620D" w:rsidRPr="0038361F" w:rsidRDefault="00CC620D" w:rsidP="000E151E">
            <w:pPr>
              <w:autoSpaceDE w:val="0"/>
              <w:autoSpaceDN w:val="0"/>
              <w:adjustRightInd w:val="0"/>
              <w:spacing w:after="0" w:line="240" w:lineRule="auto"/>
              <w:jc w:val="center"/>
              <w:rPr>
                <w:rFonts w:ascii="Arial" w:eastAsia="Calibri" w:hAnsi="Arial" w:cs="Arial"/>
                <w:color w:val="000000"/>
                <w:lang w:val="mk-MK"/>
              </w:rPr>
            </w:pPr>
            <w:r w:rsidRPr="0038361F">
              <w:rPr>
                <w:rFonts w:ascii="Arial" w:eastAsia="Calibri" w:hAnsi="Arial" w:cs="Arial"/>
                <w:color w:val="000000"/>
                <w:lang w:val="mk-MK"/>
              </w:rPr>
              <w:t>Висок</w:t>
            </w:r>
          </w:p>
        </w:tc>
        <w:tc>
          <w:tcPr>
            <w:tcW w:w="1701" w:type="dxa"/>
            <w:shd w:val="clear" w:color="auto" w:fill="auto"/>
          </w:tcPr>
          <w:p w:rsidR="00CC620D" w:rsidRPr="0038361F" w:rsidRDefault="00CC620D" w:rsidP="000E151E">
            <w:pPr>
              <w:autoSpaceDE w:val="0"/>
              <w:autoSpaceDN w:val="0"/>
              <w:adjustRightInd w:val="0"/>
              <w:spacing w:after="0" w:line="240" w:lineRule="auto"/>
              <w:jc w:val="center"/>
              <w:rPr>
                <w:rFonts w:ascii="Arial" w:eastAsia="Calibri" w:hAnsi="Arial" w:cs="Arial"/>
                <w:color w:val="000000"/>
                <w:lang w:val="mk-MK"/>
              </w:rPr>
            </w:pPr>
            <w:r w:rsidRPr="0038361F">
              <w:rPr>
                <w:rFonts w:ascii="Arial" w:eastAsia="Calibri" w:hAnsi="Arial" w:cs="Arial"/>
                <w:color w:val="000000"/>
                <w:lang w:val="mk-MK"/>
              </w:rPr>
              <w:t>Среден</w:t>
            </w:r>
          </w:p>
        </w:tc>
        <w:tc>
          <w:tcPr>
            <w:tcW w:w="1559" w:type="dxa"/>
            <w:shd w:val="clear" w:color="auto" w:fill="auto"/>
          </w:tcPr>
          <w:p w:rsidR="00CC620D" w:rsidRPr="0038361F" w:rsidRDefault="00CC620D" w:rsidP="000E151E">
            <w:pPr>
              <w:autoSpaceDE w:val="0"/>
              <w:autoSpaceDN w:val="0"/>
              <w:adjustRightInd w:val="0"/>
              <w:spacing w:after="0" w:line="240" w:lineRule="auto"/>
              <w:jc w:val="center"/>
              <w:rPr>
                <w:rFonts w:ascii="Arial" w:eastAsia="Calibri" w:hAnsi="Arial" w:cs="Arial"/>
                <w:color w:val="000000"/>
                <w:lang w:val="mk-MK"/>
              </w:rPr>
            </w:pPr>
            <w:r w:rsidRPr="0038361F">
              <w:rPr>
                <w:rFonts w:ascii="Arial" w:eastAsia="Calibri" w:hAnsi="Arial" w:cs="Arial"/>
                <w:color w:val="000000"/>
                <w:lang w:val="mk-MK"/>
              </w:rPr>
              <w:t>Низок</w:t>
            </w:r>
          </w:p>
        </w:tc>
        <w:tc>
          <w:tcPr>
            <w:tcW w:w="1621" w:type="dxa"/>
            <w:shd w:val="clear" w:color="auto" w:fill="auto"/>
          </w:tcPr>
          <w:p w:rsidR="00CC620D" w:rsidRPr="0038361F" w:rsidRDefault="00CC620D" w:rsidP="000E151E">
            <w:pPr>
              <w:autoSpaceDE w:val="0"/>
              <w:autoSpaceDN w:val="0"/>
              <w:adjustRightInd w:val="0"/>
              <w:spacing w:after="0" w:line="240" w:lineRule="auto"/>
              <w:jc w:val="center"/>
              <w:rPr>
                <w:rFonts w:ascii="Arial" w:eastAsia="Calibri" w:hAnsi="Arial" w:cs="Arial"/>
                <w:color w:val="000000"/>
                <w:lang w:val="mk-MK"/>
              </w:rPr>
            </w:pPr>
            <w:r w:rsidRPr="0038361F">
              <w:rPr>
                <w:rFonts w:ascii="Arial" w:eastAsia="Calibri" w:hAnsi="Arial" w:cs="Arial"/>
                <w:color w:val="000000"/>
                <w:lang w:val="mk-MK"/>
              </w:rPr>
              <w:t>Вкупно</w:t>
            </w:r>
          </w:p>
        </w:tc>
      </w:tr>
      <w:tr w:rsidR="00CC620D" w:rsidRPr="002B2470" w:rsidTr="000E151E">
        <w:tc>
          <w:tcPr>
            <w:tcW w:w="2552" w:type="dxa"/>
            <w:shd w:val="clear" w:color="auto" w:fill="auto"/>
          </w:tcPr>
          <w:p w:rsidR="00CC620D" w:rsidRPr="0038361F" w:rsidRDefault="00CC620D" w:rsidP="000E151E">
            <w:pPr>
              <w:spacing w:after="0" w:line="240" w:lineRule="auto"/>
              <w:rPr>
                <w:rFonts w:ascii="Arial" w:eastAsia="Calibri" w:hAnsi="Arial" w:cs="Arial"/>
                <w:lang w:val="mk-MK"/>
              </w:rPr>
            </w:pPr>
            <w:r w:rsidRPr="0038361F">
              <w:rPr>
                <w:rFonts w:ascii="Arial" w:eastAsia="Calibri" w:hAnsi="Arial" w:cs="Arial"/>
                <w:lang w:val="mk-MK"/>
              </w:rPr>
              <w:t>НАО/МС</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2</w:t>
            </w:r>
          </w:p>
        </w:tc>
        <w:tc>
          <w:tcPr>
            <w:tcW w:w="1559"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w:t>
            </w:r>
          </w:p>
        </w:tc>
        <w:tc>
          <w:tcPr>
            <w:tcW w:w="1621" w:type="dxa"/>
            <w:shd w:val="clear" w:color="auto" w:fill="auto"/>
          </w:tcPr>
          <w:p w:rsidR="00CC620D" w:rsidRPr="0038361F" w:rsidRDefault="00CC620D" w:rsidP="000E151E">
            <w:pPr>
              <w:autoSpaceDE w:val="0"/>
              <w:autoSpaceDN w:val="0"/>
              <w:adjustRightInd w:val="0"/>
              <w:spacing w:after="0" w:line="240" w:lineRule="auto"/>
              <w:ind w:firstLine="709"/>
              <w:rPr>
                <w:rFonts w:ascii="Arial" w:eastAsia="Calibri" w:hAnsi="Arial" w:cs="Arial"/>
                <w:color w:val="000000"/>
                <w:lang w:val="mk-MK"/>
              </w:rPr>
            </w:pPr>
            <w:r w:rsidRPr="0038361F">
              <w:rPr>
                <w:rFonts w:ascii="Arial" w:eastAsia="Calibri" w:hAnsi="Arial" w:cs="Arial"/>
                <w:color w:val="000000"/>
                <w:lang w:val="mk-MK"/>
              </w:rPr>
              <w:t>2</w:t>
            </w:r>
          </w:p>
        </w:tc>
      </w:tr>
      <w:tr w:rsidR="00CC620D" w:rsidRPr="002B2470" w:rsidTr="000E151E">
        <w:tc>
          <w:tcPr>
            <w:tcW w:w="2552" w:type="dxa"/>
            <w:shd w:val="clear" w:color="auto" w:fill="auto"/>
          </w:tcPr>
          <w:p w:rsidR="00CC620D" w:rsidRPr="0038361F" w:rsidRDefault="00CC620D" w:rsidP="000E151E">
            <w:pPr>
              <w:spacing w:after="0" w:line="240" w:lineRule="auto"/>
              <w:rPr>
                <w:rFonts w:ascii="Arial" w:eastAsia="Calibri" w:hAnsi="Arial" w:cs="Arial"/>
                <w:lang w:val="mk-MK"/>
              </w:rPr>
            </w:pPr>
            <w:r w:rsidRPr="0038361F">
              <w:rPr>
                <w:rFonts w:ascii="Arial" w:eastAsia="Calibri" w:hAnsi="Arial" w:cs="Arial"/>
                <w:lang w:val="mk-MK"/>
              </w:rPr>
              <w:t>ТУ</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2</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6</w:t>
            </w:r>
          </w:p>
        </w:tc>
        <w:tc>
          <w:tcPr>
            <w:tcW w:w="1559"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w:t>
            </w:r>
          </w:p>
        </w:tc>
        <w:tc>
          <w:tcPr>
            <w:tcW w:w="1621" w:type="dxa"/>
            <w:shd w:val="clear" w:color="auto" w:fill="auto"/>
          </w:tcPr>
          <w:p w:rsidR="00CC620D" w:rsidRPr="0038361F" w:rsidRDefault="00CC620D" w:rsidP="000E151E">
            <w:pPr>
              <w:autoSpaceDE w:val="0"/>
              <w:autoSpaceDN w:val="0"/>
              <w:adjustRightInd w:val="0"/>
              <w:spacing w:after="0" w:line="240" w:lineRule="auto"/>
              <w:ind w:firstLine="709"/>
              <w:rPr>
                <w:rFonts w:ascii="Arial" w:eastAsia="Calibri" w:hAnsi="Arial" w:cs="Arial"/>
                <w:color w:val="000000"/>
                <w:lang w:val="mk-MK"/>
              </w:rPr>
            </w:pPr>
            <w:r w:rsidRPr="0038361F">
              <w:rPr>
                <w:rFonts w:ascii="Arial" w:eastAsia="Calibri" w:hAnsi="Arial" w:cs="Arial"/>
                <w:color w:val="000000"/>
                <w:lang w:val="mk-MK"/>
              </w:rPr>
              <w:t>8</w:t>
            </w:r>
          </w:p>
        </w:tc>
      </w:tr>
      <w:tr w:rsidR="00CC620D" w:rsidRPr="002B2470" w:rsidTr="000E151E">
        <w:tc>
          <w:tcPr>
            <w:tcW w:w="2552" w:type="dxa"/>
            <w:shd w:val="clear" w:color="auto" w:fill="auto"/>
          </w:tcPr>
          <w:p w:rsidR="00CC620D" w:rsidRPr="0038361F" w:rsidRDefault="00CC620D" w:rsidP="000E151E">
            <w:pPr>
              <w:spacing w:after="0" w:line="240" w:lineRule="auto"/>
              <w:rPr>
                <w:rFonts w:ascii="Arial" w:eastAsia="Calibri" w:hAnsi="Arial" w:cs="Arial"/>
                <w:lang w:val="mk-MK"/>
              </w:rPr>
            </w:pPr>
            <w:r w:rsidRPr="0038361F">
              <w:rPr>
                <w:rFonts w:ascii="Arial" w:eastAsia="Calibri" w:hAnsi="Arial" w:cs="Arial"/>
                <w:lang w:val="mk-MK"/>
              </w:rPr>
              <w:t>ИПАРД Агенција</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6</w:t>
            </w:r>
          </w:p>
        </w:tc>
        <w:tc>
          <w:tcPr>
            <w:tcW w:w="1701"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4</w:t>
            </w:r>
          </w:p>
        </w:tc>
        <w:tc>
          <w:tcPr>
            <w:tcW w:w="1559" w:type="dxa"/>
            <w:shd w:val="clear" w:color="auto" w:fill="auto"/>
          </w:tcPr>
          <w:p w:rsidR="00CC620D" w:rsidRPr="0038361F" w:rsidRDefault="00CC620D" w:rsidP="000E151E">
            <w:pPr>
              <w:autoSpaceDE w:val="0"/>
              <w:autoSpaceDN w:val="0"/>
              <w:adjustRightInd w:val="0"/>
              <w:spacing w:after="0" w:line="240" w:lineRule="auto"/>
              <w:ind w:firstLine="709"/>
              <w:jc w:val="center"/>
              <w:rPr>
                <w:rFonts w:ascii="Arial" w:eastAsia="Calibri" w:hAnsi="Arial" w:cs="Arial"/>
                <w:color w:val="000000"/>
                <w:lang w:val="mk-MK"/>
              </w:rPr>
            </w:pPr>
            <w:r w:rsidRPr="0038361F">
              <w:rPr>
                <w:rFonts w:ascii="Arial" w:eastAsia="Calibri" w:hAnsi="Arial" w:cs="Arial"/>
                <w:color w:val="000000"/>
                <w:lang w:val="mk-MK"/>
              </w:rPr>
              <w:t>3</w:t>
            </w:r>
          </w:p>
        </w:tc>
        <w:tc>
          <w:tcPr>
            <w:tcW w:w="1621" w:type="dxa"/>
            <w:shd w:val="clear" w:color="auto" w:fill="auto"/>
          </w:tcPr>
          <w:p w:rsidR="00CC620D" w:rsidRPr="0038361F" w:rsidRDefault="00CC620D" w:rsidP="000E151E">
            <w:pPr>
              <w:autoSpaceDE w:val="0"/>
              <w:autoSpaceDN w:val="0"/>
              <w:adjustRightInd w:val="0"/>
              <w:spacing w:after="0" w:line="240" w:lineRule="auto"/>
              <w:ind w:firstLine="709"/>
              <w:rPr>
                <w:rFonts w:ascii="Arial" w:eastAsia="Calibri" w:hAnsi="Arial" w:cs="Arial"/>
                <w:color w:val="000000"/>
                <w:lang w:val="mk-MK"/>
              </w:rPr>
            </w:pPr>
            <w:r w:rsidRPr="0038361F">
              <w:rPr>
                <w:rFonts w:ascii="Arial" w:eastAsia="Calibri" w:hAnsi="Arial" w:cs="Arial"/>
                <w:color w:val="000000"/>
                <w:lang w:val="mk-MK"/>
              </w:rPr>
              <w:t>13</w:t>
            </w:r>
          </w:p>
        </w:tc>
      </w:tr>
      <w:tr w:rsidR="00CC620D" w:rsidRPr="002B2470" w:rsidTr="000E151E">
        <w:tc>
          <w:tcPr>
            <w:tcW w:w="7513" w:type="dxa"/>
            <w:gridSpan w:val="4"/>
            <w:shd w:val="clear" w:color="auto" w:fill="auto"/>
          </w:tcPr>
          <w:p w:rsidR="00CC620D" w:rsidRPr="0038361F" w:rsidRDefault="00CC620D" w:rsidP="000E151E">
            <w:pPr>
              <w:autoSpaceDE w:val="0"/>
              <w:autoSpaceDN w:val="0"/>
              <w:adjustRightInd w:val="0"/>
              <w:spacing w:after="0" w:line="240" w:lineRule="auto"/>
              <w:ind w:firstLine="709"/>
              <w:jc w:val="both"/>
              <w:rPr>
                <w:rFonts w:ascii="Arial" w:eastAsia="Calibri" w:hAnsi="Arial" w:cs="Arial"/>
                <w:color w:val="000000"/>
                <w:lang w:val="mk-MK"/>
              </w:rPr>
            </w:pPr>
            <w:r w:rsidRPr="0038361F">
              <w:rPr>
                <w:rFonts w:ascii="Arial" w:eastAsia="Calibri" w:hAnsi="Arial" w:cs="Arial"/>
                <w:color w:val="000000"/>
                <w:lang w:val="mk-MK"/>
              </w:rPr>
              <w:t>Вкупно:</w:t>
            </w:r>
          </w:p>
        </w:tc>
        <w:tc>
          <w:tcPr>
            <w:tcW w:w="1621" w:type="dxa"/>
            <w:shd w:val="clear" w:color="auto" w:fill="auto"/>
          </w:tcPr>
          <w:p w:rsidR="00CC620D" w:rsidRPr="0038361F" w:rsidRDefault="00CC620D" w:rsidP="000E151E">
            <w:pPr>
              <w:autoSpaceDE w:val="0"/>
              <w:autoSpaceDN w:val="0"/>
              <w:adjustRightInd w:val="0"/>
              <w:spacing w:after="0" w:line="240" w:lineRule="auto"/>
              <w:ind w:firstLine="709"/>
              <w:rPr>
                <w:rFonts w:ascii="Arial" w:eastAsia="Calibri" w:hAnsi="Arial" w:cs="Arial"/>
                <w:color w:val="000000"/>
                <w:lang w:val="mk-MK"/>
              </w:rPr>
            </w:pPr>
            <w:r w:rsidRPr="0038361F">
              <w:rPr>
                <w:rFonts w:ascii="Arial" w:eastAsia="Calibri" w:hAnsi="Arial" w:cs="Arial"/>
                <w:color w:val="000000"/>
                <w:lang w:val="mk-MK"/>
              </w:rPr>
              <w:t>23</w:t>
            </w:r>
          </w:p>
        </w:tc>
      </w:tr>
    </w:tbl>
    <w:p w:rsidR="00CC620D" w:rsidRPr="0038361F" w:rsidRDefault="00CC620D" w:rsidP="00CC620D">
      <w:pPr>
        <w:widowControl w:val="0"/>
        <w:tabs>
          <w:tab w:val="left" w:pos="851"/>
        </w:tabs>
        <w:suppressAutoHyphens/>
        <w:autoSpaceDE w:val="0"/>
        <w:spacing w:before="80" w:after="0" w:line="240" w:lineRule="auto"/>
        <w:jc w:val="both"/>
        <w:rPr>
          <w:rFonts w:ascii="Arial" w:eastAsia="Calibri" w:hAnsi="Arial" w:cs="Arial"/>
          <w:bCs/>
          <w:iCs/>
          <w:lang w:val="mk-MK"/>
        </w:rPr>
      </w:pPr>
      <w:r w:rsidRPr="0038361F">
        <w:rPr>
          <w:rFonts w:ascii="Arial" w:eastAsia="Calibri" w:hAnsi="Arial" w:cs="Arial"/>
          <w:bCs/>
          <w:iCs/>
          <w:lang w:val="mk-MK"/>
        </w:rPr>
        <w:t>Во однос на отворените наоди од извештаите на РТ, НАО во координација со оперативната структура изработи Акциски план со рокови и одговорности за спроведување на препораките и надминување на наодите.</w:t>
      </w:r>
    </w:p>
    <w:p w:rsidR="00CC620D" w:rsidRPr="0038361F" w:rsidRDefault="00CC620D" w:rsidP="00CC620D">
      <w:pPr>
        <w:widowControl w:val="0"/>
        <w:tabs>
          <w:tab w:val="left" w:pos="851"/>
        </w:tabs>
        <w:suppressAutoHyphens/>
        <w:autoSpaceDE w:val="0"/>
        <w:spacing w:before="80" w:after="120" w:line="240" w:lineRule="auto"/>
        <w:jc w:val="both"/>
        <w:rPr>
          <w:rFonts w:ascii="Arial" w:eastAsia="Calibri" w:hAnsi="Arial" w:cs="Arial"/>
          <w:bCs/>
          <w:iCs/>
          <w:lang w:val="mk-MK"/>
        </w:rPr>
      </w:pPr>
      <w:r w:rsidRPr="0038361F">
        <w:rPr>
          <w:rFonts w:ascii="Arial" w:eastAsia="Calibri" w:hAnsi="Arial" w:cs="Arial"/>
          <w:bCs/>
          <w:iCs/>
          <w:lang w:val="mk-MK"/>
        </w:rPr>
        <w:t>НАО континуирано го следи спроведувањето на активностите договорени за надминување на наодите. На квартална основа, ИПАРД Агенција</w:t>
      </w:r>
      <w:r w:rsidR="0048673D">
        <w:rPr>
          <w:rFonts w:ascii="Arial" w:eastAsia="Calibri" w:hAnsi="Arial" w:cs="Arial"/>
          <w:bCs/>
          <w:iCs/>
          <w:lang w:val="mk-MK"/>
        </w:rPr>
        <w:t>та</w:t>
      </w:r>
      <w:r w:rsidRPr="0038361F">
        <w:rPr>
          <w:rFonts w:ascii="Arial" w:eastAsia="Calibri" w:hAnsi="Arial" w:cs="Arial"/>
          <w:bCs/>
          <w:iCs/>
          <w:lang w:val="mk-MK"/>
        </w:rPr>
        <w:t xml:space="preserve"> и Телото за управување поднесуваат до НАО Табела за спроведување на ревизорски препораки, каде што е даден најновиот статус на преземени активности. Одделението за поддршка на НАО извршува анализа на динамиката на спроведување на активностите и го информираат НАО во врска</w:t>
      </w:r>
      <w:r w:rsidR="000E151E" w:rsidRPr="0038361F">
        <w:rPr>
          <w:rFonts w:ascii="Arial" w:eastAsia="Calibri" w:hAnsi="Arial" w:cs="Arial"/>
          <w:bCs/>
          <w:iCs/>
          <w:lang w:val="mk-MK"/>
        </w:rPr>
        <w:t xml:space="preserve"> со статусот на имплементација.</w:t>
      </w:r>
    </w:p>
    <w:p w:rsidR="00CC620D" w:rsidRPr="0038361F" w:rsidRDefault="00CC620D" w:rsidP="000E151E">
      <w:pPr>
        <w:autoSpaceDE w:val="0"/>
        <w:autoSpaceDN w:val="0"/>
        <w:adjustRightInd w:val="0"/>
        <w:spacing w:before="120" w:after="120" w:line="240" w:lineRule="auto"/>
        <w:jc w:val="both"/>
        <w:rPr>
          <w:rFonts w:ascii="Arial" w:eastAsia="Calibri" w:hAnsi="Arial" w:cs="Arial"/>
          <w:b/>
          <w:bCs/>
          <w:i/>
          <w:iCs/>
          <w:u w:val="single"/>
          <w:lang w:val="mk-MK"/>
        </w:rPr>
      </w:pPr>
      <w:r w:rsidRPr="0038361F">
        <w:rPr>
          <w:rFonts w:ascii="Arial" w:eastAsia="Calibri" w:hAnsi="Arial" w:cs="Arial"/>
          <w:b/>
          <w:bCs/>
          <w:i/>
          <w:iCs/>
          <w:u w:val="single"/>
          <w:lang w:val="mk-MK"/>
        </w:rPr>
        <w:t>3.</w:t>
      </w:r>
      <w:r w:rsidRPr="0038361F">
        <w:rPr>
          <w:rFonts w:ascii="Arial" w:eastAsia="Calibri" w:hAnsi="Arial" w:cs="Arial"/>
          <w:b/>
          <w:bCs/>
          <w:i/>
          <w:iCs/>
          <w:u w:val="single"/>
          <w:lang w:val="mk-MK"/>
        </w:rPr>
        <w:tab/>
        <w:t>Контрола на административните капацитети на оперативната структура</w:t>
      </w:r>
    </w:p>
    <w:p w:rsidR="00CC620D" w:rsidRPr="0038361F" w:rsidRDefault="00CC620D" w:rsidP="00CC620D">
      <w:pPr>
        <w:spacing w:after="0" w:line="240" w:lineRule="auto"/>
        <w:jc w:val="both"/>
        <w:rPr>
          <w:rFonts w:ascii="Arial" w:eastAsia="Calibri" w:hAnsi="Arial" w:cs="Arial"/>
          <w:lang w:val="mk-MK"/>
        </w:rPr>
      </w:pPr>
      <w:r w:rsidRPr="0038361F">
        <w:rPr>
          <w:rFonts w:ascii="Arial" w:eastAsia="Calibri" w:hAnsi="Arial" w:cs="Arial"/>
          <w:lang w:val="mk-MK"/>
        </w:rPr>
        <w:t>Согласно Ана</w:t>
      </w:r>
      <w:r w:rsidR="004C78D4" w:rsidRPr="0038361F">
        <w:rPr>
          <w:rFonts w:ascii="Arial" w:eastAsia="Calibri" w:hAnsi="Arial" w:cs="Arial"/>
          <w:lang w:val="mk-MK"/>
        </w:rPr>
        <w:t>лизата за обем на работа за 2018</w:t>
      </w:r>
      <w:r w:rsidRPr="0038361F">
        <w:rPr>
          <w:rFonts w:ascii="Arial" w:eastAsia="Calibri" w:hAnsi="Arial" w:cs="Arial"/>
          <w:lang w:val="mk-MK"/>
        </w:rPr>
        <w:t xml:space="preserve"> година, оптималниот број вработени во УС е 20 (вклучувајќи го и НАО). </w:t>
      </w:r>
    </w:p>
    <w:p w:rsidR="004C78D4" w:rsidRPr="0038361F" w:rsidRDefault="004C78D4" w:rsidP="00CC620D">
      <w:pPr>
        <w:spacing w:after="0" w:line="240" w:lineRule="auto"/>
        <w:jc w:val="both"/>
        <w:rPr>
          <w:rFonts w:ascii="Arial" w:eastAsia="Calibri" w:hAnsi="Arial" w:cs="Arial"/>
          <w:lang w:val="mk-MK"/>
        </w:rPr>
      </w:pPr>
      <w:r w:rsidRPr="0038361F">
        <w:rPr>
          <w:rFonts w:ascii="Arial" w:eastAsia="Calibri" w:hAnsi="Arial" w:cs="Arial"/>
          <w:lang w:val="mk-MK"/>
        </w:rPr>
        <w:t>На почетокот</w:t>
      </w:r>
      <w:r w:rsidR="00CC620D" w:rsidRPr="0038361F">
        <w:rPr>
          <w:rFonts w:ascii="Arial" w:eastAsia="Calibri" w:hAnsi="Arial" w:cs="Arial"/>
          <w:lang w:val="mk-MK"/>
        </w:rPr>
        <w:t xml:space="preserve"> на 2018 година вкупниот број на вработени во УС е 17</w:t>
      </w:r>
      <w:r w:rsidRPr="002B2470">
        <w:rPr>
          <w:rFonts w:ascii="Arial" w:eastAsia="Calibri" w:hAnsi="Arial" w:cs="Arial"/>
          <w:lang w:val="mk-MK"/>
        </w:rPr>
        <w:t xml:space="preserve"> </w:t>
      </w:r>
      <w:r w:rsidRPr="0038361F">
        <w:rPr>
          <w:rFonts w:ascii="Arial" w:eastAsia="Calibri" w:hAnsi="Arial" w:cs="Arial"/>
          <w:lang w:val="mk-MK"/>
        </w:rPr>
        <w:t>(вклучувајќи го и НАО).</w:t>
      </w:r>
      <w:r w:rsidR="00CC620D" w:rsidRPr="0038361F">
        <w:rPr>
          <w:rFonts w:ascii="Arial" w:eastAsia="Calibri" w:hAnsi="Arial" w:cs="Arial"/>
          <w:lang w:val="mk-MK"/>
        </w:rPr>
        <w:t xml:space="preserve"> </w:t>
      </w:r>
    </w:p>
    <w:p w:rsidR="004C78D4" w:rsidRPr="002B2470" w:rsidRDefault="004C78D4" w:rsidP="004C7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2B2470">
        <w:rPr>
          <w:rFonts w:ascii="Arial" w:eastAsia="Times New Roman" w:hAnsi="Arial" w:cs="Arial"/>
          <w:color w:val="212121"/>
          <w:szCs w:val="20"/>
          <w:lang w:val="mk-MK"/>
        </w:rPr>
        <w:t xml:space="preserve">Во текот на 2018 година, еден вработен бил ангажиран со договор за привремено вработување </w:t>
      </w:r>
      <w:r w:rsidRPr="008A22EF">
        <w:rPr>
          <w:rFonts w:ascii="Arial" w:eastAsia="Times New Roman" w:hAnsi="Arial" w:cs="Arial"/>
          <w:color w:val="212121"/>
          <w:szCs w:val="20"/>
          <w:lang w:val="mk-MK"/>
        </w:rPr>
        <w:t>во Секто</w:t>
      </w:r>
      <w:r w:rsidRPr="006F23FF">
        <w:rPr>
          <w:rFonts w:ascii="Arial" w:eastAsia="Times New Roman" w:hAnsi="Arial" w:cs="Arial"/>
          <w:color w:val="212121"/>
          <w:szCs w:val="20"/>
          <w:lang w:val="mk-MK"/>
        </w:rPr>
        <w:t>рот за управување со ИПА фондовите. Договорот исте</w:t>
      </w:r>
      <w:r w:rsidR="0048673D">
        <w:rPr>
          <w:rFonts w:ascii="Arial" w:eastAsia="Times New Roman" w:hAnsi="Arial" w:cs="Arial"/>
          <w:color w:val="212121"/>
          <w:szCs w:val="20"/>
          <w:lang w:val="mk-MK"/>
        </w:rPr>
        <w:t>кол в</w:t>
      </w:r>
      <w:r w:rsidRPr="006F23FF">
        <w:rPr>
          <w:rFonts w:ascii="Arial" w:eastAsia="Times New Roman" w:hAnsi="Arial" w:cs="Arial"/>
          <w:color w:val="212121"/>
          <w:szCs w:val="20"/>
          <w:lang w:val="mk-MK"/>
        </w:rPr>
        <w:t>о јули 2018 год</w:t>
      </w:r>
      <w:r w:rsidR="00C277D2" w:rsidRPr="002B2470">
        <w:rPr>
          <w:rFonts w:ascii="Arial" w:eastAsia="Times New Roman" w:hAnsi="Arial" w:cs="Arial"/>
          <w:color w:val="212121"/>
          <w:szCs w:val="20"/>
          <w:lang w:val="mk-MK"/>
        </w:rPr>
        <w:t>ина и работникот ја напуштил УС</w:t>
      </w:r>
      <w:r w:rsidRPr="002B2470">
        <w:rPr>
          <w:rFonts w:ascii="Arial" w:eastAsia="Times New Roman" w:hAnsi="Arial" w:cs="Arial"/>
          <w:color w:val="212121"/>
          <w:szCs w:val="20"/>
          <w:lang w:val="mk-MK"/>
        </w:rPr>
        <w:t xml:space="preserve">. Покрај тоа, </w:t>
      </w:r>
      <w:r w:rsidR="0048673D">
        <w:rPr>
          <w:rFonts w:ascii="Arial" w:eastAsia="Times New Roman" w:hAnsi="Arial" w:cs="Arial"/>
          <w:color w:val="212121"/>
          <w:szCs w:val="20"/>
          <w:lang w:val="mk-MK"/>
        </w:rPr>
        <w:t>б</w:t>
      </w:r>
      <w:r w:rsidRPr="002B2470">
        <w:rPr>
          <w:rFonts w:ascii="Arial" w:eastAsia="Times New Roman" w:hAnsi="Arial" w:cs="Arial"/>
          <w:color w:val="212121"/>
          <w:szCs w:val="20"/>
          <w:lang w:val="mk-MK"/>
        </w:rPr>
        <w:t>еше обновен и другиот договор</w:t>
      </w:r>
      <w:r w:rsidR="00375EE9" w:rsidRPr="002B2470">
        <w:rPr>
          <w:rFonts w:ascii="Arial" w:eastAsia="Times New Roman" w:hAnsi="Arial" w:cs="Arial"/>
          <w:color w:val="212121"/>
          <w:szCs w:val="20"/>
          <w:lang w:val="mk-MK"/>
        </w:rPr>
        <w:t xml:space="preserve"> за привремено вработување за п</w:t>
      </w:r>
      <w:r w:rsidRPr="002B2470">
        <w:rPr>
          <w:rFonts w:ascii="Arial" w:eastAsia="Times New Roman" w:hAnsi="Arial" w:cs="Arial"/>
          <w:color w:val="212121"/>
          <w:szCs w:val="20"/>
          <w:lang w:val="mk-MK"/>
        </w:rPr>
        <w:t>омлад со</w:t>
      </w:r>
      <w:r w:rsidR="00EE4366" w:rsidRPr="002B2470">
        <w:rPr>
          <w:rFonts w:ascii="Arial" w:eastAsia="Times New Roman" w:hAnsi="Arial" w:cs="Arial"/>
          <w:color w:val="212121"/>
          <w:szCs w:val="20"/>
          <w:lang w:val="mk-MK"/>
        </w:rPr>
        <w:t>работник кој беше ангажиран во У</w:t>
      </w:r>
      <w:r w:rsidR="00F772E5" w:rsidRPr="002B2470">
        <w:rPr>
          <w:rFonts w:ascii="Arial" w:eastAsia="Times New Roman" w:hAnsi="Arial" w:cs="Arial"/>
          <w:color w:val="212121"/>
          <w:szCs w:val="20"/>
          <w:lang w:val="mk-MK"/>
        </w:rPr>
        <w:t>С во декември 2017 година, а договорот е продолжен до декември 2019 година</w:t>
      </w:r>
      <w:r w:rsidRPr="002B2470">
        <w:rPr>
          <w:rFonts w:ascii="Arial" w:eastAsia="Times New Roman" w:hAnsi="Arial" w:cs="Arial"/>
          <w:color w:val="212121"/>
          <w:szCs w:val="20"/>
          <w:lang w:val="mk-MK"/>
        </w:rPr>
        <w:t>.</w:t>
      </w:r>
    </w:p>
    <w:p w:rsidR="004C78D4" w:rsidRPr="002B2470" w:rsidRDefault="004C78D4" w:rsidP="004C7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2B2470">
        <w:rPr>
          <w:rFonts w:ascii="Arial" w:eastAsia="Times New Roman" w:hAnsi="Arial" w:cs="Arial"/>
          <w:color w:val="212121"/>
          <w:szCs w:val="20"/>
          <w:lang w:val="mk-MK"/>
        </w:rPr>
        <w:t>Затоа, бројот на вработени</w:t>
      </w:r>
      <w:r w:rsidR="00BF1E47" w:rsidRPr="002B2470">
        <w:rPr>
          <w:rFonts w:ascii="Arial" w:eastAsia="Times New Roman" w:hAnsi="Arial" w:cs="Arial"/>
          <w:color w:val="212121"/>
          <w:szCs w:val="20"/>
          <w:lang w:val="mk-MK"/>
        </w:rPr>
        <w:t xml:space="preserve"> заклучно со 31.12.2018 година</w:t>
      </w:r>
      <w:r w:rsidRPr="002B2470">
        <w:rPr>
          <w:rFonts w:ascii="Arial" w:eastAsia="Times New Roman" w:hAnsi="Arial" w:cs="Arial"/>
          <w:color w:val="212121"/>
          <w:szCs w:val="20"/>
          <w:lang w:val="mk-MK"/>
        </w:rPr>
        <w:t xml:space="preserve"> во </w:t>
      </w:r>
      <w:r w:rsidR="00BF1E47" w:rsidRPr="002B2470">
        <w:rPr>
          <w:rFonts w:ascii="Arial" w:eastAsia="Times New Roman" w:hAnsi="Arial" w:cs="Arial"/>
          <w:color w:val="212121"/>
          <w:szCs w:val="20"/>
          <w:lang w:val="mk-MK"/>
        </w:rPr>
        <w:t>УС</w:t>
      </w:r>
      <w:r w:rsidRPr="002B2470">
        <w:rPr>
          <w:rFonts w:ascii="Arial" w:eastAsia="Times New Roman" w:hAnsi="Arial" w:cs="Arial"/>
          <w:color w:val="212121"/>
          <w:szCs w:val="20"/>
          <w:lang w:val="mk-MK"/>
        </w:rPr>
        <w:t xml:space="preserve"> е 17 (седумнаесет), вклучувајќи го и НАО.</w:t>
      </w:r>
    </w:p>
    <w:p w:rsidR="004C78D4" w:rsidRPr="002B2470" w:rsidRDefault="004C78D4" w:rsidP="00F67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2B2470">
        <w:rPr>
          <w:rFonts w:ascii="Arial" w:eastAsia="Times New Roman" w:hAnsi="Arial" w:cs="Arial"/>
          <w:color w:val="212121"/>
          <w:szCs w:val="20"/>
          <w:lang w:val="mk-MK"/>
        </w:rPr>
        <w:t xml:space="preserve">Според состојбата на крајот </w:t>
      </w:r>
      <w:r w:rsidR="0048673D">
        <w:rPr>
          <w:rFonts w:ascii="Arial" w:eastAsia="Times New Roman" w:hAnsi="Arial" w:cs="Arial"/>
          <w:color w:val="212121"/>
          <w:szCs w:val="20"/>
          <w:lang w:val="mk-MK"/>
        </w:rPr>
        <w:t>од</w:t>
      </w:r>
      <w:r w:rsidRPr="002B2470">
        <w:rPr>
          <w:rFonts w:ascii="Arial" w:eastAsia="Times New Roman" w:hAnsi="Arial" w:cs="Arial"/>
          <w:color w:val="212121"/>
          <w:szCs w:val="20"/>
          <w:lang w:val="mk-MK"/>
        </w:rPr>
        <w:t xml:space="preserve"> 2018 година, стапката на вработување на работните места во Секторот за управување со ИПА фондовите е 81%, имајќи предвид дека </w:t>
      </w:r>
      <w:r w:rsidR="00F675B9" w:rsidRPr="002B2470">
        <w:rPr>
          <w:rFonts w:ascii="Arial" w:eastAsia="Times New Roman" w:hAnsi="Arial" w:cs="Arial"/>
          <w:color w:val="212121"/>
          <w:szCs w:val="20"/>
          <w:lang w:val="mk-MK"/>
        </w:rPr>
        <w:t xml:space="preserve">анализата за обем на работа </w:t>
      </w:r>
      <w:r w:rsidRPr="002B2470">
        <w:rPr>
          <w:rFonts w:ascii="Arial" w:eastAsia="Times New Roman" w:hAnsi="Arial" w:cs="Arial"/>
          <w:color w:val="212121"/>
          <w:szCs w:val="20"/>
          <w:lang w:val="mk-MK"/>
        </w:rPr>
        <w:t xml:space="preserve">за 2018 година покажа потреба за оптимален број </w:t>
      </w:r>
      <w:r w:rsidR="0048673D">
        <w:rPr>
          <w:rFonts w:ascii="Arial" w:eastAsia="Times New Roman" w:hAnsi="Arial" w:cs="Arial"/>
          <w:color w:val="212121"/>
          <w:szCs w:val="20"/>
          <w:lang w:val="mk-MK"/>
        </w:rPr>
        <w:t>од</w:t>
      </w:r>
      <w:r w:rsidRPr="002B2470">
        <w:rPr>
          <w:rFonts w:ascii="Arial" w:eastAsia="Times New Roman" w:hAnsi="Arial" w:cs="Arial"/>
          <w:color w:val="212121"/>
          <w:szCs w:val="20"/>
          <w:lang w:val="mk-MK"/>
        </w:rPr>
        <w:t xml:space="preserve"> 21 вработен.</w:t>
      </w:r>
    </w:p>
    <w:p w:rsidR="004C78D4" w:rsidRPr="002B2470" w:rsidRDefault="004C78D4" w:rsidP="00F67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2B2470">
        <w:rPr>
          <w:rFonts w:ascii="Arial" w:eastAsia="Times New Roman" w:hAnsi="Arial" w:cs="Arial"/>
          <w:color w:val="212121"/>
          <w:szCs w:val="20"/>
          <w:lang w:val="mk-MK"/>
        </w:rPr>
        <w:t>Покрај тоа, во врска со задржувањето, во октомври 2018 година е објавен внат</w:t>
      </w:r>
      <w:r w:rsidR="00057F38" w:rsidRPr="002B2470">
        <w:rPr>
          <w:rFonts w:ascii="Arial" w:eastAsia="Times New Roman" w:hAnsi="Arial" w:cs="Arial"/>
          <w:color w:val="212121"/>
          <w:szCs w:val="20"/>
          <w:lang w:val="mk-MK"/>
        </w:rPr>
        <w:t>решен оглас 01/2018 за унапредување</w:t>
      </w:r>
      <w:r w:rsidRPr="002B2470">
        <w:rPr>
          <w:rFonts w:ascii="Arial" w:eastAsia="Times New Roman" w:hAnsi="Arial" w:cs="Arial"/>
          <w:color w:val="212121"/>
          <w:szCs w:val="20"/>
          <w:lang w:val="mk-MK"/>
        </w:rPr>
        <w:t xml:space="preserve"> на 5 административни службеници </w:t>
      </w:r>
      <w:r w:rsidR="0048673D">
        <w:rPr>
          <w:rFonts w:ascii="Arial" w:eastAsia="Times New Roman" w:hAnsi="Arial" w:cs="Arial"/>
          <w:color w:val="212121"/>
          <w:szCs w:val="20"/>
          <w:lang w:val="mk-MK"/>
        </w:rPr>
        <w:t>–</w:t>
      </w:r>
      <w:r w:rsidRPr="002B2470">
        <w:rPr>
          <w:rFonts w:ascii="Arial" w:eastAsia="Times New Roman" w:hAnsi="Arial" w:cs="Arial"/>
          <w:color w:val="212121"/>
          <w:szCs w:val="20"/>
          <w:lang w:val="mk-MK"/>
        </w:rPr>
        <w:t xml:space="preserve"> помлади сораб</w:t>
      </w:r>
      <w:r w:rsidR="00057F38" w:rsidRPr="002B2470">
        <w:rPr>
          <w:rFonts w:ascii="Arial" w:eastAsia="Times New Roman" w:hAnsi="Arial" w:cs="Arial"/>
          <w:color w:val="212121"/>
          <w:szCs w:val="20"/>
          <w:lang w:val="mk-MK"/>
        </w:rPr>
        <w:t xml:space="preserve">отници од двете одделенија во УС и до декември 2018 година, 3 </w:t>
      </w:r>
      <w:r w:rsidRPr="002B2470">
        <w:rPr>
          <w:rFonts w:ascii="Arial" w:eastAsia="Times New Roman" w:hAnsi="Arial" w:cs="Arial"/>
          <w:color w:val="212121"/>
          <w:szCs w:val="20"/>
          <w:lang w:val="mk-MK"/>
        </w:rPr>
        <w:t xml:space="preserve">државни службеници </w:t>
      </w:r>
      <w:r w:rsidR="00057F38" w:rsidRPr="002B2470">
        <w:rPr>
          <w:rFonts w:ascii="Arial" w:eastAsia="Times New Roman" w:hAnsi="Arial" w:cs="Arial"/>
          <w:color w:val="212121"/>
          <w:szCs w:val="20"/>
          <w:lang w:val="mk-MK"/>
        </w:rPr>
        <w:t xml:space="preserve">беа унапредени од помлади соработници во </w:t>
      </w:r>
      <w:r w:rsidRPr="002B2470">
        <w:rPr>
          <w:rFonts w:ascii="Arial" w:eastAsia="Times New Roman" w:hAnsi="Arial" w:cs="Arial"/>
          <w:color w:val="212121"/>
          <w:szCs w:val="20"/>
          <w:lang w:val="mk-MK"/>
        </w:rPr>
        <w:t xml:space="preserve">советници </w:t>
      </w:r>
      <w:r w:rsidR="00057F38" w:rsidRPr="002B2470">
        <w:rPr>
          <w:rFonts w:ascii="Arial" w:eastAsia="Times New Roman" w:hAnsi="Arial" w:cs="Arial"/>
          <w:color w:val="212121"/>
          <w:szCs w:val="20"/>
          <w:lang w:val="mk-MK"/>
        </w:rPr>
        <w:t xml:space="preserve">и еден соработник. </w:t>
      </w:r>
    </w:p>
    <w:p w:rsidR="004C78D4" w:rsidRPr="0038361F" w:rsidRDefault="004C78D4" w:rsidP="00F67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Cs w:val="20"/>
          <w:lang w:val="mk-MK"/>
        </w:rPr>
      </w:pPr>
      <w:r w:rsidRPr="002B2470">
        <w:rPr>
          <w:rFonts w:ascii="Arial" w:eastAsia="Times New Roman" w:hAnsi="Arial" w:cs="Arial"/>
          <w:color w:val="212121"/>
          <w:szCs w:val="20"/>
          <w:lang w:val="mk-MK"/>
        </w:rPr>
        <w:t xml:space="preserve">Според </w:t>
      </w:r>
      <w:r w:rsidR="005331F5" w:rsidRPr="002B2470">
        <w:rPr>
          <w:rFonts w:ascii="Arial" w:eastAsia="Times New Roman" w:hAnsi="Arial" w:cs="Arial"/>
          <w:color w:val="212121"/>
          <w:szCs w:val="20"/>
          <w:lang w:val="mk-MK"/>
        </w:rPr>
        <w:t xml:space="preserve">обемот за анализа на работа </w:t>
      </w:r>
      <w:r w:rsidRPr="002B2470">
        <w:rPr>
          <w:rFonts w:ascii="Arial" w:eastAsia="Times New Roman" w:hAnsi="Arial" w:cs="Arial"/>
          <w:color w:val="212121"/>
          <w:szCs w:val="20"/>
          <w:lang w:val="mk-MK"/>
        </w:rPr>
        <w:t>за 2019 година, оптималниот број вработени во Структурата</w:t>
      </w:r>
      <w:r w:rsidR="005331F5" w:rsidRPr="002B2470">
        <w:rPr>
          <w:rFonts w:ascii="Arial" w:eastAsia="Times New Roman" w:hAnsi="Arial" w:cs="Arial"/>
          <w:color w:val="212121"/>
          <w:szCs w:val="20"/>
          <w:lang w:val="mk-MK"/>
        </w:rPr>
        <w:t xml:space="preserve"> на управување е 20 (вклучувајќи го</w:t>
      </w:r>
      <w:r w:rsidRPr="002B2470">
        <w:rPr>
          <w:rFonts w:ascii="Arial" w:eastAsia="Times New Roman" w:hAnsi="Arial" w:cs="Arial"/>
          <w:color w:val="212121"/>
          <w:szCs w:val="20"/>
          <w:lang w:val="mk-MK"/>
        </w:rPr>
        <w:t xml:space="preserve"> и НАО).</w:t>
      </w:r>
    </w:p>
    <w:p w:rsidR="006F46D6" w:rsidRDefault="006F46D6" w:rsidP="00CE51F5">
      <w:pPr>
        <w:spacing w:before="120" w:after="120" w:line="240" w:lineRule="auto"/>
        <w:ind w:firstLine="562"/>
        <w:jc w:val="both"/>
        <w:rPr>
          <w:rFonts w:ascii="Arial" w:eastAsia="Times New Roman" w:hAnsi="Arial" w:cs="Arial"/>
          <w:i/>
          <w:u w:val="single"/>
          <w:lang w:val="mk-MK" w:eastAsia="mk-MK"/>
        </w:rPr>
      </w:pPr>
    </w:p>
    <w:p w:rsidR="00CC620D" w:rsidRPr="0038361F" w:rsidRDefault="00CC620D" w:rsidP="00CE51F5">
      <w:pPr>
        <w:spacing w:before="120" w:after="120" w:line="240" w:lineRule="auto"/>
        <w:ind w:firstLine="562"/>
        <w:jc w:val="both"/>
        <w:rPr>
          <w:rFonts w:ascii="Arial" w:eastAsia="Times New Roman" w:hAnsi="Arial" w:cs="Arial"/>
          <w:i/>
          <w:u w:val="single"/>
          <w:lang w:val="mk-MK" w:eastAsia="mk-MK"/>
        </w:rPr>
      </w:pPr>
      <w:r w:rsidRPr="0038361F">
        <w:rPr>
          <w:rFonts w:ascii="Arial" w:eastAsia="Times New Roman" w:hAnsi="Arial" w:cs="Arial"/>
          <w:i/>
          <w:u w:val="single"/>
          <w:lang w:val="mk-MK" w:eastAsia="mk-MK"/>
        </w:rPr>
        <w:t>ИПАРД Агенција</w:t>
      </w:r>
    </w:p>
    <w:p w:rsidR="00FD6B0E" w:rsidRPr="0038361F" w:rsidRDefault="00FD6B0E" w:rsidP="00FD6B0E">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Според анализата на обемот на работа (</w:t>
      </w:r>
      <w:r w:rsidR="005330E1" w:rsidRPr="002B2470">
        <w:rPr>
          <w:rFonts w:ascii="Arial" w:eastAsia="Times New Roman" w:hAnsi="Arial" w:cs="Arial"/>
          <w:lang w:val="mk-MK" w:eastAsia="mk-MK"/>
        </w:rPr>
        <w:t>АОР</w:t>
      </w:r>
      <w:r w:rsidRPr="0038361F">
        <w:rPr>
          <w:rFonts w:ascii="Arial" w:eastAsia="Times New Roman" w:hAnsi="Arial" w:cs="Arial"/>
          <w:lang w:val="mk-MK" w:eastAsia="mk-MK"/>
        </w:rPr>
        <w:t xml:space="preserve">) за 2018 година, оптималниот број вработени потребни во ИПАРД Агенцијата за спроведување на акредитираните мерки, како и мерката за рурална инфраструктура е 170 вработени. На почетокот </w:t>
      </w:r>
      <w:r w:rsidR="0038361F">
        <w:rPr>
          <w:rFonts w:ascii="Arial" w:eastAsia="Times New Roman" w:hAnsi="Arial" w:cs="Arial"/>
          <w:lang w:val="mk-MK" w:eastAsia="mk-MK"/>
        </w:rPr>
        <w:t>од</w:t>
      </w:r>
      <w:r w:rsidRPr="0038361F">
        <w:rPr>
          <w:rFonts w:ascii="Arial" w:eastAsia="Times New Roman" w:hAnsi="Arial" w:cs="Arial"/>
          <w:lang w:val="mk-MK" w:eastAsia="mk-MK"/>
        </w:rPr>
        <w:t xml:space="preserve"> 2018 година, ИПАРД Агенцијата броеше 87 вработени, назначени да работат на прашања поврзани со ИПАРД.</w:t>
      </w:r>
    </w:p>
    <w:p w:rsidR="00FD6B0E" w:rsidRPr="0038361F" w:rsidRDefault="00FD6B0E" w:rsidP="00FD6B0E">
      <w:pPr>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lastRenderedPageBreak/>
        <w:t>П</w:t>
      </w:r>
      <w:r w:rsidRPr="0038361F">
        <w:rPr>
          <w:rFonts w:ascii="Arial" w:eastAsia="Times New Roman" w:hAnsi="Arial" w:cs="Arial"/>
          <w:lang w:val="mk-MK" w:eastAsia="mk-MK"/>
        </w:rPr>
        <w:t>риоритет беше зајакнувањето на капацитетот на човечките ресурси на Агенцијата, а во 2018 година може да се забележи силна посветеност за реализација на потребните вработувања.</w:t>
      </w:r>
    </w:p>
    <w:p w:rsidR="00FD6B0E" w:rsidRPr="0038361F" w:rsidRDefault="00FD6B0E" w:rsidP="00FD6B0E">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Имено, постапката за вработување во ИПАРД Агенцијата, според заклучоците на Владата, беше решена да се спроведе во следните три фази:</w:t>
      </w:r>
    </w:p>
    <w:p w:rsidR="00CC620D" w:rsidRPr="0038361F" w:rsidRDefault="00CC620D"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 xml:space="preserve">прва фаза </w:t>
      </w:r>
      <w:r w:rsidR="0038361F">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28 нови вработувања;</w:t>
      </w:r>
    </w:p>
    <w:p w:rsidR="00CC620D" w:rsidRPr="0038361F" w:rsidRDefault="00CC620D"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color w:val="212121"/>
          <w:szCs w:val="20"/>
          <w:lang w:val="mk-MK"/>
        </w:rPr>
      </w:pPr>
      <w:r w:rsidRPr="0038361F">
        <w:rPr>
          <w:rFonts w:ascii="Arial" w:eastAsia="Times New Roman" w:hAnsi="Arial" w:cs="Arial"/>
          <w:color w:val="212121"/>
          <w:szCs w:val="20"/>
          <w:lang w:val="mk-MK"/>
        </w:rPr>
        <w:t xml:space="preserve">втора фаза </w:t>
      </w:r>
      <w:r w:rsidR="0038361F">
        <w:rPr>
          <w:rFonts w:ascii="Arial" w:eastAsia="Times New Roman" w:hAnsi="Arial" w:cs="Arial"/>
          <w:color w:val="212121"/>
          <w:szCs w:val="20"/>
          <w:lang w:val="mk-MK"/>
        </w:rPr>
        <w:t>–</w:t>
      </w:r>
      <w:r w:rsidRPr="0038361F">
        <w:rPr>
          <w:rFonts w:ascii="Arial" w:eastAsia="Times New Roman" w:hAnsi="Arial" w:cs="Arial"/>
          <w:color w:val="212121"/>
          <w:szCs w:val="20"/>
          <w:lang w:val="mk-MK"/>
        </w:rPr>
        <w:t xml:space="preserve"> 20 нови вработувања и</w:t>
      </w:r>
    </w:p>
    <w:p w:rsidR="002A2185" w:rsidRPr="0038361F" w:rsidRDefault="00CC620D" w:rsidP="0038361F">
      <w:pPr>
        <w:pStyle w:val="ListParagraph"/>
        <w:numPr>
          <w:ilvl w:val="2"/>
          <w:numId w:val="5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lang w:val="mk-MK" w:eastAsia="mk-MK"/>
        </w:rPr>
      </w:pPr>
      <w:r w:rsidRPr="0038361F">
        <w:rPr>
          <w:rFonts w:ascii="Arial" w:eastAsia="Times New Roman" w:hAnsi="Arial" w:cs="Arial"/>
          <w:color w:val="212121"/>
          <w:szCs w:val="20"/>
          <w:lang w:val="mk-MK"/>
        </w:rPr>
        <w:t>трета</w:t>
      </w:r>
      <w:r w:rsidRPr="0038361F">
        <w:rPr>
          <w:rFonts w:ascii="Arial" w:eastAsia="Times New Roman" w:hAnsi="Arial" w:cs="Arial"/>
          <w:lang w:val="mk-MK" w:eastAsia="mk-MK"/>
        </w:rPr>
        <w:t xml:space="preserve"> фаза </w:t>
      </w:r>
      <w:r w:rsidR="0038361F">
        <w:rPr>
          <w:rFonts w:ascii="Arial" w:eastAsia="Times New Roman" w:hAnsi="Arial" w:cs="Arial"/>
          <w:lang w:val="mk-MK" w:eastAsia="mk-MK"/>
        </w:rPr>
        <w:t>–</w:t>
      </w:r>
      <w:r w:rsidR="002B2470" w:rsidRPr="0038361F">
        <w:rPr>
          <w:rFonts w:ascii="Arial" w:eastAsia="Times New Roman" w:hAnsi="Arial" w:cs="Arial"/>
          <w:lang w:val="mk-MK" w:eastAsia="mk-MK"/>
        </w:rPr>
        <w:t xml:space="preserve"> </w:t>
      </w:r>
      <w:r w:rsidRPr="0038361F">
        <w:rPr>
          <w:rFonts w:ascii="Arial" w:eastAsia="Times New Roman" w:hAnsi="Arial" w:cs="Arial"/>
          <w:lang w:val="mk-MK" w:eastAsia="mk-MK"/>
        </w:rPr>
        <w:t>20 нови вработувања.</w:t>
      </w:r>
    </w:p>
    <w:p w:rsidR="00CC620D" w:rsidRPr="0038361F" w:rsidRDefault="00CC620D"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Првата фаза е завршена</w:t>
      </w:r>
      <w:r w:rsidR="008F60D3" w:rsidRPr="0038361F">
        <w:rPr>
          <w:rFonts w:ascii="Arial" w:eastAsia="Times New Roman" w:hAnsi="Arial" w:cs="Arial"/>
          <w:lang w:val="mk-MK" w:eastAsia="mk-MK"/>
        </w:rPr>
        <w:t xml:space="preserve"> во </w:t>
      </w:r>
      <w:r w:rsidR="008F60D3" w:rsidRPr="002B2470">
        <w:rPr>
          <w:rFonts w:ascii="Arial" w:eastAsia="Times New Roman" w:hAnsi="Arial" w:cs="Arial"/>
          <w:lang w:val="mk-MK" w:eastAsia="mk-MK"/>
        </w:rPr>
        <w:t>а</w:t>
      </w:r>
      <w:r w:rsidRPr="0038361F">
        <w:rPr>
          <w:rFonts w:ascii="Arial" w:eastAsia="Times New Roman" w:hAnsi="Arial" w:cs="Arial"/>
          <w:lang w:val="mk-MK" w:eastAsia="mk-MK"/>
        </w:rPr>
        <w:t xml:space="preserve">прил 2018 година и </w:t>
      </w:r>
      <w:r w:rsidR="008F60D3" w:rsidRPr="0038361F">
        <w:rPr>
          <w:rFonts w:ascii="Arial" w:eastAsia="Times New Roman" w:hAnsi="Arial" w:cs="Arial"/>
          <w:lang w:val="mk-MK" w:eastAsia="mk-MK"/>
        </w:rPr>
        <w:t xml:space="preserve">почнувајќи од првата недела од </w:t>
      </w:r>
      <w:r w:rsidR="008F60D3" w:rsidRPr="002B2470">
        <w:rPr>
          <w:rFonts w:ascii="Arial" w:eastAsia="Times New Roman" w:hAnsi="Arial" w:cs="Arial"/>
          <w:lang w:val="mk-MK" w:eastAsia="mk-MK"/>
        </w:rPr>
        <w:t>м</w:t>
      </w:r>
      <w:r w:rsidRPr="0038361F">
        <w:rPr>
          <w:rFonts w:ascii="Arial" w:eastAsia="Times New Roman" w:hAnsi="Arial" w:cs="Arial"/>
          <w:lang w:val="mk-MK" w:eastAsia="mk-MK"/>
        </w:rPr>
        <w:t>ај, избраните канди</w:t>
      </w:r>
      <w:r w:rsidR="002A2185" w:rsidRPr="0038361F">
        <w:rPr>
          <w:rFonts w:ascii="Arial" w:eastAsia="Times New Roman" w:hAnsi="Arial" w:cs="Arial"/>
          <w:lang w:val="mk-MK" w:eastAsia="mk-MK"/>
        </w:rPr>
        <w:t xml:space="preserve">дати беа привремено ангажирани </w:t>
      </w:r>
      <w:r w:rsidRPr="0038361F">
        <w:rPr>
          <w:rFonts w:ascii="Arial" w:eastAsia="Times New Roman" w:hAnsi="Arial" w:cs="Arial"/>
          <w:lang w:val="mk-MK" w:eastAsia="mk-MK"/>
        </w:rPr>
        <w:t xml:space="preserve">во Агенцијата до 31.12.2018 година. Од вкупно 28 вработени, 22 лица се ангажирани директно во ИПАРД структурата и 6 вработени лица се индиректно вклучени во имплементацијата на ИПАРД (како на пример Сектор ИТ). Имајќи предвид дека овие вработувања се привремени, договорите за овие </w:t>
      </w:r>
      <w:r w:rsidR="0038361F" w:rsidRPr="0038361F">
        <w:rPr>
          <w:rFonts w:ascii="Arial" w:eastAsia="Times New Roman" w:hAnsi="Arial" w:cs="Arial"/>
          <w:lang w:val="mk-MK" w:eastAsia="mk-MK"/>
        </w:rPr>
        <w:t>вработени</w:t>
      </w:r>
      <w:r w:rsidRPr="0038361F">
        <w:rPr>
          <w:rFonts w:ascii="Arial" w:eastAsia="Times New Roman" w:hAnsi="Arial" w:cs="Arial"/>
          <w:lang w:val="mk-MK" w:eastAsia="mk-MK"/>
        </w:rPr>
        <w:t xml:space="preserve"> се продолжени до 30</w:t>
      </w:r>
      <w:r w:rsidR="008F60D3" w:rsidRPr="0038361F">
        <w:rPr>
          <w:rFonts w:ascii="Arial" w:eastAsia="Times New Roman" w:hAnsi="Arial" w:cs="Arial"/>
          <w:lang w:val="mk-MK" w:eastAsia="mk-MK"/>
        </w:rPr>
        <w:t xml:space="preserve"> </w:t>
      </w:r>
      <w:r w:rsidR="008F60D3" w:rsidRPr="002B2470">
        <w:rPr>
          <w:rFonts w:ascii="Arial" w:eastAsia="Times New Roman" w:hAnsi="Arial" w:cs="Arial"/>
          <w:lang w:val="mk-MK" w:eastAsia="mk-MK"/>
        </w:rPr>
        <w:t>а</w:t>
      </w:r>
      <w:r w:rsidRPr="0038361F">
        <w:rPr>
          <w:rFonts w:ascii="Arial" w:eastAsia="Times New Roman" w:hAnsi="Arial" w:cs="Arial"/>
          <w:lang w:val="mk-MK" w:eastAsia="mk-MK"/>
        </w:rPr>
        <w:t>прил 2019 година.</w:t>
      </w:r>
    </w:p>
    <w:p w:rsidR="00CC620D" w:rsidRPr="0038361F" w:rsidRDefault="00CC620D"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Покрај тоа, во текот на 2018 година, 1 (еден) вработен (помлад соработник) ја напуштил својата позиција во Агенцијата, а 1 (еден) вработен е префрлен да ра</w:t>
      </w:r>
      <w:r w:rsidR="009D087E" w:rsidRPr="0038361F">
        <w:rPr>
          <w:rFonts w:ascii="Arial" w:eastAsia="Times New Roman" w:hAnsi="Arial" w:cs="Arial"/>
          <w:lang w:val="mk-MK" w:eastAsia="mk-MK"/>
        </w:rPr>
        <w:t xml:space="preserve">боти </w:t>
      </w:r>
      <w:r w:rsidRPr="0038361F">
        <w:rPr>
          <w:rFonts w:ascii="Arial" w:eastAsia="Times New Roman" w:hAnsi="Arial" w:cs="Arial"/>
          <w:lang w:val="mk-MK" w:eastAsia="mk-MK"/>
        </w:rPr>
        <w:t xml:space="preserve">во </w:t>
      </w:r>
      <w:r w:rsidR="005330E1" w:rsidRPr="002B2470">
        <w:rPr>
          <w:rFonts w:ascii="Arial" w:eastAsia="Times New Roman" w:hAnsi="Arial" w:cs="Arial"/>
          <w:lang w:val="mk-MK" w:eastAsia="mk-MK"/>
        </w:rPr>
        <w:t xml:space="preserve">рамки на </w:t>
      </w:r>
      <w:r w:rsidRPr="0038361F">
        <w:rPr>
          <w:rFonts w:ascii="Arial" w:eastAsia="Times New Roman" w:hAnsi="Arial" w:cs="Arial"/>
          <w:lang w:val="mk-MK" w:eastAsia="mk-MK"/>
        </w:rPr>
        <w:t>ИПАРД структура.</w:t>
      </w:r>
    </w:p>
    <w:p w:rsidR="00CC620D" w:rsidRPr="0038361F" w:rsidRDefault="005330E1"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Соодветно на тоа, на крајот </w:t>
      </w:r>
      <w:r w:rsidR="0038361F">
        <w:rPr>
          <w:rFonts w:ascii="Arial" w:eastAsia="Times New Roman" w:hAnsi="Arial" w:cs="Arial"/>
          <w:lang w:val="mk-MK" w:eastAsia="mk-MK"/>
        </w:rPr>
        <w:t>од</w:t>
      </w:r>
      <w:r w:rsidR="0038361F" w:rsidRPr="0038361F">
        <w:rPr>
          <w:rFonts w:ascii="Arial" w:eastAsia="Times New Roman" w:hAnsi="Arial" w:cs="Arial"/>
          <w:lang w:val="mk-MK" w:eastAsia="mk-MK"/>
        </w:rPr>
        <w:t xml:space="preserve"> </w:t>
      </w:r>
      <w:r w:rsidRPr="0038361F">
        <w:rPr>
          <w:rFonts w:ascii="Arial" w:eastAsia="Times New Roman" w:hAnsi="Arial" w:cs="Arial"/>
          <w:lang w:val="mk-MK" w:eastAsia="mk-MK"/>
        </w:rPr>
        <w:t>2018 година (31.12.2018 година) бројот на вработени во ИПАРД Агенцијата изнесува 109 (сто и девет) вработени, назначени да работат на прашања поврзани со ИПАРД.</w:t>
      </w:r>
      <w:r w:rsidRPr="002B2470">
        <w:rPr>
          <w:rFonts w:ascii="Arial" w:eastAsia="Times New Roman" w:hAnsi="Arial" w:cs="Arial"/>
          <w:lang w:val="mk-MK" w:eastAsia="mk-MK"/>
        </w:rPr>
        <w:t xml:space="preserve"> </w:t>
      </w:r>
      <w:r w:rsidR="00CC620D" w:rsidRPr="0038361F">
        <w:rPr>
          <w:rFonts w:ascii="Arial" w:eastAsia="Times New Roman" w:hAnsi="Arial" w:cs="Arial"/>
          <w:lang w:val="mk-MK" w:eastAsia="mk-MK"/>
        </w:rPr>
        <w:t xml:space="preserve">Имплементацијата на втората фаза започна со објавување на јавен оглас на крајот на октомври 2018 година. Втората фаза беше завршена </w:t>
      </w:r>
      <w:r w:rsidR="008F60D3" w:rsidRPr="0038361F">
        <w:rPr>
          <w:rFonts w:ascii="Arial" w:eastAsia="Times New Roman" w:hAnsi="Arial" w:cs="Arial"/>
          <w:lang w:val="mk-MK" w:eastAsia="mk-MK"/>
        </w:rPr>
        <w:t>во јануари 2019 година и од 11.</w:t>
      </w:r>
      <w:r w:rsidRPr="002B2470">
        <w:rPr>
          <w:rFonts w:ascii="Arial" w:eastAsia="Times New Roman" w:hAnsi="Arial" w:cs="Arial"/>
          <w:lang w:val="mk-MK" w:eastAsia="mk-MK"/>
        </w:rPr>
        <w:t>0</w:t>
      </w:r>
      <w:r w:rsidR="00CC620D" w:rsidRPr="0038361F">
        <w:rPr>
          <w:rFonts w:ascii="Arial" w:eastAsia="Times New Roman" w:hAnsi="Arial" w:cs="Arial"/>
          <w:lang w:val="mk-MK" w:eastAsia="mk-MK"/>
        </w:rPr>
        <w:t>1.2019 година избраните кандидати беа ангажирани во Агенцијата како постојани вработени. Во рамките на оваа постапка, од објавени 20 нови вработувања беа ангажирани 12 вработени, од кои 11 беа назначени да работат на ИПАРД, а 1 вработен е индиректно вклучен во имплементацијата на ИПАРД Програмата 2014-2020.</w:t>
      </w:r>
    </w:p>
    <w:p w:rsidR="005330E1" w:rsidRPr="0038361F" w:rsidRDefault="005330E1"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Според анализата на обемот на работа (</w:t>
      </w:r>
      <w:r w:rsidRPr="002B2470">
        <w:rPr>
          <w:rFonts w:ascii="Arial" w:eastAsia="Times New Roman" w:hAnsi="Arial" w:cs="Arial"/>
          <w:lang w:val="mk-MK" w:eastAsia="mk-MK"/>
        </w:rPr>
        <w:t>АОР</w:t>
      </w:r>
      <w:r w:rsidRPr="0038361F">
        <w:rPr>
          <w:rFonts w:ascii="Arial" w:eastAsia="Times New Roman" w:hAnsi="Arial" w:cs="Arial"/>
          <w:lang w:val="mk-MK" w:eastAsia="mk-MK"/>
        </w:rPr>
        <w:t xml:space="preserve">) за 2019 година, ИПАРД Агенцијата постави оптимално ниво на персонал </w:t>
      </w:r>
      <w:r w:rsidR="0038361F">
        <w:rPr>
          <w:rFonts w:ascii="Arial" w:eastAsia="Times New Roman" w:hAnsi="Arial" w:cs="Arial"/>
          <w:lang w:val="mk-MK" w:eastAsia="mk-MK"/>
        </w:rPr>
        <w:t>од</w:t>
      </w:r>
      <w:r w:rsidRPr="0038361F">
        <w:rPr>
          <w:rFonts w:ascii="Arial" w:eastAsia="Times New Roman" w:hAnsi="Arial" w:cs="Arial"/>
          <w:lang w:val="mk-MK" w:eastAsia="mk-MK"/>
        </w:rPr>
        <w:t xml:space="preserve"> 150 вработени, вклучувајќи 22 вработени за мерката </w:t>
      </w:r>
      <w:r w:rsidR="0038361F">
        <w:rPr>
          <w:rFonts w:ascii="Arial" w:eastAsia="Times New Roman" w:hAnsi="Arial" w:cs="Arial"/>
          <w:lang w:val="mk-MK" w:eastAsia="mk-MK"/>
        </w:rPr>
        <w:t>„</w:t>
      </w:r>
      <w:r w:rsidRPr="0038361F">
        <w:rPr>
          <w:rFonts w:ascii="Arial" w:eastAsia="Times New Roman" w:hAnsi="Arial" w:cs="Arial"/>
          <w:lang w:val="mk-MK" w:eastAsia="mk-MK"/>
        </w:rPr>
        <w:t>Инвестиции во рурална инфраструктура</w:t>
      </w:r>
      <w:r w:rsidR="0038361F">
        <w:rPr>
          <w:rFonts w:ascii="Arial" w:eastAsia="Times New Roman" w:hAnsi="Arial" w:cs="Arial"/>
          <w:lang w:val="mk-MK" w:eastAsia="mk-MK"/>
        </w:rPr>
        <w:t>“</w:t>
      </w:r>
      <w:r w:rsidRPr="0038361F">
        <w:rPr>
          <w:rFonts w:ascii="Arial" w:eastAsia="Times New Roman" w:hAnsi="Arial" w:cs="Arial"/>
          <w:lang w:val="mk-MK" w:eastAsia="mk-MK"/>
        </w:rPr>
        <w:t>, која сè уште не е акредитирана мерка.</w:t>
      </w:r>
    </w:p>
    <w:p w:rsidR="005330E1" w:rsidRPr="0038361F" w:rsidRDefault="005330E1"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Агенцијата ИПАРД објави јав</w:t>
      </w:r>
      <w:r w:rsidRPr="002B2470">
        <w:rPr>
          <w:rFonts w:ascii="Arial" w:eastAsia="Times New Roman" w:hAnsi="Arial" w:cs="Arial"/>
          <w:lang w:val="mk-MK" w:eastAsia="mk-MK"/>
        </w:rPr>
        <w:t>е</w:t>
      </w:r>
      <w:r w:rsidRPr="0038361F">
        <w:rPr>
          <w:rFonts w:ascii="Arial" w:eastAsia="Times New Roman" w:hAnsi="Arial" w:cs="Arial"/>
          <w:lang w:val="mk-MK" w:eastAsia="mk-MK"/>
        </w:rPr>
        <w:t>н</w:t>
      </w:r>
      <w:r w:rsidRPr="002B2470">
        <w:rPr>
          <w:rFonts w:ascii="Arial" w:eastAsia="Times New Roman" w:hAnsi="Arial" w:cs="Arial"/>
          <w:lang w:val="mk-MK" w:eastAsia="mk-MK"/>
        </w:rPr>
        <w:t xml:space="preserve"> оглас </w:t>
      </w:r>
      <w:r w:rsidRPr="0038361F">
        <w:rPr>
          <w:rFonts w:ascii="Arial" w:eastAsia="Times New Roman" w:hAnsi="Arial" w:cs="Arial"/>
          <w:lang w:val="mk-MK" w:eastAsia="mk-MK"/>
        </w:rPr>
        <w:t xml:space="preserve">за вработување на други 8 административни службеници и 4 </w:t>
      </w:r>
      <w:r w:rsidRPr="002B2470">
        <w:rPr>
          <w:rFonts w:ascii="Arial" w:eastAsia="Times New Roman" w:hAnsi="Arial" w:cs="Arial"/>
          <w:lang w:val="mk-MK" w:eastAsia="mk-MK"/>
        </w:rPr>
        <w:t>унапредувања на посто</w:t>
      </w:r>
      <w:r w:rsidR="0038361F">
        <w:rPr>
          <w:rFonts w:ascii="Arial" w:eastAsia="Times New Roman" w:hAnsi="Arial" w:cs="Arial"/>
          <w:lang w:val="mk-MK" w:eastAsia="mk-MK"/>
        </w:rPr>
        <w:t xml:space="preserve">јниот </w:t>
      </w:r>
      <w:r w:rsidRPr="0038361F">
        <w:rPr>
          <w:rFonts w:ascii="Arial" w:eastAsia="Times New Roman" w:hAnsi="Arial" w:cs="Arial"/>
          <w:lang w:val="mk-MK" w:eastAsia="mk-MK"/>
        </w:rPr>
        <w:t>персонал на 03.01.2019 година. Постапката е во тек.</w:t>
      </w:r>
    </w:p>
    <w:p w:rsidR="00CC620D" w:rsidRPr="0038361F" w:rsidRDefault="00CC620D" w:rsidP="00CC620D">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Паралелно, имајќи ја предвид политиката на задржување и мотивација, на 17.10.2018 година започна постапка за унапредување на 28 постојни административни државни службеници и тоа: со објава на интерен оглас за 20 и преку објава на јавен оглас за 8 вработени. Овие постапки за унапредување беа завршени во јануари 2019 година. Во рамките на оваа постапка вкупно беа унапредени 21 државен службеник во Агенцијата, од кои 15 државни службеници вклучени во ИПАРД структурата на Агенцијата.</w:t>
      </w:r>
    </w:p>
    <w:p w:rsidR="00CC620D" w:rsidRPr="0038361F" w:rsidRDefault="00CC620D" w:rsidP="00CC620D">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Третата фаза </w:t>
      </w:r>
      <w:r w:rsidR="0038361F">
        <w:rPr>
          <w:rFonts w:ascii="Arial" w:eastAsia="Times New Roman" w:hAnsi="Arial" w:cs="Arial"/>
          <w:lang w:val="mk-MK" w:eastAsia="mk-MK"/>
        </w:rPr>
        <w:t>–</w:t>
      </w:r>
      <w:r w:rsidRPr="0038361F">
        <w:rPr>
          <w:rFonts w:ascii="Arial" w:eastAsia="Times New Roman" w:hAnsi="Arial" w:cs="Arial"/>
          <w:lang w:val="mk-MK" w:eastAsia="mk-MK"/>
        </w:rPr>
        <w:t xml:space="preserve"> вработување</w:t>
      </w:r>
      <w:r w:rsidR="0038361F">
        <w:rPr>
          <w:rFonts w:ascii="Arial" w:eastAsia="Times New Roman" w:hAnsi="Arial" w:cs="Arial"/>
          <w:lang w:val="mk-MK" w:eastAsia="mk-MK"/>
        </w:rPr>
        <w:t>то</w:t>
      </w:r>
      <w:r w:rsidRPr="0038361F">
        <w:rPr>
          <w:rFonts w:ascii="Arial" w:eastAsia="Times New Roman" w:hAnsi="Arial" w:cs="Arial"/>
          <w:lang w:val="mk-MK" w:eastAsia="mk-MK"/>
        </w:rPr>
        <w:t xml:space="preserve"> на дополнителни 20 нови административни државни службеници се планира да започне со објавување на јавен оглас за време на вториот квартал од 2019 година, по претседателските избори.</w:t>
      </w:r>
    </w:p>
    <w:p w:rsidR="008F60D3" w:rsidRPr="0038361F" w:rsidRDefault="00CC620D" w:rsidP="005330E1">
      <w:pPr>
        <w:spacing w:before="120"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Со реализацијата на планот за вработување за 2018 година, како што е наведено погоре, ИПАРД Агенција ќе биде целосно екипирана (100% исполнување на потребни</w:t>
      </w:r>
      <w:r w:rsidR="009D087E" w:rsidRPr="0038361F">
        <w:rPr>
          <w:rFonts w:ascii="Arial" w:eastAsia="Times New Roman" w:hAnsi="Arial" w:cs="Arial"/>
          <w:lang w:val="mk-MK" w:eastAsia="mk-MK"/>
        </w:rPr>
        <w:t>те работни позиции според АОР).</w:t>
      </w:r>
    </w:p>
    <w:p w:rsidR="00CC620D" w:rsidRPr="0038361F" w:rsidRDefault="00CC620D" w:rsidP="000E151E">
      <w:pPr>
        <w:spacing w:before="120" w:after="120" w:line="240" w:lineRule="auto"/>
        <w:ind w:firstLine="562"/>
        <w:jc w:val="both"/>
        <w:rPr>
          <w:rFonts w:ascii="Arial" w:eastAsia="Times New Roman" w:hAnsi="Arial" w:cs="Arial"/>
          <w:i/>
          <w:u w:val="single"/>
          <w:lang w:val="mk-MK" w:eastAsia="mk-MK"/>
        </w:rPr>
      </w:pPr>
      <w:r w:rsidRPr="0038361F">
        <w:rPr>
          <w:rFonts w:ascii="Arial" w:eastAsia="Times New Roman" w:hAnsi="Arial" w:cs="Arial"/>
          <w:i/>
          <w:u w:val="single"/>
          <w:lang w:val="mk-MK" w:eastAsia="mk-MK"/>
        </w:rPr>
        <w:t>Тело за управување со ИПАРД</w:t>
      </w:r>
    </w:p>
    <w:p w:rsidR="002E044F" w:rsidRPr="0038361F" w:rsidRDefault="002E044F" w:rsidP="002E044F">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Според анализата на обемот на работа (АОР) за 2018 година, оптималниот број вработени потребни во </w:t>
      </w:r>
      <w:r w:rsidRPr="002B2470">
        <w:rPr>
          <w:rFonts w:ascii="Arial" w:eastAsia="Times New Roman" w:hAnsi="Arial" w:cs="Arial"/>
          <w:lang w:val="mk-MK" w:eastAsia="mk-MK"/>
        </w:rPr>
        <w:t>Телото за управување</w:t>
      </w:r>
      <w:r w:rsidRPr="0038361F">
        <w:rPr>
          <w:rFonts w:ascii="Arial" w:eastAsia="Times New Roman" w:hAnsi="Arial" w:cs="Arial"/>
          <w:lang w:val="mk-MK" w:eastAsia="mk-MK"/>
        </w:rPr>
        <w:t xml:space="preserve"> </w:t>
      </w:r>
      <w:r w:rsidRPr="002B2470">
        <w:rPr>
          <w:rFonts w:ascii="Arial" w:eastAsia="Times New Roman" w:hAnsi="Arial" w:cs="Arial"/>
          <w:lang w:val="mk-MK" w:eastAsia="mk-MK"/>
        </w:rPr>
        <w:t>е</w:t>
      </w:r>
      <w:r w:rsidRPr="0038361F">
        <w:rPr>
          <w:rFonts w:ascii="Arial" w:eastAsia="Times New Roman" w:hAnsi="Arial" w:cs="Arial"/>
          <w:lang w:val="mk-MK" w:eastAsia="mk-MK"/>
        </w:rPr>
        <w:t xml:space="preserve"> 19. На почетокот </w:t>
      </w:r>
      <w:r w:rsidR="0038361F">
        <w:rPr>
          <w:rFonts w:ascii="Arial" w:eastAsia="Times New Roman" w:hAnsi="Arial" w:cs="Arial"/>
          <w:lang w:val="mk-MK" w:eastAsia="mk-MK"/>
        </w:rPr>
        <w:t>од</w:t>
      </w:r>
      <w:r w:rsidRPr="0038361F">
        <w:rPr>
          <w:rFonts w:ascii="Arial" w:eastAsia="Times New Roman" w:hAnsi="Arial" w:cs="Arial"/>
          <w:lang w:val="mk-MK" w:eastAsia="mk-MK"/>
        </w:rPr>
        <w:t xml:space="preserve"> 2018 година, </w:t>
      </w:r>
      <w:r w:rsidRPr="002B2470">
        <w:rPr>
          <w:rFonts w:ascii="Arial" w:eastAsia="Times New Roman" w:hAnsi="Arial" w:cs="Arial"/>
          <w:lang w:val="mk-MK" w:eastAsia="mk-MK"/>
        </w:rPr>
        <w:t xml:space="preserve">Телото за управување </w:t>
      </w:r>
      <w:r w:rsidRPr="0038361F">
        <w:rPr>
          <w:rFonts w:ascii="Arial" w:eastAsia="Times New Roman" w:hAnsi="Arial" w:cs="Arial"/>
          <w:lang w:val="mk-MK" w:eastAsia="mk-MK"/>
        </w:rPr>
        <w:t xml:space="preserve">броеше 13 вработени, вклучително и </w:t>
      </w:r>
      <w:r w:rsidRPr="002B2470">
        <w:rPr>
          <w:rFonts w:ascii="Arial" w:eastAsia="Times New Roman" w:hAnsi="Arial" w:cs="Arial"/>
          <w:lang w:val="mk-MK" w:eastAsia="mk-MK"/>
        </w:rPr>
        <w:t>РТУ</w:t>
      </w:r>
      <w:r w:rsidRPr="0038361F">
        <w:rPr>
          <w:rFonts w:ascii="Arial" w:eastAsia="Times New Roman" w:hAnsi="Arial" w:cs="Arial"/>
          <w:lang w:val="mk-MK" w:eastAsia="mk-MK"/>
        </w:rPr>
        <w:t xml:space="preserve">. Во текот на 2018 година, 8 </w:t>
      </w:r>
      <w:r w:rsidRPr="0038361F">
        <w:rPr>
          <w:rFonts w:ascii="Arial" w:eastAsia="Times New Roman" w:hAnsi="Arial" w:cs="Arial"/>
          <w:lang w:val="mk-MK" w:eastAsia="mk-MK"/>
        </w:rPr>
        <w:lastRenderedPageBreak/>
        <w:t xml:space="preserve">(осум) нови вработени беа ангажирани во </w:t>
      </w:r>
      <w:r w:rsidRPr="002B2470">
        <w:rPr>
          <w:rFonts w:ascii="Arial" w:eastAsia="Times New Roman" w:hAnsi="Arial" w:cs="Arial"/>
          <w:lang w:val="mk-MK" w:eastAsia="mk-MK"/>
        </w:rPr>
        <w:t xml:space="preserve">Телото за управување, а </w:t>
      </w:r>
      <w:r w:rsidRPr="0038361F">
        <w:rPr>
          <w:rFonts w:ascii="Arial" w:eastAsia="Times New Roman" w:hAnsi="Arial" w:cs="Arial"/>
          <w:lang w:val="mk-MK" w:eastAsia="mk-MK"/>
        </w:rPr>
        <w:t xml:space="preserve">4 (четири) вработени беа прераспределени </w:t>
      </w:r>
      <w:r w:rsidRPr="002B2470">
        <w:rPr>
          <w:rFonts w:ascii="Arial" w:eastAsia="Times New Roman" w:hAnsi="Arial" w:cs="Arial"/>
          <w:lang w:val="mk-MK" w:eastAsia="mk-MK"/>
        </w:rPr>
        <w:t xml:space="preserve">на други </w:t>
      </w:r>
      <w:r w:rsidRPr="0038361F">
        <w:rPr>
          <w:rFonts w:ascii="Arial" w:eastAsia="Times New Roman" w:hAnsi="Arial" w:cs="Arial"/>
          <w:lang w:val="mk-MK" w:eastAsia="mk-MK"/>
        </w:rPr>
        <w:t>работн</w:t>
      </w:r>
      <w:r w:rsidRPr="002B2470">
        <w:rPr>
          <w:rFonts w:ascii="Arial" w:eastAsia="Times New Roman" w:hAnsi="Arial" w:cs="Arial"/>
          <w:lang w:val="mk-MK" w:eastAsia="mk-MK"/>
        </w:rPr>
        <w:t>и</w:t>
      </w:r>
      <w:r w:rsidRPr="0038361F">
        <w:rPr>
          <w:rFonts w:ascii="Arial" w:eastAsia="Times New Roman" w:hAnsi="Arial" w:cs="Arial"/>
          <w:lang w:val="mk-MK" w:eastAsia="mk-MK"/>
        </w:rPr>
        <w:t xml:space="preserve"> мест</w:t>
      </w:r>
      <w:r w:rsidRPr="002B2470">
        <w:rPr>
          <w:rFonts w:ascii="Arial" w:eastAsia="Times New Roman" w:hAnsi="Arial" w:cs="Arial"/>
          <w:lang w:val="mk-MK" w:eastAsia="mk-MK"/>
        </w:rPr>
        <w:t>а</w:t>
      </w:r>
      <w:r w:rsidRPr="0038361F">
        <w:rPr>
          <w:rFonts w:ascii="Arial" w:eastAsia="Times New Roman" w:hAnsi="Arial" w:cs="Arial"/>
          <w:lang w:val="mk-MK" w:eastAsia="mk-MK"/>
        </w:rPr>
        <w:t xml:space="preserve"> во </w:t>
      </w:r>
      <w:r w:rsidRPr="002B2470">
        <w:rPr>
          <w:rFonts w:ascii="Arial" w:eastAsia="Times New Roman" w:hAnsi="Arial" w:cs="Arial"/>
          <w:lang w:val="mk-MK" w:eastAsia="mk-MK"/>
        </w:rPr>
        <w:t>рамки на Министерството.</w:t>
      </w:r>
    </w:p>
    <w:p w:rsidR="002E044F" w:rsidRPr="0038361F" w:rsidRDefault="002E044F" w:rsidP="002E044F">
      <w:pPr>
        <w:spacing w:before="120"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Д</w:t>
      </w:r>
      <w:r w:rsidR="0019564C" w:rsidRPr="0038361F">
        <w:rPr>
          <w:rFonts w:ascii="Arial" w:eastAsia="Times New Roman" w:hAnsi="Arial" w:cs="Arial"/>
          <w:lang w:val="mk-MK" w:eastAsia="mk-MK"/>
        </w:rPr>
        <w:t xml:space="preserve">ополнително, на 30.11.2018 </w:t>
      </w:r>
      <w:r w:rsidRPr="0038361F">
        <w:rPr>
          <w:rFonts w:ascii="Arial" w:eastAsia="Times New Roman" w:hAnsi="Arial" w:cs="Arial"/>
          <w:lang w:val="mk-MK" w:eastAsia="mk-MK"/>
        </w:rPr>
        <w:t>г</w:t>
      </w:r>
      <w:r w:rsidR="0019564C" w:rsidRPr="002B2470">
        <w:rPr>
          <w:rFonts w:ascii="Arial" w:eastAsia="Times New Roman" w:hAnsi="Arial" w:cs="Arial"/>
          <w:lang w:val="mk-MK" w:eastAsia="mk-MK"/>
        </w:rPr>
        <w:t>одина</w:t>
      </w:r>
      <w:r w:rsidRPr="0038361F">
        <w:rPr>
          <w:rFonts w:ascii="Arial" w:eastAsia="Times New Roman" w:hAnsi="Arial" w:cs="Arial"/>
          <w:lang w:val="mk-MK" w:eastAsia="mk-MK"/>
        </w:rPr>
        <w:t xml:space="preserve"> министерот за земјоделство</w:t>
      </w:r>
      <w:r w:rsidR="0038361F">
        <w:rPr>
          <w:rFonts w:ascii="Arial" w:eastAsia="Times New Roman" w:hAnsi="Arial" w:cs="Arial"/>
          <w:lang w:val="mk-MK" w:eastAsia="mk-MK"/>
        </w:rPr>
        <w:t>,</w:t>
      </w:r>
      <w:r w:rsidRPr="0038361F">
        <w:rPr>
          <w:rFonts w:ascii="Arial" w:eastAsia="Times New Roman" w:hAnsi="Arial" w:cs="Arial"/>
          <w:lang w:val="mk-MK" w:eastAsia="mk-MK"/>
        </w:rPr>
        <w:t xml:space="preserve"> шумарство и водостопанство усвои две одлуки за овластување за вршење на функцијата раководител на Одделението за ИПАРД мониторинг и известување и раководител на Одделение за ТП.</w:t>
      </w:r>
    </w:p>
    <w:p w:rsidR="002E044F" w:rsidRPr="002B2470" w:rsidRDefault="002E044F" w:rsidP="002E044F">
      <w:pPr>
        <w:spacing w:before="120" w:after="0" w:line="240" w:lineRule="auto"/>
        <w:jc w:val="both"/>
        <w:rPr>
          <w:rFonts w:ascii="Arial" w:eastAsia="Times New Roman" w:hAnsi="Arial" w:cs="Arial"/>
          <w:b/>
          <w:lang w:val="mk-MK" w:eastAsia="mk-MK"/>
        </w:rPr>
      </w:pPr>
      <w:r w:rsidRPr="002B2470">
        <w:rPr>
          <w:rFonts w:ascii="Arial" w:eastAsia="Times New Roman" w:hAnsi="Arial" w:cs="Arial"/>
          <w:b/>
          <w:lang w:val="mk-MK" w:eastAsia="mk-MK"/>
        </w:rPr>
        <w:t>Капацитети на ИПАРД структурите</w:t>
      </w:r>
    </w:p>
    <w:p w:rsidR="00CC620D" w:rsidRPr="0038361F" w:rsidRDefault="00CC620D" w:rsidP="00CC620D">
      <w:pPr>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 </w:t>
      </w:r>
    </w:p>
    <w:p w:rsidR="00CC620D" w:rsidRPr="0038361F" w:rsidRDefault="00CC620D" w:rsidP="000E151E">
      <w:pPr>
        <w:spacing w:after="12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Во табелата подолу се дадени податоци во однос на човечките капацитети во </w:t>
      </w:r>
      <w:r w:rsidR="0038361F">
        <w:rPr>
          <w:rFonts w:ascii="Arial" w:eastAsia="Times New Roman" w:hAnsi="Arial" w:cs="Arial"/>
          <w:lang w:val="mk-MK" w:eastAsia="mk-MK"/>
        </w:rPr>
        <w:t>а</w:t>
      </w:r>
      <w:r w:rsidRPr="0038361F">
        <w:rPr>
          <w:rFonts w:ascii="Arial" w:eastAsia="Times New Roman" w:hAnsi="Arial" w:cs="Arial"/>
          <w:lang w:val="mk-MK" w:eastAsia="mk-MK"/>
        </w:rPr>
        <w:t>прил 2019 година:</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080"/>
        <w:gridCol w:w="990"/>
        <w:gridCol w:w="1170"/>
        <w:gridCol w:w="1080"/>
        <w:gridCol w:w="1260"/>
        <w:gridCol w:w="1440"/>
        <w:gridCol w:w="1260"/>
      </w:tblGrid>
      <w:tr w:rsidR="00673F41" w:rsidRPr="002B2470" w:rsidTr="00673F41">
        <w:trPr>
          <w:trHeight w:val="1738"/>
        </w:trPr>
        <w:tc>
          <w:tcPr>
            <w:tcW w:w="1080" w:type="dxa"/>
            <w:shd w:val="clear" w:color="auto" w:fill="auto"/>
            <w:vAlign w:val="center"/>
          </w:tcPr>
          <w:p w:rsidR="00673F41" w:rsidRPr="0038361F" w:rsidRDefault="00673F41" w:rsidP="00673F41">
            <w:pPr>
              <w:overflowPunct w:val="0"/>
              <w:autoSpaceDE w:val="0"/>
              <w:spacing w:after="0" w:line="240" w:lineRule="auto"/>
              <w:ind w:left="-142" w:right="-75"/>
              <w:jc w:val="center"/>
              <w:textAlignment w:val="baseline"/>
              <w:rPr>
                <w:rFonts w:ascii="Arial" w:eastAsia="Calibri" w:hAnsi="Arial" w:cs="Arial"/>
                <w:b/>
                <w:bCs/>
                <w:color w:val="000000"/>
                <w:sz w:val="20"/>
                <w:highlight w:val="red"/>
                <w:lang w:val="mk-MK" w:eastAsia="mk-MK"/>
              </w:rPr>
            </w:pPr>
            <w:r w:rsidRPr="0038361F">
              <w:rPr>
                <w:rFonts w:ascii="Arial" w:eastAsia="Calibri" w:hAnsi="Arial" w:cs="Arial"/>
                <w:b/>
                <w:bCs/>
                <w:color w:val="000000"/>
                <w:sz w:val="20"/>
                <w:lang w:val="mk-MK" w:eastAsia="mk-MK"/>
              </w:rPr>
              <w:t>Институција</w:t>
            </w:r>
          </w:p>
        </w:tc>
        <w:tc>
          <w:tcPr>
            <w:tcW w:w="1170" w:type="dxa"/>
            <w:shd w:val="clear" w:color="auto" w:fill="auto"/>
            <w:vAlign w:val="center"/>
          </w:tcPr>
          <w:p w:rsidR="00673F41" w:rsidRPr="002B2470" w:rsidRDefault="00673F41" w:rsidP="00673F41">
            <w:pPr>
              <w:overflowPunct w:val="0"/>
              <w:autoSpaceDE w:val="0"/>
              <w:spacing w:after="0" w:line="240" w:lineRule="auto"/>
              <w:ind w:left="-141" w:right="-97"/>
              <w:jc w:val="center"/>
              <w:textAlignment w:val="baseline"/>
              <w:rPr>
                <w:rFonts w:ascii="Arial" w:eastAsia="Calibri" w:hAnsi="Arial" w:cs="Arial"/>
                <w:b/>
                <w:bCs/>
                <w:color w:val="000000"/>
                <w:sz w:val="20"/>
                <w:lang w:val="mk-MK" w:eastAsia="mk-MK"/>
              </w:rPr>
            </w:pPr>
            <w:r w:rsidRPr="0038361F">
              <w:rPr>
                <w:rFonts w:ascii="Arial" w:eastAsia="Calibri" w:hAnsi="Arial" w:cs="Arial"/>
                <w:b/>
                <w:bCs/>
                <w:color w:val="000000"/>
                <w:sz w:val="20"/>
                <w:lang w:val="mk-MK" w:eastAsia="mk-MK"/>
              </w:rPr>
              <w:t>Број на вработени на 31.12.201</w:t>
            </w:r>
            <w:r w:rsidRPr="002B2470">
              <w:rPr>
                <w:rFonts w:ascii="Arial" w:eastAsia="Calibri" w:hAnsi="Arial" w:cs="Arial"/>
                <w:b/>
                <w:bCs/>
                <w:color w:val="000000"/>
                <w:sz w:val="20"/>
                <w:lang w:val="mk-MK" w:eastAsia="mk-MK"/>
              </w:rPr>
              <w:t>7</w:t>
            </w:r>
          </w:p>
        </w:tc>
        <w:tc>
          <w:tcPr>
            <w:tcW w:w="1080" w:type="dxa"/>
            <w:shd w:val="clear" w:color="auto" w:fill="auto"/>
            <w:vAlign w:val="center"/>
          </w:tcPr>
          <w:p w:rsidR="00673F41" w:rsidRPr="002B2470" w:rsidRDefault="00673F41" w:rsidP="00673F41">
            <w:pPr>
              <w:overflowPunct w:val="0"/>
              <w:autoSpaceDE w:val="0"/>
              <w:spacing w:after="0" w:line="240" w:lineRule="auto"/>
              <w:ind w:left="-119" w:right="-121"/>
              <w:jc w:val="center"/>
              <w:textAlignment w:val="baseline"/>
              <w:rPr>
                <w:rFonts w:ascii="Arial" w:eastAsia="Calibri" w:hAnsi="Arial" w:cs="Arial"/>
                <w:b/>
                <w:bCs/>
                <w:color w:val="000000"/>
                <w:sz w:val="20"/>
                <w:lang w:val="mk-MK" w:eastAsia="mk-MK"/>
              </w:rPr>
            </w:pPr>
            <w:r w:rsidRPr="0038361F">
              <w:rPr>
                <w:rFonts w:ascii="Arial" w:eastAsia="Calibri" w:hAnsi="Arial" w:cs="Arial"/>
                <w:b/>
                <w:bCs/>
                <w:color w:val="000000"/>
                <w:sz w:val="20"/>
                <w:lang w:val="mk-MK" w:eastAsia="mk-MK"/>
              </w:rPr>
              <w:t>Потребен број на вработени согласно АОР 201</w:t>
            </w:r>
            <w:r w:rsidRPr="002B2470">
              <w:rPr>
                <w:rFonts w:ascii="Arial" w:eastAsia="Calibri" w:hAnsi="Arial" w:cs="Arial"/>
                <w:b/>
                <w:bCs/>
                <w:color w:val="000000"/>
                <w:sz w:val="20"/>
                <w:lang w:val="mk-MK" w:eastAsia="mk-MK"/>
              </w:rPr>
              <w:t>8</w:t>
            </w:r>
          </w:p>
        </w:tc>
        <w:tc>
          <w:tcPr>
            <w:tcW w:w="990" w:type="dxa"/>
            <w:shd w:val="clear" w:color="auto" w:fill="auto"/>
            <w:vAlign w:val="center"/>
          </w:tcPr>
          <w:p w:rsidR="00673F41" w:rsidRPr="002B2470" w:rsidRDefault="00673F41" w:rsidP="00673F41">
            <w:pPr>
              <w:overflowPunct w:val="0"/>
              <w:autoSpaceDE w:val="0"/>
              <w:spacing w:after="0" w:line="240" w:lineRule="auto"/>
              <w:ind w:left="-95"/>
              <w:jc w:val="center"/>
              <w:textAlignment w:val="baseline"/>
              <w:rPr>
                <w:rFonts w:ascii="Arial" w:eastAsia="Calibri" w:hAnsi="Arial" w:cs="Arial"/>
                <w:b/>
                <w:bCs/>
                <w:color w:val="000000"/>
                <w:sz w:val="20"/>
                <w:lang w:val="mk-MK" w:eastAsia="mk-MK"/>
              </w:rPr>
            </w:pPr>
            <w:r w:rsidRPr="0038361F">
              <w:rPr>
                <w:rFonts w:ascii="Arial" w:eastAsia="Calibri" w:hAnsi="Arial" w:cs="Arial"/>
                <w:b/>
                <w:bCs/>
                <w:color w:val="000000"/>
                <w:sz w:val="20"/>
                <w:lang w:val="mk-MK" w:eastAsia="mk-MK"/>
              </w:rPr>
              <w:t xml:space="preserve">Реализирани нови вработувања </w:t>
            </w:r>
            <w:r w:rsidRPr="0038361F">
              <w:rPr>
                <w:rFonts w:ascii="Arial" w:eastAsia="Times New Roman" w:hAnsi="Arial" w:cs="Arial"/>
                <w:b/>
                <w:bCs/>
                <w:color w:val="000000"/>
                <w:sz w:val="20"/>
                <w:lang w:val="mk-MK" w:eastAsia="mk-MK"/>
              </w:rPr>
              <w:t>201</w:t>
            </w:r>
            <w:r w:rsidRPr="002B2470">
              <w:rPr>
                <w:rFonts w:ascii="Arial" w:eastAsia="Calibri" w:hAnsi="Arial" w:cs="Arial"/>
                <w:b/>
                <w:bCs/>
                <w:color w:val="000000"/>
                <w:sz w:val="20"/>
                <w:lang w:val="mk-MK" w:eastAsia="mk-MK"/>
              </w:rPr>
              <w:t>8</w:t>
            </w:r>
          </w:p>
        </w:tc>
        <w:tc>
          <w:tcPr>
            <w:tcW w:w="1170" w:type="dxa"/>
            <w:shd w:val="clear" w:color="auto" w:fill="auto"/>
            <w:vAlign w:val="center"/>
          </w:tcPr>
          <w:p w:rsidR="00673F41" w:rsidRPr="0038361F" w:rsidRDefault="00673F41" w:rsidP="00673F41">
            <w:pPr>
              <w:overflowPunct w:val="0"/>
              <w:autoSpaceDE w:val="0"/>
              <w:spacing w:after="0" w:line="240" w:lineRule="auto"/>
              <w:ind w:left="-91"/>
              <w:jc w:val="center"/>
              <w:textAlignment w:val="baseline"/>
              <w:rPr>
                <w:rFonts w:ascii="Arial" w:eastAsia="Calibri" w:hAnsi="Arial" w:cs="Arial"/>
                <w:b/>
                <w:bCs/>
                <w:color w:val="000000"/>
                <w:sz w:val="20"/>
                <w:lang w:val="mk-MK" w:eastAsia="mk-MK"/>
              </w:rPr>
            </w:pPr>
            <w:r w:rsidRPr="002B2470">
              <w:rPr>
                <w:rFonts w:ascii="Arial" w:eastAsia="Calibri" w:hAnsi="Arial" w:cs="Arial"/>
                <w:b/>
                <w:bCs/>
                <w:color w:val="000000"/>
                <w:sz w:val="20"/>
                <w:lang w:val="mk-MK" w:eastAsia="mk-MK"/>
              </w:rPr>
              <w:t xml:space="preserve">Унапредувања </w:t>
            </w:r>
            <w:r w:rsidRPr="0038361F">
              <w:rPr>
                <w:rFonts w:ascii="Arial" w:eastAsia="Times New Roman" w:hAnsi="Arial" w:cs="Arial"/>
                <w:b/>
                <w:bCs/>
                <w:color w:val="000000"/>
                <w:sz w:val="20"/>
                <w:lang w:val="mk-MK" w:eastAsia="mk-MK"/>
              </w:rPr>
              <w:t>201</w:t>
            </w:r>
            <w:r w:rsidRPr="002B2470">
              <w:rPr>
                <w:rFonts w:ascii="Arial" w:eastAsia="Times New Roman" w:hAnsi="Arial" w:cs="Arial"/>
                <w:b/>
                <w:bCs/>
                <w:color w:val="000000"/>
                <w:sz w:val="20"/>
                <w:lang w:val="mk-MK" w:eastAsia="mk-MK"/>
              </w:rPr>
              <w:t>8</w:t>
            </w:r>
          </w:p>
        </w:tc>
        <w:tc>
          <w:tcPr>
            <w:tcW w:w="1080" w:type="dxa"/>
            <w:shd w:val="clear" w:color="auto" w:fill="auto"/>
            <w:vAlign w:val="center"/>
          </w:tcPr>
          <w:p w:rsidR="00673F41" w:rsidRPr="002B2470" w:rsidRDefault="00673F41" w:rsidP="00673F41">
            <w:pPr>
              <w:overflowPunct w:val="0"/>
              <w:autoSpaceDE w:val="0"/>
              <w:spacing w:after="0" w:line="240" w:lineRule="auto"/>
              <w:ind w:left="-69" w:right="-38"/>
              <w:jc w:val="center"/>
              <w:textAlignment w:val="baseline"/>
              <w:rPr>
                <w:rFonts w:ascii="Arial" w:eastAsia="Calibri" w:hAnsi="Arial" w:cs="Arial"/>
                <w:b/>
                <w:bCs/>
                <w:color w:val="000000"/>
                <w:sz w:val="20"/>
                <w:lang w:val="mk-MK" w:eastAsia="mk-MK"/>
              </w:rPr>
            </w:pPr>
            <w:r w:rsidRPr="002B2470">
              <w:rPr>
                <w:rFonts w:ascii="Arial" w:eastAsia="Calibri" w:hAnsi="Arial" w:cs="Arial"/>
                <w:b/>
                <w:bCs/>
                <w:color w:val="000000"/>
                <w:sz w:val="20"/>
                <w:lang w:val="mk-MK" w:eastAsia="mk-MK"/>
              </w:rPr>
              <w:t>Напуштиле 2018</w:t>
            </w:r>
          </w:p>
        </w:tc>
        <w:tc>
          <w:tcPr>
            <w:tcW w:w="1260" w:type="dxa"/>
            <w:shd w:val="clear" w:color="auto" w:fill="auto"/>
            <w:vAlign w:val="center"/>
          </w:tcPr>
          <w:p w:rsidR="00673F41" w:rsidRPr="0038361F" w:rsidRDefault="00673F41" w:rsidP="00673F41">
            <w:pPr>
              <w:overflowPunct w:val="0"/>
              <w:autoSpaceDE w:val="0"/>
              <w:spacing w:after="0" w:line="240" w:lineRule="auto"/>
              <w:ind w:left="-37" w:right="-68"/>
              <w:jc w:val="center"/>
              <w:textAlignment w:val="baseline"/>
              <w:rPr>
                <w:rFonts w:ascii="Arial" w:eastAsia="Calibri" w:hAnsi="Arial" w:cs="Arial"/>
                <w:b/>
                <w:bCs/>
                <w:color w:val="000000"/>
                <w:sz w:val="20"/>
                <w:lang w:val="mk-MK" w:eastAsia="mk-MK"/>
              </w:rPr>
            </w:pPr>
            <w:r w:rsidRPr="0038361F">
              <w:rPr>
                <w:rFonts w:ascii="Arial" w:eastAsia="Calibri" w:hAnsi="Arial" w:cs="Arial"/>
                <w:b/>
                <w:bCs/>
                <w:color w:val="000000"/>
                <w:sz w:val="20"/>
                <w:lang w:val="mk-MK" w:eastAsia="mk-MK"/>
              </w:rPr>
              <w:t>Број на вработени на 31.12.201</w:t>
            </w:r>
            <w:r w:rsidRPr="002B2470">
              <w:rPr>
                <w:rFonts w:ascii="Arial" w:eastAsia="Calibri" w:hAnsi="Arial" w:cs="Arial"/>
                <w:b/>
                <w:bCs/>
                <w:color w:val="000000"/>
                <w:sz w:val="20"/>
                <w:lang w:val="mk-MK" w:eastAsia="mk-MK"/>
              </w:rPr>
              <w:t>8</w:t>
            </w:r>
          </w:p>
        </w:tc>
        <w:tc>
          <w:tcPr>
            <w:tcW w:w="1440" w:type="dxa"/>
            <w:shd w:val="clear" w:color="auto" w:fill="auto"/>
            <w:vAlign w:val="center"/>
          </w:tcPr>
          <w:p w:rsidR="00673F41" w:rsidRPr="0038361F" w:rsidRDefault="00673F41" w:rsidP="00673F41">
            <w:pPr>
              <w:overflowPunct w:val="0"/>
              <w:autoSpaceDE w:val="0"/>
              <w:spacing w:after="0" w:line="240" w:lineRule="auto"/>
              <w:ind w:left="-6" w:right="-95"/>
              <w:jc w:val="center"/>
              <w:textAlignment w:val="baseline"/>
              <w:rPr>
                <w:rFonts w:ascii="Arial" w:eastAsia="Calibri" w:hAnsi="Arial" w:cs="Arial"/>
                <w:color w:val="000000"/>
                <w:sz w:val="20"/>
                <w:szCs w:val="20"/>
                <w:lang w:val="mk-MK" w:eastAsia="mk-MK"/>
              </w:rPr>
            </w:pPr>
            <w:r w:rsidRPr="002B2470">
              <w:rPr>
                <w:rFonts w:ascii="Arial" w:eastAsia="Times New Roman" w:hAnsi="Arial" w:cs="Arial"/>
                <w:b/>
                <w:bCs/>
                <w:color w:val="000000"/>
                <w:sz w:val="20"/>
                <w:szCs w:val="20"/>
                <w:lang w:val="mk-MK" w:eastAsia="mk-MK"/>
              </w:rPr>
              <w:t>Стапка на исполнетост на работни места</w:t>
            </w:r>
          </w:p>
        </w:tc>
        <w:tc>
          <w:tcPr>
            <w:tcW w:w="1260" w:type="dxa"/>
            <w:vAlign w:val="center"/>
          </w:tcPr>
          <w:p w:rsidR="00673F41" w:rsidRPr="0038361F" w:rsidRDefault="00673F41" w:rsidP="00673F41">
            <w:pPr>
              <w:overflowPunct w:val="0"/>
              <w:autoSpaceDE w:val="0"/>
              <w:spacing w:after="0" w:line="240" w:lineRule="auto"/>
              <w:ind w:left="-6" w:right="-95"/>
              <w:jc w:val="center"/>
              <w:textAlignment w:val="baseline"/>
              <w:rPr>
                <w:rFonts w:ascii="Arial" w:eastAsia="Calibri" w:hAnsi="Arial" w:cs="Arial"/>
                <w:color w:val="000000"/>
                <w:sz w:val="20"/>
                <w:szCs w:val="20"/>
                <w:lang w:val="mk-MK" w:eastAsia="mk-MK"/>
              </w:rPr>
            </w:pPr>
            <w:r w:rsidRPr="002B2470">
              <w:rPr>
                <w:rFonts w:ascii="Arial" w:eastAsia="Times New Roman" w:hAnsi="Arial" w:cs="Arial"/>
                <w:b/>
                <w:bCs/>
                <w:color w:val="000000"/>
                <w:sz w:val="20"/>
                <w:szCs w:val="20"/>
                <w:lang w:val="mk-MK" w:eastAsia="mk-MK"/>
              </w:rPr>
              <w:t>Стапка на обрт на вработени</w:t>
            </w:r>
          </w:p>
        </w:tc>
      </w:tr>
      <w:tr w:rsidR="00673F41" w:rsidRPr="002B2470" w:rsidTr="00673F41">
        <w:trPr>
          <w:trHeight w:val="578"/>
        </w:trPr>
        <w:tc>
          <w:tcPr>
            <w:tcW w:w="1080" w:type="dxa"/>
            <w:shd w:val="clear" w:color="auto" w:fill="auto"/>
            <w:vAlign w:val="center"/>
          </w:tcPr>
          <w:p w:rsidR="00673F41" w:rsidRPr="0038361F" w:rsidRDefault="00673F41" w:rsidP="00673F41">
            <w:pPr>
              <w:overflowPunct w:val="0"/>
              <w:autoSpaceDE w:val="0"/>
              <w:spacing w:after="0" w:line="240" w:lineRule="auto"/>
              <w:jc w:val="center"/>
              <w:textAlignment w:val="baseline"/>
              <w:rPr>
                <w:rFonts w:ascii="Arial" w:eastAsia="Calibri" w:hAnsi="Arial" w:cs="Arial"/>
                <w:color w:val="000000"/>
                <w:sz w:val="20"/>
                <w:lang w:val="mk-MK" w:eastAsia="mk-MK"/>
              </w:rPr>
            </w:pPr>
            <w:r w:rsidRPr="0038361F">
              <w:rPr>
                <w:rFonts w:ascii="Arial" w:eastAsia="Calibri" w:hAnsi="Arial" w:cs="Arial"/>
                <w:color w:val="000000"/>
                <w:sz w:val="20"/>
                <w:lang w:val="mk-MK" w:eastAsia="mk-MK"/>
              </w:rPr>
              <w:t>НАО/НФ</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17</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21</w:t>
            </w:r>
          </w:p>
        </w:tc>
        <w:tc>
          <w:tcPr>
            <w:tcW w:w="99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4</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w:t>
            </w:r>
          </w:p>
        </w:tc>
        <w:tc>
          <w:tcPr>
            <w:tcW w:w="126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17</w:t>
            </w:r>
          </w:p>
        </w:tc>
        <w:tc>
          <w:tcPr>
            <w:tcW w:w="144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81%</w:t>
            </w:r>
          </w:p>
        </w:tc>
        <w:tc>
          <w:tcPr>
            <w:tcW w:w="1260" w:type="dxa"/>
            <w:vAlign w:val="center"/>
          </w:tcPr>
          <w:p w:rsidR="00673F41" w:rsidRPr="0038361F" w:rsidRDefault="00673F41" w:rsidP="0038361F">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5</w:t>
            </w:r>
            <w:r w:rsidR="0038361F">
              <w:rPr>
                <w:rFonts w:ascii="Arial" w:eastAsia="Times New Roman" w:hAnsi="Arial" w:cs="Arial"/>
                <w:color w:val="000000"/>
                <w:szCs w:val="18"/>
                <w:lang w:val="mk-MK" w:eastAsia="mk-MK"/>
              </w:rPr>
              <w:t>,</w:t>
            </w:r>
            <w:r w:rsidRPr="0038361F">
              <w:rPr>
                <w:rFonts w:ascii="Arial" w:eastAsia="Times New Roman" w:hAnsi="Arial" w:cs="Arial"/>
                <w:color w:val="000000"/>
                <w:szCs w:val="18"/>
                <w:lang w:val="mk-MK" w:eastAsia="mk-MK"/>
              </w:rPr>
              <w:t>9%</w:t>
            </w:r>
          </w:p>
        </w:tc>
      </w:tr>
      <w:tr w:rsidR="00673F41" w:rsidRPr="002B2470" w:rsidTr="00673F41">
        <w:trPr>
          <w:trHeight w:val="620"/>
        </w:trPr>
        <w:tc>
          <w:tcPr>
            <w:tcW w:w="1080" w:type="dxa"/>
            <w:shd w:val="clear" w:color="auto" w:fill="auto"/>
            <w:vAlign w:val="center"/>
          </w:tcPr>
          <w:p w:rsidR="00673F41" w:rsidRPr="0038361F" w:rsidRDefault="00673F41" w:rsidP="00673F41">
            <w:pPr>
              <w:overflowPunct w:val="0"/>
              <w:autoSpaceDE w:val="0"/>
              <w:spacing w:after="0" w:line="240" w:lineRule="auto"/>
              <w:jc w:val="center"/>
              <w:textAlignment w:val="baseline"/>
              <w:rPr>
                <w:rFonts w:ascii="Arial" w:eastAsia="Calibri" w:hAnsi="Arial" w:cs="Arial"/>
                <w:color w:val="000000"/>
                <w:sz w:val="20"/>
                <w:lang w:val="mk-MK" w:eastAsia="mk-MK"/>
              </w:rPr>
            </w:pPr>
            <w:r w:rsidRPr="0038361F">
              <w:rPr>
                <w:rFonts w:ascii="Arial" w:eastAsia="Calibri" w:hAnsi="Arial" w:cs="Arial"/>
                <w:color w:val="000000"/>
                <w:sz w:val="20"/>
                <w:lang w:val="mk-MK" w:eastAsia="mk-MK"/>
              </w:rPr>
              <w:t>ИПАРД Агенција</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87</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170</w:t>
            </w:r>
          </w:p>
        </w:tc>
        <w:tc>
          <w:tcPr>
            <w:tcW w:w="99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23</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15</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w:t>
            </w:r>
          </w:p>
        </w:tc>
        <w:tc>
          <w:tcPr>
            <w:tcW w:w="126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109</w:t>
            </w:r>
          </w:p>
        </w:tc>
        <w:tc>
          <w:tcPr>
            <w:tcW w:w="144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64%</w:t>
            </w:r>
          </w:p>
        </w:tc>
        <w:tc>
          <w:tcPr>
            <w:tcW w:w="1260" w:type="dxa"/>
            <w:vAlign w:val="center"/>
          </w:tcPr>
          <w:p w:rsidR="00673F41" w:rsidRPr="0038361F" w:rsidRDefault="00673F41" w:rsidP="0038361F">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w:t>
            </w:r>
            <w:r w:rsidR="0038361F">
              <w:rPr>
                <w:rFonts w:ascii="Arial" w:eastAsia="Times New Roman" w:hAnsi="Arial" w:cs="Arial"/>
                <w:color w:val="000000"/>
                <w:szCs w:val="18"/>
                <w:lang w:val="mk-MK" w:eastAsia="mk-MK"/>
              </w:rPr>
              <w:t>,</w:t>
            </w:r>
            <w:r w:rsidRPr="0038361F">
              <w:rPr>
                <w:rFonts w:ascii="Arial" w:eastAsia="Times New Roman" w:hAnsi="Arial" w:cs="Arial"/>
                <w:color w:val="000000"/>
                <w:szCs w:val="18"/>
                <w:lang w:val="mk-MK" w:eastAsia="mk-MK"/>
              </w:rPr>
              <w:t>2%</w:t>
            </w:r>
          </w:p>
        </w:tc>
      </w:tr>
      <w:tr w:rsidR="00673F41" w:rsidRPr="002B2470" w:rsidTr="00673F41">
        <w:trPr>
          <w:trHeight w:val="597"/>
        </w:trPr>
        <w:tc>
          <w:tcPr>
            <w:tcW w:w="1080" w:type="dxa"/>
            <w:shd w:val="clear" w:color="auto" w:fill="auto"/>
            <w:vAlign w:val="center"/>
          </w:tcPr>
          <w:p w:rsidR="00673F41" w:rsidRPr="0038361F" w:rsidRDefault="00673F41" w:rsidP="00673F41">
            <w:pPr>
              <w:overflowPunct w:val="0"/>
              <w:autoSpaceDE w:val="0"/>
              <w:spacing w:after="0" w:line="240" w:lineRule="auto"/>
              <w:jc w:val="center"/>
              <w:textAlignment w:val="baseline"/>
              <w:rPr>
                <w:rFonts w:ascii="Arial" w:eastAsia="Calibri" w:hAnsi="Arial" w:cs="Arial"/>
                <w:color w:val="000000"/>
                <w:sz w:val="20"/>
                <w:lang w:val="mk-MK" w:eastAsia="mk-MK"/>
              </w:rPr>
            </w:pPr>
            <w:r w:rsidRPr="0038361F">
              <w:rPr>
                <w:rFonts w:ascii="Arial" w:eastAsia="Calibri" w:hAnsi="Arial" w:cs="Arial"/>
                <w:color w:val="000000"/>
                <w:sz w:val="20"/>
                <w:lang w:val="mk-MK" w:eastAsia="mk-MK"/>
              </w:rPr>
              <w:t>Тело за управување со ИПАРД</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13</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19</w:t>
            </w:r>
          </w:p>
        </w:tc>
        <w:tc>
          <w:tcPr>
            <w:tcW w:w="99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8</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4</w:t>
            </w:r>
          </w:p>
        </w:tc>
        <w:tc>
          <w:tcPr>
            <w:tcW w:w="126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17</w:t>
            </w:r>
          </w:p>
        </w:tc>
        <w:tc>
          <w:tcPr>
            <w:tcW w:w="144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90%</w:t>
            </w:r>
          </w:p>
        </w:tc>
        <w:tc>
          <w:tcPr>
            <w:tcW w:w="1260" w:type="dxa"/>
            <w:vAlign w:val="center"/>
          </w:tcPr>
          <w:p w:rsidR="00673F41" w:rsidRPr="0038361F" w:rsidRDefault="00673F41" w:rsidP="0038361F">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30</w:t>
            </w:r>
            <w:r w:rsidR="0038361F">
              <w:rPr>
                <w:rFonts w:ascii="Arial" w:eastAsia="Times New Roman" w:hAnsi="Arial" w:cs="Arial"/>
                <w:color w:val="000000"/>
                <w:szCs w:val="18"/>
                <w:lang w:val="mk-MK" w:eastAsia="mk-MK"/>
              </w:rPr>
              <w:t>,</w:t>
            </w:r>
            <w:r w:rsidRPr="0038361F">
              <w:rPr>
                <w:rFonts w:ascii="Arial" w:eastAsia="Times New Roman" w:hAnsi="Arial" w:cs="Arial"/>
                <w:color w:val="000000"/>
                <w:szCs w:val="18"/>
                <w:lang w:val="mk-MK" w:eastAsia="mk-MK"/>
              </w:rPr>
              <w:t>8%</w:t>
            </w:r>
          </w:p>
        </w:tc>
      </w:tr>
      <w:tr w:rsidR="00673F41" w:rsidRPr="002B2470" w:rsidTr="00673F41">
        <w:trPr>
          <w:trHeight w:val="605"/>
        </w:trPr>
        <w:tc>
          <w:tcPr>
            <w:tcW w:w="1080" w:type="dxa"/>
            <w:shd w:val="clear" w:color="auto" w:fill="auto"/>
            <w:vAlign w:val="center"/>
          </w:tcPr>
          <w:p w:rsidR="00673F41" w:rsidRPr="0038361F" w:rsidRDefault="00673F41" w:rsidP="00673F41">
            <w:pPr>
              <w:overflowPunct w:val="0"/>
              <w:autoSpaceDE w:val="0"/>
              <w:spacing w:after="0" w:line="240" w:lineRule="auto"/>
              <w:jc w:val="center"/>
              <w:textAlignment w:val="baseline"/>
              <w:rPr>
                <w:rFonts w:ascii="Arial" w:eastAsia="Calibri" w:hAnsi="Arial" w:cs="Arial"/>
                <w:color w:val="000000"/>
                <w:sz w:val="20"/>
                <w:lang w:val="mk-MK" w:eastAsia="mk-MK"/>
              </w:rPr>
            </w:pPr>
            <w:r w:rsidRPr="0038361F">
              <w:rPr>
                <w:rFonts w:ascii="Arial" w:eastAsia="Calibri" w:hAnsi="Arial" w:cs="Arial"/>
                <w:color w:val="000000"/>
                <w:sz w:val="20"/>
                <w:lang w:val="mk-MK" w:eastAsia="mk-MK"/>
              </w:rPr>
              <w:t>Вкупно</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117</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210</w:t>
            </w:r>
          </w:p>
        </w:tc>
        <w:tc>
          <w:tcPr>
            <w:tcW w:w="99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32</w:t>
            </w:r>
          </w:p>
        </w:tc>
        <w:tc>
          <w:tcPr>
            <w:tcW w:w="117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19</w:t>
            </w:r>
          </w:p>
        </w:tc>
        <w:tc>
          <w:tcPr>
            <w:tcW w:w="108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6</w:t>
            </w:r>
          </w:p>
        </w:tc>
        <w:tc>
          <w:tcPr>
            <w:tcW w:w="126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143</w:t>
            </w:r>
          </w:p>
        </w:tc>
        <w:tc>
          <w:tcPr>
            <w:tcW w:w="1440" w:type="dxa"/>
            <w:shd w:val="clear" w:color="auto" w:fill="auto"/>
            <w:vAlign w:val="center"/>
          </w:tcPr>
          <w:p w:rsidR="00673F41" w:rsidRPr="0038361F" w:rsidRDefault="00673F41" w:rsidP="00673F41">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68%</w:t>
            </w:r>
          </w:p>
        </w:tc>
        <w:tc>
          <w:tcPr>
            <w:tcW w:w="1260" w:type="dxa"/>
            <w:vAlign w:val="center"/>
          </w:tcPr>
          <w:p w:rsidR="00673F41" w:rsidRPr="0038361F" w:rsidRDefault="00673F41" w:rsidP="0038361F">
            <w:pPr>
              <w:spacing w:before="100" w:beforeAutospacing="1" w:after="0" w:line="240" w:lineRule="auto"/>
              <w:jc w:val="center"/>
              <w:rPr>
                <w:rFonts w:ascii="Arial" w:eastAsia="Times New Roman" w:hAnsi="Arial" w:cs="Arial"/>
                <w:szCs w:val="24"/>
                <w:lang w:val="mk-MK" w:eastAsia="mk-MK"/>
              </w:rPr>
            </w:pPr>
            <w:r w:rsidRPr="0038361F">
              <w:rPr>
                <w:rFonts w:ascii="Arial" w:eastAsia="Times New Roman" w:hAnsi="Arial" w:cs="Arial"/>
                <w:color w:val="000000"/>
                <w:szCs w:val="18"/>
                <w:lang w:val="mk-MK" w:eastAsia="mk-MK"/>
              </w:rPr>
              <w:t>5</w:t>
            </w:r>
            <w:r w:rsidR="0038361F">
              <w:rPr>
                <w:rFonts w:ascii="Arial" w:eastAsia="Times New Roman" w:hAnsi="Arial" w:cs="Arial"/>
                <w:color w:val="000000"/>
                <w:szCs w:val="18"/>
                <w:lang w:val="mk-MK" w:eastAsia="mk-MK"/>
              </w:rPr>
              <w:t>,</w:t>
            </w:r>
            <w:r w:rsidRPr="0038361F">
              <w:rPr>
                <w:rFonts w:ascii="Arial" w:eastAsia="Times New Roman" w:hAnsi="Arial" w:cs="Arial"/>
                <w:color w:val="000000"/>
                <w:szCs w:val="18"/>
                <w:lang w:val="mk-MK" w:eastAsia="mk-MK"/>
              </w:rPr>
              <w:t>1%</w:t>
            </w:r>
          </w:p>
        </w:tc>
      </w:tr>
    </w:tbl>
    <w:p w:rsidR="00CC620D" w:rsidRPr="0038361F" w:rsidRDefault="00CC620D" w:rsidP="00CC620D">
      <w:pPr>
        <w:autoSpaceDE w:val="0"/>
        <w:autoSpaceDN w:val="0"/>
        <w:adjustRightInd w:val="0"/>
        <w:spacing w:after="0" w:line="240" w:lineRule="auto"/>
        <w:jc w:val="both"/>
        <w:rPr>
          <w:rFonts w:ascii="Arial" w:eastAsia="Calibri" w:hAnsi="Arial" w:cs="Arial"/>
          <w:bCs/>
          <w:iCs/>
          <w:u w:val="single"/>
          <w:lang w:val="mk-MK"/>
        </w:rPr>
      </w:pPr>
    </w:p>
    <w:p w:rsidR="0019564C" w:rsidRPr="0038361F" w:rsidRDefault="0019564C" w:rsidP="00CC620D">
      <w:pPr>
        <w:autoSpaceDE w:val="0"/>
        <w:autoSpaceDN w:val="0"/>
        <w:adjustRightInd w:val="0"/>
        <w:spacing w:after="0" w:line="240" w:lineRule="auto"/>
        <w:jc w:val="both"/>
        <w:rPr>
          <w:rFonts w:ascii="Arial" w:eastAsia="Calibri" w:hAnsi="Arial" w:cs="Arial"/>
          <w:bCs/>
          <w:iCs/>
          <w:u w:val="single"/>
          <w:lang w:val="mk-MK"/>
        </w:rPr>
      </w:pPr>
    </w:p>
    <w:p w:rsidR="0019564C" w:rsidRPr="0038361F" w:rsidRDefault="0019564C" w:rsidP="00CC620D">
      <w:pPr>
        <w:autoSpaceDE w:val="0"/>
        <w:autoSpaceDN w:val="0"/>
        <w:adjustRightInd w:val="0"/>
        <w:spacing w:after="0" w:line="240" w:lineRule="auto"/>
        <w:jc w:val="both"/>
        <w:rPr>
          <w:rFonts w:ascii="Arial" w:eastAsia="Calibri" w:hAnsi="Arial" w:cs="Arial"/>
          <w:bCs/>
          <w:iCs/>
          <w:u w:val="single"/>
          <w:lang w:val="mk-MK"/>
        </w:rPr>
      </w:pPr>
    </w:p>
    <w:p w:rsidR="00CC620D" w:rsidRPr="0038361F" w:rsidRDefault="00CC620D" w:rsidP="000E151E">
      <w:pPr>
        <w:autoSpaceDE w:val="0"/>
        <w:autoSpaceDN w:val="0"/>
        <w:adjustRightInd w:val="0"/>
        <w:spacing w:before="120" w:after="120" w:line="240" w:lineRule="auto"/>
        <w:jc w:val="both"/>
        <w:rPr>
          <w:rFonts w:ascii="Arial" w:eastAsia="Calibri" w:hAnsi="Arial" w:cs="Arial"/>
          <w:b/>
          <w:bCs/>
          <w:i/>
          <w:iCs/>
          <w:u w:val="single"/>
          <w:lang w:val="mk-MK"/>
        </w:rPr>
      </w:pPr>
      <w:r w:rsidRPr="0038361F">
        <w:rPr>
          <w:rFonts w:ascii="Arial" w:eastAsia="Calibri" w:hAnsi="Arial" w:cs="Arial"/>
          <w:b/>
          <w:bCs/>
          <w:i/>
          <w:iCs/>
          <w:u w:val="single"/>
          <w:lang w:val="mk-MK"/>
        </w:rPr>
        <w:t>4.</w:t>
      </w:r>
      <w:r w:rsidRPr="0038361F">
        <w:rPr>
          <w:rFonts w:ascii="Arial" w:eastAsia="Calibri" w:hAnsi="Arial" w:cs="Arial"/>
          <w:b/>
          <w:bCs/>
          <w:i/>
          <w:iCs/>
          <w:u w:val="single"/>
          <w:lang w:val="mk-MK"/>
        </w:rPr>
        <w:tab/>
        <w:t>Акредитација на нови мерки во рамки на ИПАРД Програмата</w:t>
      </w:r>
    </w:p>
    <w:p w:rsidR="00833C1B" w:rsidRPr="0038361F" w:rsidRDefault="00833C1B"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 xml:space="preserve">Подготвителните активности за акредитација на мерката </w:t>
      </w:r>
      <w:r w:rsidR="0038361F">
        <w:rPr>
          <w:rFonts w:ascii="Arial" w:eastAsia="Calibri" w:hAnsi="Arial" w:cs="Arial"/>
          <w:bCs/>
          <w:iCs/>
          <w:lang w:val="mk-MK"/>
        </w:rPr>
        <w:t>„Р</w:t>
      </w:r>
      <w:r w:rsidRPr="0038361F">
        <w:rPr>
          <w:rFonts w:ascii="Arial" w:eastAsia="Calibri" w:hAnsi="Arial" w:cs="Arial"/>
          <w:bCs/>
          <w:iCs/>
          <w:lang w:val="mk-MK"/>
        </w:rPr>
        <w:t>урална инфраструктура</w:t>
      </w:r>
      <w:r w:rsidR="0038361F">
        <w:rPr>
          <w:rFonts w:ascii="Arial" w:eastAsia="Calibri" w:hAnsi="Arial" w:cs="Arial"/>
          <w:bCs/>
          <w:iCs/>
          <w:lang w:val="mk-MK"/>
        </w:rPr>
        <w:t>“</w:t>
      </w:r>
      <w:r w:rsidRPr="0038361F">
        <w:rPr>
          <w:rFonts w:ascii="Arial" w:eastAsia="Calibri" w:hAnsi="Arial" w:cs="Arial"/>
          <w:bCs/>
          <w:iCs/>
          <w:lang w:val="mk-MK"/>
        </w:rPr>
        <w:t xml:space="preserve"> се започнати во 2015/2016 година. По извештајот за оценка на усогласеноста (јануари 2018 година) и </w:t>
      </w:r>
      <w:r w:rsidRPr="002B2470">
        <w:rPr>
          <w:rFonts w:ascii="Arial" w:eastAsia="Calibri" w:hAnsi="Arial" w:cs="Arial"/>
          <w:bCs/>
          <w:iCs/>
          <w:lang w:val="mk-MK"/>
        </w:rPr>
        <w:t>согледувањата</w:t>
      </w:r>
      <w:r w:rsidRPr="0038361F">
        <w:rPr>
          <w:rFonts w:ascii="Arial" w:eastAsia="Calibri" w:hAnsi="Arial" w:cs="Arial"/>
          <w:bCs/>
          <w:iCs/>
          <w:lang w:val="mk-MK"/>
        </w:rPr>
        <w:t xml:space="preserve"> на ГД АГРИ за поднесените нацрт</w:t>
      </w:r>
      <w:r w:rsidRPr="002B2470">
        <w:rPr>
          <w:rFonts w:ascii="Arial" w:eastAsia="Calibri" w:hAnsi="Arial" w:cs="Arial"/>
          <w:bCs/>
          <w:iCs/>
          <w:lang w:val="mk-MK"/>
        </w:rPr>
        <w:t xml:space="preserve"> работни процедури </w:t>
      </w:r>
      <w:r w:rsidRPr="0038361F">
        <w:rPr>
          <w:rFonts w:ascii="Arial" w:eastAsia="Calibri" w:hAnsi="Arial" w:cs="Arial"/>
          <w:bCs/>
          <w:iCs/>
          <w:lang w:val="mk-MK"/>
        </w:rPr>
        <w:t xml:space="preserve">за имплементација на </w:t>
      </w:r>
      <w:r w:rsidRPr="002B2470">
        <w:rPr>
          <w:rFonts w:ascii="Arial" w:eastAsia="Calibri" w:hAnsi="Arial" w:cs="Arial"/>
          <w:bCs/>
          <w:iCs/>
          <w:lang w:val="mk-MK"/>
        </w:rPr>
        <w:t xml:space="preserve">мерката </w:t>
      </w:r>
      <w:r w:rsidR="0038361F">
        <w:rPr>
          <w:rFonts w:ascii="Arial" w:eastAsia="Calibri" w:hAnsi="Arial" w:cs="Arial"/>
          <w:bCs/>
          <w:iCs/>
          <w:lang w:val="mk-MK"/>
        </w:rPr>
        <w:t>„Р</w:t>
      </w:r>
      <w:r w:rsidR="0038361F" w:rsidRPr="0038361F">
        <w:rPr>
          <w:rFonts w:ascii="Arial" w:eastAsia="Calibri" w:hAnsi="Arial" w:cs="Arial"/>
          <w:bCs/>
          <w:iCs/>
          <w:lang w:val="mk-MK"/>
        </w:rPr>
        <w:t xml:space="preserve">урална </w:t>
      </w:r>
      <w:r w:rsidRPr="0038361F">
        <w:rPr>
          <w:rFonts w:ascii="Arial" w:eastAsia="Calibri" w:hAnsi="Arial" w:cs="Arial"/>
          <w:bCs/>
          <w:iCs/>
          <w:lang w:val="mk-MK"/>
        </w:rPr>
        <w:t>инфраструктура</w:t>
      </w:r>
      <w:r w:rsidR="0038361F">
        <w:rPr>
          <w:rFonts w:ascii="Arial" w:eastAsia="Calibri" w:hAnsi="Arial" w:cs="Arial"/>
          <w:bCs/>
          <w:iCs/>
          <w:lang w:val="mk-MK"/>
        </w:rPr>
        <w:t>“</w:t>
      </w:r>
      <w:r w:rsidRPr="0038361F">
        <w:rPr>
          <w:rFonts w:ascii="Arial" w:eastAsia="Calibri" w:hAnsi="Arial" w:cs="Arial"/>
          <w:bCs/>
          <w:iCs/>
          <w:lang w:val="mk-MK"/>
        </w:rPr>
        <w:t xml:space="preserve"> (јуни 2018 година), беа преземени активности за комплетирање на пакетот за акредитација, во кој беа опфатени забелешките од двата извештаи.</w:t>
      </w:r>
    </w:p>
    <w:p w:rsidR="00CC620D" w:rsidRPr="0038361F" w:rsidRDefault="00CC620D"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 xml:space="preserve">Барањето за пренесување на право за индиректно управување со мерката </w:t>
      </w:r>
      <w:r w:rsidR="0038361F">
        <w:rPr>
          <w:rFonts w:ascii="Arial" w:eastAsia="Calibri" w:hAnsi="Arial" w:cs="Arial"/>
          <w:bCs/>
          <w:iCs/>
          <w:lang w:val="mk-MK"/>
        </w:rPr>
        <w:t>„</w:t>
      </w:r>
      <w:r w:rsidRPr="0038361F">
        <w:rPr>
          <w:rFonts w:ascii="Arial" w:eastAsia="Calibri" w:hAnsi="Arial" w:cs="Arial"/>
          <w:bCs/>
          <w:iCs/>
          <w:lang w:val="mk-MK"/>
        </w:rPr>
        <w:t>Инвестиции во рурална јавна инфраструктура</w:t>
      </w:r>
      <w:r w:rsidR="0038361F">
        <w:rPr>
          <w:rFonts w:ascii="Arial" w:eastAsia="Calibri" w:hAnsi="Arial" w:cs="Arial"/>
          <w:bCs/>
          <w:iCs/>
          <w:lang w:val="mk-MK"/>
        </w:rPr>
        <w:t>“</w:t>
      </w:r>
      <w:r w:rsidRPr="0038361F">
        <w:rPr>
          <w:rFonts w:ascii="Arial" w:eastAsia="Calibri" w:hAnsi="Arial" w:cs="Arial"/>
          <w:bCs/>
          <w:iCs/>
          <w:lang w:val="mk-MK"/>
        </w:rPr>
        <w:t xml:space="preserve"> од ИПАРД II Програмата беше доставено од страна ан НАО до ЕК на 13 ноември 2018 година.</w:t>
      </w:r>
    </w:p>
    <w:p w:rsidR="00CC620D" w:rsidRPr="0038361F" w:rsidRDefault="00351465" w:rsidP="00CC620D">
      <w:pPr>
        <w:autoSpaceDE w:val="0"/>
        <w:autoSpaceDN w:val="0"/>
        <w:adjustRightInd w:val="0"/>
        <w:spacing w:after="0" w:line="240" w:lineRule="auto"/>
        <w:jc w:val="both"/>
        <w:rPr>
          <w:rFonts w:ascii="Arial" w:eastAsia="Calibri" w:hAnsi="Arial" w:cs="Arial"/>
          <w:bCs/>
          <w:iCs/>
          <w:lang w:val="mk-MK"/>
        </w:rPr>
      </w:pPr>
      <w:r w:rsidRPr="0038361F">
        <w:rPr>
          <w:rFonts w:ascii="Arial" w:hAnsi="Arial" w:cs="Arial"/>
          <w:bCs/>
          <w:iCs/>
          <w:lang w:val="mk-MK"/>
        </w:rPr>
        <w:t xml:space="preserve">Со </w:t>
      </w:r>
      <w:r w:rsidRPr="002B2470">
        <w:rPr>
          <w:rFonts w:ascii="Arial" w:hAnsi="Arial" w:cs="Arial"/>
          <w:bCs/>
          <w:iCs/>
          <w:lang w:val="mk-MK"/>
        </w:rPr>
        <w:t>д</w:t>
      </w:r>
      <w:r w:rsidR="00CC620D" w:rsidRPr="0038361F">
        <w:rPr>
          <w:rFonts w:ascii="Arial" w:eastAsia="Calibri" w:hAnsi="Arial" w:cs="Arial"/>
          <w:bCs/>
          <w:iCs/>
          <w:lang w:val="mk-MK"/>
        </w:rPr>
        <w:t>опис од</w:t>
      </w:r>
      <w:r w:rsidRPr="0038361F">
        <w:rPr>
          <w:rFonts w:ascii="Arial" w:hAnsi="Arial" w:cs="Arial"/>
          <w:bCs/>
          <w:iCs/>
          <w:lang w:val="mk-MK"/>
        </w:rPr>
        <w:t xml:space="preserve"> 3 </w:t>
      </w:r>
      <w:r w:rsidRPr="002B2470">
        <w:rPr>
          <w:rFonts w:ascii="Arial" w:hAnsi="Arial" w:cs="Arial"/>
          <w:bCs/>
          <w:iCs/>
          <w:lang w:val="mk-MK"/>
        </w:rPr>
        <w:t>а</w:t>
      </w:r>
      <w:r w:rsidR="00CC620D" w:rsidRPr="0038361F">
        <w:rPr>
          <w:rFonts w:ascii="Arial" w:eastAsia="Calibri" w:hAnsi="Arial" w:cs="Arial"/>
          <w:bCs/>
          <w:iCs/>
          <w:lang w:val="mk-MK"/>
        </w:rPr>
        <w:t>прил 2019 година ГД АГРИ достави првични забелешки и препораки во однос на доставената пакет документација.</w:t>
      </w:r>
      <w:r w:rsidR="002B2470">
        <w:rPr>
          <w:rFonts w:ascii="Arial" w:eastAsia="Calibri" w:hAnsi="Arial" w:cs="Arial"/>
          <w:bCs/>
          <w:iCs/>
          <w:lang w:val="mk-MK"/>
        </w:rPr>
        <w:t xml:space="preserve"> </w:t>
      </w:r>
      <w:r w:rsidR="00CC620D" w:rsidRPr="0038361F">
        <w:rPr>
          <w:rFonts w:ascii="Arial" w:eastAsia="Calibri" w:hAnsi="Arial" w:cs="Arial"/>
          <w:bCs/>
          <w:iCs/>
          <w:lang w:val="mk-MK"/>
        </w:rPr>
        <w:t>Главните забелешки се однесуваат на недостатокот на човечки капацитети, Измените на Законот за основање на АФПЗРР како и процедурите за работа за спроведување на мерката.</w:t>
      </w:r>
    </w:p>
    <w:p w:rsidR="00CC620D" w:rsidRPr="0038361F" w:rsidRDefault="00CC620D" w:rsidP="00673F41">
      <w:pPr>
        <w:autoSpaceDE w:val="0"/>
        <w:autoSpaceDN w:val="0"/>
        <w:adjustRightInd w:val="0"/>
        <w:spacing w:before="120" w:after="0" w:line="240" w:lineRule="auto"/>
        <w:jc w:val="both"/>
        <w:rPr>
          <w:rFonts w:ascii="Arial" w:eastAsia="Calibri" w:hAnsi="Arial" w:cs="Arial"/>
          <w:bCs/>
          <w:iCs/>
          <w:lang w:val="mk-MK"/>
        </w:rPr>
      </w:pPr>
      <w:r w:rsidRPr="0038361F">
        <w:rPr>
          <w:rFonts w:ascii="Arial" w:eastAsia="Calibri" w:hAnsi="Arial" w:cs="Arial"/>
          <w:bCs/>
          <w:iCs/>
          <w:lang w:val="mk-MK"/>
        </w:rPr>
        <w:t>По добивање на забелешките од страна на ГД АГРИ, националните структури одржаа координативен состанок со Министерот за земјоделство</w:t>
      </w:r>
      <w:r w:rsidR="0038361F">
        <w:rPr>
          <w:rFonts w:ascii="Arial" w:eastAsia="Calibri" w:hAnsi="Arial" w:cs="Arial"/>
          <w:bCs/>
          <w:iCs/>
          <w:lang w:val="mk-MK"/>
        </w:rPr>
        <w:t>,</w:t>
      </w:r>
      <w:r w:rsidRPr="0038361F">
        <w:rPr>
          <w:rFonts w:ascii="Arial" w:eastAsia="Calibri" w:hAnsi="Arial" w:cs="Arial"/>
          <w:bCs/>
          <w:iCs/>
          <w:lang w:val="mk-MK"/>
        </w:rPr>
        <w:t xml:space="preserve"> шумарство и водостопанство со цел поефикасно надминување на забелешките</w:t>
      </w:r>
      <w:r w:rsidR="0038361F">
        <w:rPr>
          <w:rFonts w:ascii="Arial" w:eastAsia="Calibri" w:hAnsi="Arial" w:cs="Arial"/>
          <w:bCs/>
          <w:iCs/>
          <w:lang w:val="mk-MK"/>
        </w:rPr>
        <w:t>,</w:t>
      </w:r>
      <w:r w:rsidRPr="0038361F">
        <w:rPr>
          <w:rFonts w:ascii="Arial" w:eastAsia="Calibri" w:hAnsi="Arial" w:cs="Arial"/>
          <w:bCs/>
          <w:iCs/>
          <w:lang w:val="mk-MK"/>
        </w:rPr>
        <w:t xml:space="preserve"> како и тековното спроведување на програмата, </w:t>
      </w:r>
      <w:r w:rsidR="0038361F">
        <w:rPr>
          <w:rFonts w:ascii="Arial" w:eastAsia="Calibri" w:hAnsi="Arial" w:cs="Arial"/>
          <w:bCs/>
          <w:iCs/>
          <w:lang w:val="mk-MK"/>
        </w:rPr>
        <w:t xml:space="preserve">а </w:t>
      </w:r>
      <w:r w:rsidRPr="0038361F">
        <w:rPr>
          <w:rFonts w:ascii="Arial" w:eastAsia="Calibri" w:hAnsi="Arial" w:cs="Arial"/>
          <w:bCs/>
          <w:iCs/>
          <w:lang w:val="mk-MK"/>
        </w:rPr>
        <w:t>средина на септември 2019 година беше договорен како рок за надминување на забелешките и слабостите.</w:t>
      </w:r>
    </w:p>
    <w:p w:rsidR="00CC620D" w:rsidRPr="0038361F" w:rsidRDefault="00CC620D" w:rsidP="00673F41">
      <w:pPr>
        <w:autoSpaceDE w:val="0"/>
        <w:autoSpaceDN w:val="0"/>
        <w:adjustRightInd w:val="0"/>
        <w:spacing w:before="120" w:after="0" w:line="240" w:lineRule="auto"/>
        <w:jc w:val="both"/>
        <w:rPr>
          <w:rFonts w:ascii="Arial" w:eastAsia="Calibri" w:hAnsi="Arial" w:cs="Arial"/>
          <w:bCs/>
          <w:iCs/>
          <w:lang w:val="mk-MK"/>
        </w:rPr>
      </w:pPr>
      <w:r w:rsidRPr="0038361F">
        <w:rPr>
          <w:rFonts w:ascii="Arial" w:eastAsia="Calibri" w:hAnsi="Arial" w:cs="Arial"/>
          <w:bCs/>
          <w:iCs/>
          <w:lang w:val="mk-MK"/>
        </w:rPr>
        <w:lastRenderedPageBreak/>
        <w:t>Моменталниот статус по однос на забелешките истакнати од страна на ГД АГРИ е следен:</w:t>
      </w:r>
    </w:p>
    <w:p w:rsidR="00CC620D" w:rsidRPr="0038361F" w:rsidRDefault="00CC620D" w:rsidP="00CC620D">
      <w:pPr>
        <w:autoSpaceDE w:val="0"/>
        <w:autoSpaceDN w:val="0"/>
        <w:adjustRightInd w:val="0"/>
        <w:spacing w:after="0" w:line="240" w:lineRule="auto"/>
        <w:ind w:firstLine="720"/>
        <w:jc w:val="both"/>
        <w:rPr>
          <w:rFonts w:ascii="Arial" w:eastAsia="Calibri" w:hAnsi="Arial" w:cs="Arial"/>
          <w:bCs/>
          <w:iCs/>
          <w:lang w:val="mk-MK"/>
        </w:rPr>
      </w:pPr>
      <w:r w:rsidRPr="0038361F">
        <w:rPr>
          <w:rFonts w:ascii="Arial" w:eastAsia="Calibri" w:hAnsi="Arial" w:cs="Arial"/>
          <w:bCs/>
          <w:iCs/>
          <w:lang w:val="mk-MK"/>
        </w:rPr>
        <w:t xml:space="preserve">1. Измените на Законот за основање на АФПЗРР поради претседателските избори се одложени за усвојување во текот на </w:t>
      </w:r>
      <w:r w:rsidR="0038361F">
        <w:rPr>
          <w:rFonts w:ascii="Arial" w:eastAsia="Calibri" w:hAnsi="Arial" w:cs="Arial"/>
          <w:bCs/>
          <w:iCs/>
          <w:lang w:val="mk-MK"/>
        </w:rPr>
        <w:t>м</w:t>
      </w:r>
      <w:r w:rsidR="0038361F" w:rsidRPr="0038361F">
        <w:rPr>
          <w:rFonts w:ascii="Arial" w:eastAsia="Calibri" w:hAnsi="Arial" w:cs="Arial"/>
          <w:bCs/>
          <w:iCs/>
          <w:lang w:val="mk-MK"/>
        </w:rPr>
        <w:t xml:space="preserve">ај </w:t>
      </w:r>
      <w:r w:rsidRPr="0038361F">
        <w:rPr>
          <w:rFonts w:ascii="Arial" w:eastAsia="Calibri" w:hAnsi="Arial" w:cs="Arial"/>
          <w:bCs/>
          <w:iCs/>
          <w:lang w:val="mk-MK"/>
        </w:rPr>
        <w:t>2019 година.</w:t>
      </w:r>
    </w:p>
    <w:p w:rsidR="00CC620D" w:rsidRPr="0038361F" w:rsidRDefault="00CC620D" w:rsidP="00CC620D">
      <w:pPr>
        <w:autoSpaceDE w:val="0"/>
        <w:autoSpaceDN w:val="0"/>
        <w:adjustRightInd w:val="0"/>
        <w:spacing w:after="0" w:line="240" w:lineRule="auto"/>
        <w:ind w:firstLine="720"/>
        <w:jc w:val="both"/>
        <w:rPr>
          <w:rFonts w:ascii="Arial" w:eastAsia="Calibri" w:hAnsi="Arial" w:cs="Arial"/>
          <w:bCs/>
          <w:iCs/>
          <w:lang w:val="mk-MK"/>
        </w:rPr>
      </w:pPr>
      <w:r w:rsidRPr="0038361F">
        <w:rPr>
          <w:rFonts w:ascii="Arial" w:eastAsia="Calibri" w:hAnsi="Arial" w:cs="Arial"/>
          <w:bCs/>
          <w:iCs/>
          <w:lang w:val="mk-MK"/>
        </w:rPr>
        <w:t>2. Во однос на човечките ресурси детален преглед е даден во точка 3 од овој документ,</w:t>
      </w:r>
    </w:p>
    <w:p w:rsidR="00CC620D" w:rsidRPr="002B2470" w:rsidRDefault="00CC620D" w:rsidP="00351465">
      <w:pPr>
        <w:autoSpaceDE w:val="0"/>
        <w:autoSpaceDN w:val="0"/>
        <w:adjustRightInd w:val="0"/>
        <w:spacing w:after="0" w:line="240" w:lineRule="auto"/>
        <w:ind w:firstLine="720"/>
        <w:jc w:val="both"/>
        <w:rPr>
          <w:rFonts w:ascii="Arial" w:eastAsia="Calibri" w:hAnsi="Arial" w:cs="Arial"/>
          <w:bCs/>
          <w:iCs/>
          <w:lang w:val="mk-MK"/>
        </w:rPr>
      </w:pPr>
      <w:r w:rsidRPr="0038361F">
        <w:rPr>
          <w:rFonts w:ascii="Arial" w:eastAsia="Calibri" w:hAnsi="Arial" w:cs="Arial"/>
          <w:bCs/>
          <w:iCs/>
          <w:lang w:val="mk-MK"/>
        </w:rPr>
        <w:t xml:space="preserve">3. Во однос на процедурите, </w:t>
      </w:r>
      <w:r w:rsidR="0038361F" w:rsidRPr="0038361F">
        <w:rPr>
          <w:rFonts w:ascii="Arial" w:eastAsia="Calibri" w:hAnsi="Arial" w:cs="Arial"/>
          <w:bCs/>
          <w:iCs/>
          <w:lang w:val="mk-MK"/>
        </w:rPr>
        <w:t>направена</w:t>
      </w:r>
      <w:r w:rsidR="0038361F">
        <w:rPr>
          <w:rFonts w:ascii="Arial" w:eastAsia="Calibri" w:hAnsi="Arial" w:cs="Arial"/>
          <w:bCs/>
          <w:iCs/>
          <w:lang w:val="mk-MK"/>
        </w:rPr>
        <w:t xml:space="preserve"> е </w:t>
      </w:r>
      <w:r w:rsidRPr="0038361F">
        <w:rPr>
          <w:rFonts w:ascii="Arial" w:eastAsia="Calibri" w:hAnsi="Arial" w:cs="Arial"/>
          <w:bCs/>
          <w:iCs/>
          <w:lang w:val="mk-MK"/>
        </w:rPr>
        <w:t>првична анализа на забелешките од ГД АГРИ и соодветно ќе се работи на надминување на истите паралелно со останатите активности.</w:t>
      </w:r>
      <w:r w:rsidRPr="0038361F" w:rsidDel="002879FE">
        <w:rPr>
          <w:rFonts w:ascii="Arial" w:eastAsia="Calibri" w:hAnsi="Arial" w:cs="Arial"/>
          <w:bCs/>
          <w:iCs/>
          <w:lang w:val="mk-MK"/>
        </w:rPr>
        <w:t xml:space="preserve"> </w:t>
      </w:r>
    </w:p>
    <w:p w:rsidR="00CC620D" w:rsidRPr="0038361F" w:rsidRDefault="00CC620D" w:rsidP="000E151E">
      <w:pPr>
        <w:autoSpaceDE w:val="0"/>
        <w:autoSpaceDN w:val="0"/>
        <w:adjustRightInd w:val="0"/>
        <w:spacing w:before="120" w:after="120" w:line="240" w:lineRule="auto"/>
        <w:jc w:val="both"/>
        <w:rPr>
          <w:rFonts w:ascii="Arial" w:eastAsia="Calibri" w:hAnsi="Arial" w:cs="Arial"/>
          <w:b/>
          <w:bCs/>
          <w:i/>
          <w:iCs/>
          <w:u w:val="single"/>
          <w:lang w:val="mk-MK"/>
        </w:rPr>
      </w:pPr>
      <w:r w:rsidRPr="0038361F">
        <w:rPr>
          <w:rFonts w:ascii="Arial" w:eastAsia="Calibri" w:hAnsi="Arial" w:cs="Arial"/>
          <w:b/>
          <w:bCs/>
          <w:i/>
          <w:iCs/>
          <w:u w:val="single"/>
          <w:lang w:val="mk-MK"/>
        </w:rPr>
        <w:t>5.</w:t>
      </w:r>
      <w:r w:rsidRPr="0038361F">
        <w:rPr>
          <w:rFonts w:ascii="Arial" w:eastAsia="Calibri" w:hAnsi="Arial" w:cs="Arial"/>
          <w:b/>
          <w:bCs/>
          <w:i/>
          <w:iCs/>
          <w:u w:val="single"/>
          <w:lang w:val="mk-MK"/>
        </w:rPr>
        <w:tab/>
        <w:t>Планирање и следење на имплементацијата на ИПАРД Програмата и апсорпција на ИПА фондовите</w:t>
      </w:r>
    </w:p>
    <w:p w:rsidR="00CC620D" w:rsidRPr="0038361F" w:rsidRDefault="00CC620D"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Првиот јавен повик во рамките на ИПАРД Програмата 2014-2020 беш</w:t>
      </w:r>
      <w:r w:rsidR="00084171" w:rsidRPr="0038361F">
        <w:rPr>
          <w:rFonts w:ascii="Arial" w:eastAsia="Calibri" w:hAnsi="Arial" w:cs="Arial"/>
          <w:bCs/>
          <w:iCs/>
          <w:lang w:val="mk-MK"/>
        </w:rPr>
        <w:t xml:space="preserve">е затворен во јули 2017 година </w:t>
      </w:r>
      <w:r w:rsidRPr="0038361F">
        <w:rPr>
          <w:rFonts w:ascii="Arial" w:eastAsia="Calibri" w:hAnsi="Arial" w:cs="Arial"/>
          <w:bCs/>
          <w:iCs/>
          <w:lang w:val="mk-MK"/>
        </w:rPr>
        <w:t>и беа примени 1</w:t>
      </w:r>
      <w:r w:rsidR="0038361F">
        <w:rPr>
          <w:rFonts w:ascii="Arial" w:eastAsia="Calibri" w:hAnsi="Arial" w:cs="Arial"/>
          <w:bCs/>
          <w:iCs/>
          <w:lang w:val="mk-MK"/>
        </w:rPr>
        <w:t>.</w:t>
      </w:r>
      <w:r w:rsidRPr="0038361F">
        <w:rPr>
          <w:rFonts w:ascii="Arial" w:eastAsia="Calibri" w:hAnsi="Arial" w:cs="Arial"/>
          <w:bCs/>
          <w:iCs/>
          <w:lang w:val="mk-MK"/>
        </w:rPr>
        <w:t xml:space="preserve">648 апликации. Од првиот јавен повик во рамките на ИПАРД Програмата 2014-2020 се склучени 901 договори од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ерката </w:t>
      </w:r>
      <w:r w:rsidRPr="0038361F">
        <w:rPr>
          <w:rFonts w:ascii="Arial" w:eastAsia="Calibri" w:hAnsi="Arial" w:cs="Arial"/>
          <w:bCs/>
          <w:iCs/>
          <w:lang w:val="mk-MK"/>
        </w:rPr>
        <w:t xml:space="preserve">1 во износ од 10.719.321,00 ЕУР (ИПА + НКФ), од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ерката </w:t>
      </w:r>
      <w:r w:rsidRPr="0038361F">
        <w:rPr>
          <w:rFonts w:ascii="Arial" w:eastAsia="Calibri" w:hAnsi="Arial" w:cs="Arial"/>
          <w:bCs/>
          <w:iCs/>
          <w:lang w:val="mk-MK"/>
        </w:rPr>
        <w:t xml:space="preserve">3 се склучени 31 договори во износ од 6.621.696,00 ЕУР (ИПА + НКФ) и од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 </w:t>
      </w:r>
      <w:r w:rsidRPr="0038361F">
        <w:rPr>
          <w:rFonts w:ascii="Arial" w:eastAsia="Calibri" w:hAnsi="Arial" w:cs="Arial"/>
          <w:bCs/>
          <w:iCs/>
          <w:lang w:val="mk-MK"/>
        </w:rPr>
        <w:t>7 се склучени 23 договори во износ од 4.297.194,64 ЕUR (ИПА + НКФ).</w:t>
      </w:r>
    </w:p>
    <w:p w:rsidR="00CC620D" w:rsidRPr="0038361F" w:rsidRDefault="00CC620D"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 xml:space="preserve">Во текот на декември 2018 година објавени се два јавни повици за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 </w:t>
      </w:r>
      <w:r w:rsidRPr="0038361F">
        <w:rPr>
          <w:rFonts w:ascii="Arial" w:eastAsia="Calibri" w:hAnsi="Arial" w:cs="Arial"/>
          <w:bCs/>
          <w:iCs/>
          <w:lang w:val="mk-MK"/>
        </w:rPr>
        <w:t xml:space="preserve">1 и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 </w:t>
      </w:r>
      <w:r w:rsidRPr="0038361F">
        <w:rPr>
          <w:rFonts w:ascii="Arial" w:eastAsia="Calibri" w:hAnsi="Arial" w:cs="Arial"/>
          <w:bCs/>
          <w:iCs/>
          <w:lang w:val="mk-MK"/>
        </w:rPr>
        <w:t>3. Под овие јавни повици примени се 1</w:t>
      </w:r>
      <w:r w:rsidR="0038361F">
        <w:rPr>
          <w:rFonts w:ascii="Arial" w:eastAsia="Calibri" w:hAnsi="Arial" w:cs="Arial"/>
          <w:bCs/>
          <w:iCs/>
          <w:lang w:val="mk-MK"/>
        </w:rPr>
        <w:t>.</w:t>
      </w:r>
      <w:r w:rsidRPr="0038361F">
        <w:rPr>
          <w:rFonts w:ascii="Arial" w:eastAsia="Calibri" w:hAnsi="Arial" w:cs="Arial"/>
          <w:bCs/>
          <w:iCs/>
          <w:lang w:val="mk-MK"/>
        </w:rPr>
        <w:t xml:space="preserve">164 барања (1099 за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ерки </w:t>
      </w:r>
      <w:r w:rsidRPr="0038361F">
        <w:rPr>
          <w:rFonts w:ascii="Arial" w:eastAsia="Calibri" w:hAnsi="Arial" w:cs="Arial"/>
          <w:bCs/>
          <w:iCs/>
          <w:lang w:val="mk-MK"/>
        </w:rPr>
        <w:t xml:space="preserve">1 и 65 за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 </w:t>
      </w:r>
      <w:r w:rsidRPr="0038361F">
        <w:rPr>
          <w:rFonts w:ascii="Arial" w:eastAsia="Calibri" w:hAnsi="Arial" w:cs="Arial"/>
          <w:bCs/>
          <w:iCs/>
          <w:lang w:val="mk-MK"/>
        </w:rPr>
        <w:t xml:space="preserve">3). Фазата на склучување договори од двата јавни повици во 2018 година е во тек и заклучно со 24.04.2019 година склучени се 4 договори од </w:t>
      </w:r>
      <w:r w:rsidR="0038361F">
        <w:rPr>
          <w:rFonts w:ascii="Arial" w:eastAsia="Calibri" w:hAnsi="Arial" w:cs="Arial"/>
          <w:bCs/>
          <w:iCs/>
          <w:lang w:val="mk-MK"/>
        </w:rPr>
        <w:t>М</w:t>
      </w:r>
      <w:r w:rsidR="0038361F" w:rsidRPr="0038361F">
        <w:rPr>
          <w:rFonts w:ascii="Arial" w:eastAsia="Calibri" w:hAnsi="Arial" w:cs="Arial"/>
          <w:bCs/>
          <w:iCs/>
          <w:lang w:val="mk-MK"/>
        </w:rPr>
        <w:t xml:space="preserve">ерка </w:t>
      </w:r>
      <w:r w:rsidRPr="0038361F">
        <w:rPr>
          <w:rFonts w:ascii="Arial" w:eastAsia="Calibri" w:hAnsi="Arial" w:cs="Arial"/>
          <w:bCs/>
          <w:iCs/>
          <w:lang w:val="mk-MK"/>
        </w:rPr>
        <w:t>3 во износ од 350.074,00 ЕУР (ИПА + НКФ).</w:t>
      </w:r>
    </w:p>
    <w:p w:rsidR="00CC620D" w:rsidRPr="0038361F" w:rsidRDefault="00CC620D"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 xml:space="preserve">Во ИПАРД Програмата 2014-2020 (1-ва модификација) за </w:t>
      </w:r>
      <w:r w:rsidR="0038361F">
        <w:rPr>
          <w:rFonts w:ascii="Arial" w:eastAsia="Calibri" w:hAnsi="Arial" w:cs="Arial"/>
          <w:bCs/>
          <w:iCs/>
          <w:lang w:val="mk-MK"/>
        </w:rPr>
        <w:t>М</w:t>
      </w:r>
      <w:r w:rsidRPr="0038361F">
        <w:rPr>
          <w:rFonts w:ascii="Arial" w:eastAsia="Calibri" w:hAnsi="Arial" w:cs="Arial"/>
          <w:bCs/>
          <w:iCs/>
          <w:lang w:val="mk-MK"/>
        </w:rPr>
        <w:t>ерка 9 (Техничка помош) доделени се 1.752.941,18 ЕУР (вкупно јавна помош). Во моментот, Акцискиот план за 2019 година за имплементација на оваа мерка предвидува набавки во износ од 257,584.00EUR што е околу 14,7% од расположливиот буџет. За оваа мерка доставени се 11 апликации до ИПАРД Агенција, од кои за 9 се склучени договори во износ од 149.000,02 ЕУР и исплатени се 3 договори во вкупен изн</w:t>
      </w:r>
      <w:r w:rsidR="000E151E" w:rsidRPr="0038361F">
        <w:rPr>
          <w:rFonts w:ascii="Arial" w:eastAsia="Calibri" w:hAnsi="Arial" w:cs="Arial"/>
          <w:bCs/>
          <w:iCs/>
          <w:lang w:val="mk-MK"/>
        </w:rPr>
        <w:t>ос од 4,512.35 ЕВР (ИПА + НКФ).</w:t>
      </w:r>
    </w:p>
    <w:p w:rsidR="0019564C" w:rsidRPr="0038361F" w:rsidRDefault="0019564C" w:rsidP="00CC620D">
      <w:pPr>
        <w:autoSpaceDE w:val="0"/>
        <w:autoSpaceDN w:val="0"/>
        <w:adjustRightInd w:val="0"/>
        <w:spacing w:after="0" w:line="240" w:lineRule="auto"/>
        <w:jc w:val="both"/>
        <w:rPr>
          <w:rFonts w:ascii="Arial" w:eastAsia="Calibri" w:hAnsi="Arial" w:cs="Arial"/>
          <w:bCs/>
          <w:iCs/>
          <w:lang w:val="mk-MK"/>
        </w:rPr>
      </w:pPr>
    </w:p>
    <w:p w:rsidR="0019564C" w:rsidRPr="0038361F" w:rsidRDefault="0019564C" w:rsidP="00CC620D">
      <w:pPr>
        <w:autoSpaceDE w:val="0"/>
        <w:autoSpaceDN w:val="0"/>
        <w:adjustRightInd w:val="0"/>
        <w:spacing w:after="0" w:line="240" w:lineRule="auto"/>
        <w:jc w:val="both"/>
        <w:rPr>
          <w:rFonts w:ascii="Arial" w:eastAsia="Calibri" w:hAnsi="Arial" w:cs="Arial"/>
          <w:bCs/>
          <w:iCs/>
          <w:lang w:val="mk-MK"/>
        </w:rPr>
      </w:pPr>
    </w:p>
    <w:p w:rsidR="00CC620D" w:rsidRPr="0038361F" w:rsidRDefault="00CC620D" w:rsidP="000E151E">
      <w:pPr>
        <w:autoSpaceDE w:val="0"/>
        <w:autoSpaceDN w:val="0"/>
        <w:adjustRightInd w:val="0"/>
        <w:spacing w:before="120" w:after="120" w:line="240" w:lineRule="auto"/>
        <w:jc w:val="both"/>
        <w:rPr>
          <w:rFonts w:ascii="Arial" w:eastAsia="Calibri" w:hAnsi="Arial" w:cs="Arial"/>
          <w:b/>
          <w:bCs/>
          <w:i/>
          <w:iCs/>
          <w:u w:val="single"/>
          <w:lang w:val="mk-MK"/>
        </w:rPr>
      </w:pPr>
      <w:r w:rsidRPr="0038361F">
        <w:rPr>
          <w:rFonts w:ascii="Arial" w:eastAsia="Calibri" w:hAnsi="Arial" w:cs="Arial"/>
          <w:b/>
          <w:bCs/>
          <w:i/>
          <w:iCs/>
          <w:u w:val="single"/>
          <w:lang w:val="mk-MK"/>
        </w:rPr>
        <w:t>6. Финансиски менаџмент</w:t>
      </w:r>
    </w:p>
    <w:p w:rsidR="003565CF" w:rsidRPr="0038361F" w:rsidRDefault="003565CF" w:rsidP="00CC620D">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Во однос на финансиското управување со фондовите на Заедницата, активностите беа редовно вршени според прописите и донесените постапки. До 23 април 2019 година извршените исплати за придонес од Заедницата беа во износ од 1.675.412,01 ЕУР. Декларации за расходи кои служат како барања за исплата беа поднесени за секое тримесечје од 2018 година и за првиот квартал од 2019 година во согласност со поставените рокови. Декларираниот износ на придонес во Заедницата е 1.395.735,77 EUR. Апликациите за исплата беа редовно испратени преку SFC 2014 од страна на Националниот фонд. Сите трансакции направени на банкарските сметки на НФ беа соодветно евидентирани во сметководствениот систем на НФ.</w:t>
      </w:r>
    </w:p>
    <w:p w:rsidR="000E151E" w:rsidRPr="0038361F" w:rsidRDefault="00CC620D" w:rsidP="000E151E">
      <w:pPr>
        <w:widowControl w:val="0"/>
        <w:suppressAutoHyphens/>
        <w:overflowPunct w:val="0"/>
        <w:spacing w:before="120" w:after="120" w:line="240" w:lineRule="auto"/>
        <w:jc w:val="both"/>
        <w:textAlignment w:val="baseline"/>
        <w:rPr>
          <w:rFonts w:ascii="Arial" w:eastAsia="Times New Roman" w:hAnsi="Arial" w:cs="Arial"/>
          <w:b/>
          <w:i/>
          <w:iCs/>
          <w:u w:val="single"/>
          <w:lang w:val="mk-MK" w:eastAsia="mk-MK"/>
        </w:rPr>
      </w:pPr>
      <w:r w:rsidRPr="0038361F">
        <w:rPr>
          <w:rFonts w:ascii="Arial" w:eastAsia="Times New Roman" w:hAnsi="Arial" w:cs="Arial"/>
          <w:b/>
          <w:i/>
          <w:iCs/>
          <w:u w:val="single"/>
          <w:lang w:val="mk-MK" w:eastAsia="mk-MK"/>
        </w:rPr>
        <w:t>Калкулација за губење на средства</w:t>
      </w:r>
    </w:p>
    <w:p w:rsidR="00CC620D" w:rsidRPr="0038361F" w:rsidRDefault="00CC620D" w:rsidP="000E151E">
      <w:pPr>
        <w:widowControl w:val="0"/>
        <w:suppressAutoHyphens/>
        <w:overflowPunct w:val="0"/>
        <w:spacing w:after="240" w:line="240" w:lineRule="auto"/>
        <w:jc w:val="both"/>
        <w:textAlignment w:val="baseline"/>
        <w:rPr>
          <w:rFonts w:ascii="Arial" w:eastAsia="Times New Roman" w:hAnsi="Arial" w:cs="Arial"/>
          <w:lang w:val="mk-MK" w:eastAsia="mk-MK"/>
        </w:rPr>
      </w:pPr>
      <w:r w:rsidRPr="0038361F">
        <w:rPr>
          <w:rFonts w:ascii="Arial" w:eastAsia="Times New Roman" w:hAnsi="Arial" w:cs="Arial"/>
          <w:lang w:val="mk-MK" w:eastAsia="mk-MK"/>
        </w:rPr>
        <w:t xml:space="preserve">При </w:t>
      </w:r>
      <w:r w:rsidRPr="0038361F">
        <w:rPr>
          <w:rFonts w:ascii="Arial" w:eastAsia="Calibri" w:hAnsi="Arial" w:cs="Arial"/>
          <w:bCs/>
          <w:iCs/>
          <w:lang w:val="mk-MK"/>
        </w:rPr>
        <w:t>определувањето на потенцијалниот ризик за губење на одобрените средства како претпоставки</w:t>
      </w:r>
      <w:r w:rsidRPr="0038361F">
        <w:rPr>
          <w:rFonts w:ascii="Arial" w:eastAsia="Times New Roman" w:hAnsi="Arial" w:cs="Arial"/>
          <w:lang w:val="mk-MK" w:eastAsia="mk-MK"/>
        </w:rPr>
        <w:t xml:space="preserve"> се земени предвид следниве инпути:</w:t>
      </w:r>
    </w:p>
    <w:p w:rsidR="00CC620D" w:rsidRPr="0038361F" w:rsidRDefault="00CC620D" w:rsidP="00CC620D">
      <w:pPr>
        <w:widowControl w:val="0"/>
        <w:numPr>
          <w:ilvl w:val="0"/>
          <w:numId w:val="42"/>
        </w:numPr>
        <w:suppressAutoHyphens/>
        <w:overflowPunct w:val="0"/>
        <w:spacing w:after="0" w:line="40" w:lineRule="atLeast"/>
        <w:ind w:left="714" w:hanging="357"/>
        <w:jc w:val="both"/>
        <w:textAlignment w:val="baseline"/>
        <w:rPr>
          <w:rFonts w:ascii="Arial" w:eastAsia="Times New Roman" w:hAnsi="Arial" w:cs="Arial"/>
          <w:lang w:val="mk-MK" w:eastAsia="mk-MK"/>
        </w:rPr>
      </w:pPr>
      <w:r w:rsidRPr="0038361F">
        <w:rPr>
          <w:rFonts w:ascii="Arial" w:eastAsia="Times New Roman" w:hAnsi="Arial" w:cs="Arial"/>
          <w:lang w:val="mk-MK" w:eastAsia="mk-MK"/>
        </w:rPr>
        <w:t>Вкупните ИПА алокациите за 2014-2016 година изнесуваат 15</w:t>
      </w:r>
      <w:r w:rsidR="0038361F">
        <w:rPr>
          <w:rFonts w:ascii="Arial" w:eastAsia="Times New Roman" w:hAnsi="Arial" w:cs="Arial"/>
          <w:lang w:val="mk-MK" w:eastAsia="mk-MK"/>
        </w:rPr>
        <w:t>.</w:t>
      </w:r>
      <w:r w:rsidRPr="0038361F">
        <w:rPr>
          <w:rFonts w:ascii="Arial" w:eastAsia="Times New Roman" w:hAnsi="Arial" w:cs="Arial"/>
          <w:lang w:val="mk-MK" w:eastAsia="mk-MK"/>
        </w:rPr>
        <w:t>000</w:t>
      </w:r>
      <w:r w:rsidR="0038361F">
        <w:rPr>
          <w:rFonts w:ascii="Arial" w:eastAsia="Times New Roman" w:hAnsi="Arial" w:cs="Arial"/>
          <w:lang w:val="mk-MK" w:eastAsia="mk-MK"/>
        </w:rPr>
        <w:t>.</w:t>
      </w:r>
      <w:r w:rsidRPr="0038361F">
        <w:rPr>
          <w:rFonts w:ascii="Arial" w:eastAsia="Times New Roman" w:hAnsi="Arial" w:cs="Arial"/>
          <w:lang w:val="mk-MK" w:eastAsia="mk-MK"/>
        </w:rPr>
        <w:t>000</w:t>
      </w:r>
      <w:r w:rsidR="0038361F">
        <w:rPr>
          <w:rFonts w:ascii="Arial" w:eastAsia="Times New Roman" w:hAnsi="Arial" w:cs="Arial"/>
          <w:lang w:val="mk-MK" w:eastAsia="mk-MK"/>
        </w:rPr>
        <w:t>,</w:t>
      </w:r>
      <w:r w:rsidRPr="0038361F">
        <w:rPr>
          <w:rFonts w:ascii="Arial" w:eastAsia="Times New Roman" w:hAnsi="Arial" w:cs="Arial"/>
          <w:lang w:val="mk-MK" w:eastAsia="mk-MK"/>
        </w:rPr>
        <w:t>00 евра;</w:t>
      </w:r>
    </w:p>
    <w:p w:rsidR="00CC620D" w:rsidRPr="0038361F" w:rsidRDefault="00CC620D" w:rsidP="00CC620D">
      <w:pPr>
        <w:widowControl w:val="0"/>
        <w:numPr>
          <w:ilvl w:val="0"/>
          <w:numId w:val="42"/>
        </w:numPr>
        <w:suppressAutoHyphens/>
        <w:overflowPunct w:val="0"/>
        <w:spacing w:after="0" w:line="40" w:lineRule="atLeast"/>
        <w:ind w:left="714" w:hanging="357"/>
        <w:jc w:val="both"/>
        <w:textAlignment w:val="baseline"/>
        <w:rPr>
          <w:rFonts w:ascii="Arial" w:eastAsia="Times New Roman" w:hAnsi="Arial" w:cs="Arial"/>
          <w:lang w:val="mk-MK" w:eastAsia="mk-MK"/>
        </w:rPr>
      </w:pPr>
      <w:r w:rsidRPr="0038361F">
        <w:rPr>
          <w:rFonts w:ascii="Arial" w:eastAsia="Times New Roman" w:hAnsi="Arial" w:cs="Arial"/>
          <w:lang w:val="mk-MK" w:eastAsia="mk-MK"/>
        </w:rPr>
        <w:t>Примено е пре</w:t>
      </w:r>
      <w:r w:rsidR="0038361F">
        <w:rPr>
          <w:rFonts w:ascii="Arial" w:eastAsia="Times New Roman" w:hAnsi="Arial" w:cs="Arial"/>
          <w:lang w:val="mk-MK" w:eastAsia="mk-MK"/>
        </w:rPr>
        <w:t>д</w:t>
      </w:r>
      <w:r w:rsidRPr="0038361F">
        <w:rPr>
          <w:rFonts w:ascii="Arial" w:eastAsia="Times New Roman" w:hAnsi="Arial" w:cs="Arial"/>
          <w:lang w:val="mk-MK" w:eastAsia="mk-MK"/>
        </w:rPr>
        <w:t>финансирање во износ од</w:t>
      </w:r>
      <w:r w:rsidR="002B2470">
        <w:rPr>
          <w:rFonts w:ascii="Arial" w:eastAsia="Times New Roman" w:hAnsi="Arial" w:cs="Arial"/>
          <w:lang w:val="mk-MK" w:eastAsia="mk-MK"/>
        </w:rPr>
        <w:t xml:space="preserve"> </w:t>
      </w:r>
      <w:r w:rsidRPr="0038361F">
        <w:rPr>
          <w:rFonts w:ascii="Arial" w:eastAsia="Times New Roman" w:hAnsi="Arial" w:cs="Arial"/>
          <w:lang w:val="mk-MK" w:eastAsia="mk-MK"/>
        </w:rPr>
        <w:t>6</w:t>
      </w:r>
      <w:r w:rsidR="0038361F">
        <w:rPr>
          <w:rFonts w:ascii="Arial" w:eastAsia="Times New Roman" w:hAnsi="Arial" w:cs="Arial"/>
          <w:lang w:val="mk-MK" w:eastAsia="mk-MK"/>
        </w:rPr>
        <w:t>.</w:t>
      </w:r>
      <w:r w:rsidRPr="0038361F">
        <w:rPr>
          <w:rFonts w:ascii="Arial" w:eastAsia="Times New Roman" w:hAnsi="Arial" w:cs="Arial"/>
          <w:lang w:val="mk-MK" w:eastAsia="mk-MK"/>
        </w:rPr>
        <w:t>300</w:t>
      </w:r>
      <w:r w:rsidR="0038361F">
        <w:rPr>
          <w:rFonts w:ascii="Arial" w:eastAsia="Times New Roman" w:hAnsi="Arial" w:cs="Arial"/>
          <w:lang w:val="mk-MK" w:eastAsia="mk-MK"/>
        </w:rPr>
        <w:t>.</w:t>
      </w:r>
      <w:r w:rsidRPr="0038361F">
        <w:rPr>
          <w:rFonts w:ascii="Arial" w:eastAsia="Times New Roman" w:hAnsi="Arial" w:cs="Arial"/>
          <w:lang w:val="mk-MK" w:eastAsia="mk-MK"/>
        </w:rPr>
        <w:t>000</w:t>
      </w:r>
      <w:r w:rsidR="0038361F">
        <w:rPr>
          <w:rFonts w:ascii="Arial" w:eastAsia="Times New Roman" w:hAnsi="Arial" w:cs="Arial"/>
          <w:lang w:val="mk-MK" w:eastAsia="mk-MK"/>
        </w:rPr>
        <w:t>,</w:t>
      </w:r>
      <w:r w:rsidRPr="0038361F">
        <w:rPr>
          <w:rFonts w:ascii="Arial" w:eastAsia="Times New Roman" w:hAnsi="Arial" w:cs="Arial"/>
          <w:lang w:val="mk-MK" w:eastAsia="mk-MK"/>
        </w:rPr>
        <w:t>00 евра;</w:t>
      </w:r>
    </w:p>
    <w:p w:rsidR="00CC620D" w:rsidRPr="0038361F" w:rsidRDefault="00CC620D" w:rsidP="00CC620D">
      <w:pPr>
        <w:widowControl w:val="0"/>
        <w:numPr>
          <w:ilvl w:val="0"/>
          <w:numId w:val="42"/>
        </w:numPr>
        <w:suppressAutoHyphens/>
        <w:overflowPunct w:val="0"/>
        <w:spacing w:after="120" w:line="40" w:lineRule="atLeast"/>
        <w:ind w:left="714" w:hanging="357"/>
        <w:jc w:val="both"/>
        <w:textAlignment w:val="baseline"/>
        <w:rPr>
          <w:rFonts w:ascii="Arial" w:eastAsia="Times New Roman" w:hAnsi="Arial" w:cs="Arial"/>
          <w:lang w:val="mk-MK" w:eastAsia="mk-MK"/>
        </w:rPr>
      </w:pPr>
      <w:r w:rsidRPr="0038361F">
        <w:rPr>
          <w:rFonts w:ascii="Arial" w:eastAsia="Times New Roman" w:hAnsi="Arial" w:cs="Arial"/>
          <w:lang w:val="mk-MK" w:eastAsia="mk-MK"/>
        </w:rPr>
        <w:t>Планирани ИПА исплати во 2019 година изнесува 11</w:t>
      </w:r>
      <w:r w:rsidR="0038361F">
        <w:rPr>
          <w:rFonts w:ascii="Arial" w:eastAsia="Times New Roman" w:hAnsi="Arial" w:cs="Arial"/>
          <w:lang w:val="mk-MK" w:eastAsia="mk-MK"/>
        </w:rPr>
        <w:t>.</w:t>
      </w:r>
      <w:r w:rsidRPr="0038361F">
        <w:rPr>
          <w:rFonts w:ascii="Arial" w:eastAsia="Times New Roman" w:hAnsi="Arial" w:cs="Arial"/>
          <w:lang w:val="mk-MK" w:eastAsia="mk-MK"/>
        </w:rPr>
        <w:t>250</w:t>
      </w:r>
      <w:r w:rsidR="0038361F">
        <w:rPr>
          <w:rFonts w:ascii="Arial" w:eastAsia="Times New Roman" w:hAnsi="Arial" w:cs="Arial"/>
          <w:lang w:val="mk-MK" w:eastAsia="mk-MK"/>
        </w:rPr>
        <w:t>.</w:t>
      </w:r>
      <w:r w:rsidRPr="0038361F">
        <w:rPr>
          <w:rFonts w:ascii="Arial" w:eastAsia="Times New Roman" w:hAnsi="Arial" w:cs="Arial"/>
          <w:lang w:val="mk-MK" w:eastAsia="mk-MK"/>
        </w:rPr>
        <w:t>000</w:t>
      </w:r>
      <w:r w:rsidR="0038361F">
        <w:rPr>
          <w:rFonts w:ascii="Arial" w:eastAsia="Times New Roman" w:hAnsi="Arial" w:cs="Arial"/>
          <w:lang w:val="mk-MK" w:eastAsia="mk-MK"/>
        </w:rPr>
        <w:t>,</w:t>
      </w:r>
      <w:r w:rsidRPr="0038361F">
        <w:rPr>
          <w:rFonts w:ascii="Arial" w:eastAsia="Times New Roman" w:hAnsi="Arial" w:cs="Arial"/>
          <w:lang w:val="mk-MK" w:eastAsia="mk-MK"/>
        </w:rPr>
        <w:t>00 евра.</w:t>
      </w:r>
    </w:p>
    <w:p w:rsidR="00CC620D" w:rsidRPr="0038361F" w:rsidRDefault="00CC620D" w:rsidP="00CC620D">
      <w:pPr>
        <w:autoSpaceDE w:val="0"/>
        <w:autoSpaceDN w:val="0"/>
        <w:adjustRightInd w:val="0"/>
        <w:spacing w:after="0" w:line="240" w:lineRule="auto"/>
        <w:jc w:val="both"/>
        <w:rPr>
          <w:rFonts w:ascii="Arial" w:eastAsia="Times New Roman" w:hAnsi="Arial" w:cs="Arial"/>
          <w:lang w:val="mk-MK" w:eastAsia="mk-MK"/>
        </w:rPr>
      </w:pPr>
      <w:r w:rsidRPr="0038361F">
        <w:rPr>
          <w:rFonts w:ascii="Arial" w:eastAsia="Times New Roman" w:hAnsi="Arial" w:cs="Arial"/>
          <w:lang w:val="mk-MK" w:eastAsia="mk-MK"/>
        </w:rPr>
        <w:t xml:space="preserve">Земајќи ја предвид калкулацијата во прилог, нема потенцијален ризик за губење на средства на крајот од 2019 година. </w:t>
      </w:r>
    </w:p>
    <w:p w:rsidR="00CC620D" w:rsidRPr="0038361F" w:rsidRDefault="00CC620D" w:rsidP="00CC620D">
      <w:pPr>
        <w:autoSpaceDE w:val="0"/>
        <w:autoSpaceDN w:val="0"/>
        <w:adjustRightInd w:val="0"/>
        <w:spacing w:after="0" w:line="240" w:lineRule="auto"/>
        <w:ind w:firstLine="720"/>
        <w:jc w:val="both"/>
        <w:rPr>
          <w:rFonts w:ascii="Arial" w:eastAsia="Times New Roman" w:hAnsi="Arial" w:cs="Arial"/>
          <w:lang w:val="mk-MK" w:eastAsia="mk-MK"/>
        </w:rPr>
      </w:pPr>
    </w:p>
    <w:tbl>
      <w:tblPr>
        <w:tblW w:w="847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4961"/>
        <w:gridCol w:w="2273"/>
      </w:tblGrid>
      <w:tr w:rsidR="00CC620D" w:rsidRPr="002B2470" w:rsidTr="0019564C">
        <w:trPr>
          <w:trHeight w:val="1020"/>
        </w:trPr>
        <w:tc>
          <w:tcPr>
            <w:tcW w:w="8470" w:type="dxa"/>
            <w:gridSpan w:val="3"/>
          </w:tcPr>
          <w:p w:rsidR="00CC620D" w:rsidRPr="0038361F" w:rsidRDefault="00CC620D" w:rsidP="003565CF">
            <w:pPr>
              <w:spacing w:after="0" w:line="240" w:lineRule="auto"/>
              <w:jc w:val="center"/>
              <w:rPr>
                <w:rFonts w:ascii="Arial" w:eastAsia="Times New Roman" w:hAnsi="Arial" w:cs="Arial"/>
                <w:b/>
                <w:bCs/>
                <w:color w:val="000000"/>
                <w:lang w:val="mk-MK"/>
              </w:rPr>
            </w:pPr>
            <w:r w:rsidRPr="0038361F">
              <w:rPr>
                <w:rFonts w:ascii="Arial" w:eastAsia="Times New Roman" w:hAnsi="Arial" w:cs="Arial"/>
                <w:b/>
                <w:bCs/>
                <w:color w:val="000000"/>
                <w:lang w:val="mk-MK"/>
              </w:rPr>
              <w:lastRenderedPageBreak/>
              <w:t>V компонента</w:t>
            </w:r>
            <w:r w:rsidRPr="0038361F">
              <w:rPr>
                <w:rFonts w:ascii="Arial" w:eastAsia="Times New Roman" w:hAnsi="Arial" w:cs="Arial"/>
                <w:b/>
                <w:bCs/>
                <w:color w:val="000000"/>
                <w:lang w:val="mk-MK"/>
              </w:rPr>
              <w:br/>
              <w:t xml:space="preserve">Пресметка на потенцијалниот ризик од губење на средства согласно правилото </w:t>
            </w:r>
            <w:r w:rsidR="003565CF" w:rsidRPr="002B2470">
              <w:rPr>
                <w:rFonts w:ascii="Arial" w:eastAsia="Times New Roman" w:hAnsi="Arial" w:cs="Arial"/>
                <w:b/>
                <w:bCs/>
                <w:color w:val="000000"/>
                <w:lang w:val="mk-MK"/>
              </w:rPr>
              <w:t>Н</w:t>
            </w:r>
            <w:r w:rsidRPr="0038361F">
              <w:rPr>
                <w:rFonts w:ascii="Arial" w:eastAsia="Times New Roman" w:hAnsi="Arial" w:cs="Arial"/>
                <w:b/>
                <w:bCs/>
                <w:color w:val="000000"/>
                <w:lang w:val="mk-MK"/>
              </w:rPr>
              <w:t>+4</w:t>
            </w:r>
          </w:p>
        </w:tc>
      </w:tr>
      <w:tr w:rsidR="00CC620D" w:rsidRPr="002B2470" w:rsidTr="0019564C">
        <w:trPr>
          <w:trHeight w:val="300"/>
        </w:trPr>
        <w:tc>
          <w:tcPr>
            <w:tcW w:w="1236" w:type="dxa"/>
            <w:shd w:val="clear" w:color="EBF1DE" w:fill="EEECE1"/>
          </w:tcPr>
          <w:p w:rsidR="00CC620D" w:rsidRPr="0038361F" w:rsidRDefault="00CC620D" w:rsidP="003565CF">
            <w:pPr>
              <w:spacing w:after="0" w:line="240" w:lineRule="auto"/>
              <w:jc w:val="center"/>
              <w:rPr>
                <w:rFonts w:ascii="Arial" w:eastAsia="Times New Roman" w:hAnsi="Arial" w:cs="Arial"/>
                <w:b/>
                <w:bCs/>
                <w:color w:val="000000"/>
                <w:lang w:val="mk-MK"/>
              </w:rPr>
            </w:pPr>
            <w:r w:rsidRPr="0038361F">
              <w:rPr>
                <w:rFonts w:ascii="Arial" w:eastAsia="Times New Roman" w:hAnsi="Arial" w:cs="Arial"/>
                <w:b/>
                <w:bCs/>
                <w:color w:val="000000"/>
                <w:lang w:val="mk-MK"/>
              </w:rPr>
              <w:t>Р</w:t>
            </w:r>
            <w:r w:rsidR="003565CF" w:rsidRPr="002B2470">
              <w:rPr>
                <w:rFonts w:ascii="Arial" w:eastAsia="Times New Roman" w:hAnsi="Arial" w:cs="Arial"/>
                <w:b/>
                <w:bCs/>
                <w:color w:val="000000"/>
                <w:lang w:val="mk-MK"/>
              </w:rPr>
              <w:t>ед</w:t>
            </w:r>
            <w:r w:rsidRPr="0038361F">
              <w:rPr>
                <w:rFonts w:ascii="Arial" w:eastAsia="Times New Roman" w:hAnsi="Arial" w:cs="Arial"/>
                <w:b/>
                <w:bCs/>
                <w:color w:val="000000"/>
                <w:lang w:val="mk-MK"/>
              </w:rPr>
              <w:t>.бр.</w:t>
            </w:r>
          </w:p>
        </w:tc>
        <w:tc>
          <w:tcPr>
            <w:tcW w:w="4961" w:type="dxa"/>
            <w:shd w:val="clear" w:color="EBF1DE" w:fill="EEECE1"/>
            <w:vAlign w:val="bottom"/>
            <w:hideMark/>
          </w:tcPr>
          <w:p w:rsidR="00CC620D" w:rsidRPr="0038361F" w:rsidRDefault="00CC620D" w:rsidP="003565CF">
            <w:pPr>
              <w:spacing w:after="0" w:line="240" w:lineRule="auto"/>
              <w:jc w:val="center"/>
              <w:rPr>
                <w:rFonts w:ascii="Arial" w:eastAsia="Times New Roman" w:hAnsi="Arial" w:cs="Arial"/>
                <w:b/>
                <w:bCs/>
                <w:color w:val="000000"/>
                <w:lang w:val="mk-MK"/>
              </w:rPr>
            </w:pPr>
            <w:r w:rsidRPr="0038361F">
              <w:rPr>
                <w:rFonts w:ascii="Arial" w:eastAsia="Times New Roman" w:hAnsi="Arial" w:cs="Arial"/>
                <w:b/>
                <w:bCs/>
                <w:color w:val="000000"/>
                <w:lang w:val="mk-MK"/>
              </w:rPr>
              <w:t>Референца</w:t>
            </w:r>
          </w:p>
        </w:tc>
        <w:tc>
          <w:tcPr>
            <w:tcW w:w="2273" w:type="dxa"/>
            <w:shd w:val="clear" w:color="EBF1DE" w:fill="EEECE1"/>
            <w:vAlign w:val="bottom"/>
            <w:hideMark/>
          </w:tcPr>
          <w:p w:rsidR="00CC620D" w:rsidRPr="002B2470" w:rsidRDefault="003565CF" w:rsidP="003565CF">
            <w:pPr>
              <w:spacing w:after="0" w:line="240" w:lineRule="auto"/>
              <w:jc w:val="center"/>
              <w:rPr>
                <w:rFonts w:ascii="Arial" w:eastAsia="Times New Roman" w:hAnsi="Arial" w:cs="Arial"/>
                <w:b/>
                <w:bCs/>
                <w:color w:val="000000"/>
                <w:lang w:val="mk-MK"/>
              </w:rPr>
            </w:pPr>
            <w:r w:rsidRPr="002B2470">
              <w:rPr>
                <w:rFonts w:ascii="Arial" w:eastAsia="Times New Roman" w:hAnsi="Arial" w:cs="Arial"/>
                <w:b/>
                <w:bCs/>
                <w:color w:val="000000"/>
                <w:lang w:val="mk-MK"/>
              </w:rPr>
              <w:t>ЕУ придонес во</w:t>
            </w:r>
            <w:r w:rsidR="00CC620D" w:rsidRPr="0038361F">
              <w:rPr>
                <w:rFonts w:ascii="Arial" w:eastAsia="Times New Roman" w:hAnsi="Arial" w:cs="Arial"/>
                <w:b/>
                <w:bCs/>
                <w:color w:val="000000"/>
                <w:lang w:val="mk-MK"/>
              </w:rPr>
              <w:t xml:space="preserve"> </w:t>
            </w:r>
            <w:r w:rsidR="00351465" w:rsidRPr="002B2470">
              <w:rPr>
                <w:rFonts w:ascii="Arial" w:eastAsia="Times New Roman" w:hAnsi="Arial" w:cs="Arial"/>
                <w:b/>
                <w:bCs/>
                <w:color w:val="000000"/>
                <w:lang w:val="mk-MK"/>
              </w:rPr>
              <w:t>(</w:t>
            </w:r>
            <w:r w:rsidR="00CC620D" w:rsidRPr="0038361F">
              <w:rPr>
                <w:rFonts w:ascii="Arial" w:eastAsia="Times New Roman" w:hAnsi="Arial" w:cs="Arial"/>
                <w:b/>
                <w:bCs/>
                <w:color w:val="000000"/>
                <w:lang w:val="mk-MK"/>
              </w:rPr>
              <w:t>€</w:t>
            </w:r>
            <w:r w:rsidR="00351465" w:rsidRPr="002B2470">
              <w:rPr>
                <w:rFonts w:ascii="Arial" w:eastAsia="Times New Roman" w:hAnsi="Arial" w:cs="Arial"/>
                <w:b/>
                <w:bCs/>
                <w:color w:val="000000"/>
                <w:lang w:val="mk-MK"/>
              </w:rPr>
              <w:t>)</w:t>
            </w:r>
          </w:p>
        </w:tc>
      </w:tr>
      <w:tr w:rsidR="00CC620D" w:rsidRPr="002B2470" w:rsidTr="0019564C">
        <w:trPr>
          <w:trHeight w:val="300"/>
        </w:trPr>
        <w:tc>
          <w:tcPr>
            <w:tcW w:w="1236" w:type="dxa"/>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1.</w:t>
            </w:r>
          </w:p>
        </w:tc>
        <w:tc>
          <w:tcPr>
            <w:tcW w:w="4961" w:type="dxa"/>
            <w:shd w:val="clear" w:color="auto" w:fill="auto"/>
            <w:vAlign w:val="bottom"/>
            <w:hideMark/>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Финансиски алокации</w:t>
            </w:r>
          </w:p>
        </w:tc>
        <w:tc>
          <w:tcPr>
            <w:tcW w:w="2273" w:type="dxa"/>
            <w:shd w:val="clear" w:color="auto" w:fill="auto"/>
            <w:noWrap/>
            <w:vAlign w:val="bottom"/>
            <w:hideMark/>
          </w:tcPr>
          <w:p w:rsidR="00CC620D" w:rsidRPr="0038361F" w:rsidRDefault="00CC620D" w:rsidP="00373662">
            <w:pPr>
              <w:spacing w:after="0" w:line="240" w:lineRule="auto"/>
              <w:jc w:val="right"/>
              <w:rPr>
                <w:rFonts w:ascii="Arial" w:eastAsia="Times New Roman" w:hAnsi="Arial" w:cs="Arial"/>
                <w:color w:val="000000"/>
                <w:lang w:val="mk-MK"/>
              </w:rPr>
            </w:pPr>
            <w:r w:rsidRPr="0038361F">
              <w:rPr>
                <w:rFonts w:ascii="Arial" w:eastAsia="Times New Roman" w:hAnsi="Arial" w:cs="Arial"/>
                <w:color w:val="000000"/>
                <w:lang w:val="mk-MK"/>
              </w:rPr>
              <w:t>15</w:t>
            </w:r>
            <w:r w:rsidR="00373662">
              <w:rPr>
                <w:rFonts w:ascii="Arial" w:eastAsia="Times New Roman" w:hAnsi="Arial" w:cs="Arial"/>
                <w:color w:val="000000"/>
                <w:lang w:val="mk-MK"/>
              </w:rPr>
              <w:t>.</w:t>
            </w:r>
            <w:r w:rsidRPr="0038361F">
              <w:rPr>
                <w:rFonts w:ascii="Arial" w:eastAsia="Times New Roman" w:hAnsi="Arial" w:cs="Arial"/>
                <w:color w:val="000000"/>
                <w:lang w:val="mk-MK"/>
              </w:rPr>
              <w:t>000</w:t>
            </w:r>
            <w:r w:rsidR="00373662">
              <w:rPr>
                <w:rFonts w:ascii="Arial" w:eastAsia="Times New Roman" w:hAnsi="Arial" w:cs="Arial"/>
                <w:color w:val="000000"/>
                <w:lang w:val="mk-MK"/>
              </w:rPr>
              <w:t>.</w:t>
            </w:r>
            <w:r w:rsidRPr="0038361F">
              <w:rPr>
                <w:rFonts w:ascii="Arial" w:eastAsia="Times New Roman" w:hAnsi="Arial" w:cs="Arial"/>
                <w:color w:val="000000"/>
                <w:lang w:val="mk-MK"/>
              </w:rPr>
              <w:t>000</w:t>
            </w:r>
            <w:r w:rsidR="00373662">
              <w:rPr>
                <w:rFonts w:ascii="Arial" w:eastAsia="Times New Roman" w:hAnsi="Arial" w:cs="Arial"/>
                <w:color w:val="000000"/>
                <w:lang w:val="mk-MK"/>
              </w:rPr>
              <w:t>,</w:t>
            </w:r>
            <w:r w:rsidRPr="0038361F">
              <w:rPr>
                <w:rFonts w:ascii="Arial" w:eastAsia="Times New Roman" w:hAnsi="Arial" w:cs="Arial"/>
                <w:color w:val="000000"/>
                <w:lang w:val="mk-MK"/>
              </w:rPr>
              <w:t>00</w:t>
            </w:r>
          </w:p>
        </w:tc>
      </w:tr>
      <w:tr w:rsidR="00CC620D" w:rsidRPr="002B2470" w:rsidTr="0019564C">
        <w:trPr>
          <w:trHeight w:val="343"/>
        </w:trPr>
        <w:tc>
          <w:tcPr>
            <w:tcW w:w="1236" w:type="dxa"/>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2.</w:t>
            </w:r>
          </w:p>
        </w:tc>
        <w:tc>
          <w:tcPr>
            <w:tcW w:w="4961" w:type="dxa"/>
            <w:shd w:val="clear" w:color="auto" w:fill="auto"/>
            <w:vAlign w:val="bottom"/>
            <w:hideMark/>
          </w:tcPr>
          <w:p w:rsidR="00CC620D" w:rsidRPr="0038361F" w:rsidRDefault="00CC620D" w:rsidP="00373662">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 xml:space="preserve">Добиени средства како предфинансирање </w:t>
            </w:r>
          </w:p>
        </w:tc>
        <w:tc>
          <w:tcPr>
            <w:tcW w:w="2273" w:type="dxa"/>
            <w:shd w:val="clear" w:color="auto" w:fill="auto"/>
            <w:noWrap/>
            <w:vAlign w:val="bottom"/>
            <w:hideMark/>
          </w:tcPr>
          <w:p w:rsidR="00CC620D" w:rsidRPr="0038361F" w:rsidRDefault="00CC620D" w:rsidP="003565CF">
            <w:pPr>
              <w:spacing w:after="0" w:line="240" w:lineRule="auto"/>
              <w:jc w:val="right"/>
              <w:rPr>
                <w:rFonts w:ascii="Arial" w:eastAsia="Times New Roman" w:hAnsi="Arial" w:cs="Arial"/>
                <w:color w:val="000000"/>
                <w:lang w:val="mk-MK"/>
              </w:rPr>
            </w:pPr>
            <w:r w:rsidRPr="0038361F">
              <w:rPr>
                <w:rFonts w:ascii="Arial" w:eastAsia="Times New Roman" w:hAnsi="Arial" w:cs="Arial"/>
                <w:color w:val="000000"/>
                <w:lang w:val="mk-MK"/>
              </w:rPr>
              <w:t>6</w:t>
            </w:r>
            <w:r w:rsidR="00373662">
              <w:rPr>
                <w:rFonts w:ascii="Arial" w:eastAsia="Times New Roman" w:hAnsi="Arial" w:cs="Arial"/>
                <w:color w:val="000000"/>
                <w:lang w:val="mk-MK"/>
              </w:rPr>
              <w:t>.</w:t>
            </w:r>
            <w:r w:rsidRPr="0038361F">
              <w:rPr>
                <w:rFonts w:ascii="Arial" w:eastAsia="Times New Roman" w:hAnsi="Arial" w:cs="Arial"/>
                <w:color w:val="000000"/>
                <w:lang w:val="mk-MK"/>
              </w:rPr>
              <w:t>300</w:t>
            </w:r>
            <w:r w:rsidR="00373662">
              <w:rPr>
                <w:rFonts w:ascii="Arial" w:eastAsia="Times New Roman" w:hAnsi="Arial" w:cs="Arial"/>
                <w:color w:val="000000"/>
                <w:lang w:val="mk-MK"/>
              </w:rPr>
              <w:t>.</w:t>
            </w:r>
            <w:r w:rsidRPr="0038361F">
              <w:rPr>
                <w:rFonts w:ascii="Arial" w:eastAsia="Times New Roman" w:hAnsi="Arial" w:cs="Arial"/>
                <w:color w:val="000000"/>
                <w:lang w:val="mk-MK"/>
              </w:rPr>
              <w:t>000</w:t>
            </w:r>
            <w:r w:rsidR="00373662">
              <w:rPr>
                <w:rFonts w:ascii="Arial" w:eastAsia="Times New Roman" w:hAnsi="Arial" w:cs="Arial"/>
                <w:color w:val="000000"/>
                <w:lang w:val="mk-MK"/>
              </w:rPr>
              <w:t>,</w:t>
            </w:r>
            <w:r w:rsidRPr="0038361F">
              <w:rPr>
                <w:rFonts w:ascii="Arial" w:eastAsia="Times New Roman" w:hAnsi="Arial" w:cs="Arial"/>
                <w:color w:val="000000"/>
                <w:lang w:val="mk-MK"/>
              </w:rPr>
              <w:t>00</w:t>
            </w:r>
          </w:p>
        </w:tc>
      </w:tr>
      <w:tr w:rsidR="00CC620D" w:rsidRPr="002B2470" w:rsidTr="0019564C">
        <w:trPr>
          <w:trHeight w:val="300"/>
        </w:trPr>
        <w:tc>
          <w:tcPr>
            <w:tcW w:w="1236" w:type="dxa"/>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3.</w:t>
            </w:r>
          </w:p>
        </w:tc>
        <w:tc>
          <w:tcPr>
            <w:tcW w:w="4961" w:type="dxa"/>
            <w:shd w:val="clear" w:color="auto" w:fill="auto"/>
            <w:noWrap/>
            <w:vAlign w:val="bottom"/>
            <w:hideMark/>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Вкупно исплати до 23.04.2019</w:t>
            </w:r>
          </w:p>
        </w:tc>
        <w:tc>
          <w:tcPr>
            <w:tcW w:w="2273" w:type="dxa"/>
            <w:shd w:val="clear" w:color="auto" w:fill="auto"/>
            <w:noWrap/>
            <w:vAlign w:val="bottom"/>
            <w:hideMark/>
          </w:tcPr>
          <w:p w:rsidR="00CC620D" w:rsidRPr="0038361F" w:rsidRDefault="00CC620D" w:rsidP="003565CF">
            <w:pPr>
              <w:spacing w:after="0" w:line="240" w:lineRule="auto"/>
              <w:jc w:val="right"/>
              <w:rPr>
                <w:rFonts w:ascii="Arial" w:eastAsia="Times New Roman" w:hAnsi="Arial" w:cs="Arial"/>
                <w:color w:val="000000"/>
                <w:lang w:val="mk-MK"/>
              </w:rPr>
            </w:pPr>
            <w:r w:rsidRPr="0038361F">
              <w:rPr>
                <w:rFonts w:ascii="Arial" w:eastAsia="Times New Roman" w:hAnsi="Arial" w:cs="Arial"/>
                <w:color w:val="000000"/>
                <w:lang w:val="mk-MK"/>
              </w:rPr>
              <w:t>1</w:t>
            </w:r>
            <w:r w:rsidR="00373662">
              <w:rPr>
                <w:rFonts w:ascii="Arial" w:eastAsia="Times New Roman" w:hAnsi="Arial" w:cs="Arial"/>
                <w:color w:val="000000"/>
                <w:lang w:val="mk-MK"/>
              </w:rPr>
              <w:t>.</w:t>
            </w:r>
            <w:r w:rsidRPr="0038361F">
              <w:rPr>
                <w:rFonts w:ascii="Arial" w:eastAsia="Times New Roman" w:hAnsi="Arial" w:cs="Arial"/>
                <w:color w:val="000000"/>
                <w:lang w:val="mk-MK"/>
              </w:rPr>
              <w:t>675</w:t>
            </w:r>
            <w:r w:rsidR="00373662">
              <w:rPr>
                <w:rFonts w:ascii="Arial" w:eastAsia="Times New Roman" w:hAnsi="Arial" w:cs="Arial"/>
                <w:color w:val="000000"/>
                <w:lang w:val="mk-MK"/>
              </w:rPr>
              <w:t>.</w:t>
            </w:r>
            <w:r w:rsidRPr="0038361F">
              <w:rPr>
                <w:rFonts w:ascii="Arial" w:eastAsia="Times New Roman" w:hAnsi="Arial" w:cs="Arial"/>
                <w:color w:val="000000"/>
                <w:lang w:val="mk-MK"/>
              </w:rPr>
              <w:t>412</w:t>
            </w:r>
            <w:r w:rsidR="00373662">
              <w:rPr>
                <w:rFonts w:ascii="Arial" w:eastAsia="Times New Roman" w:hAnsi="Arial" w:cs="Arial"/>
                <w:color w:val="000000"/>
                <w:lang w:val="mk-MK"/>
              </w:rPr>
              <w:t>,</w:t>
            </w:r>
            <w:r w:rsidRPr="0038361F">
              <w:rPr>
                <w:rFonts w:ascii="Arial" w:eastAsia="Times New Roman" w:hAnsi="Arial" w:cs="Arial"/>
                <w:color w:val="000000"/>
                <w:lang w:val="mk-MK"/>
              </w:rPr>
              <w:t>01</w:t>
            </w:r>
          </w:p>
        </w:tc>
      </w:tr>
      <w:tr w:rsidR="00CC620D" w:rsidRPr="002B2470" w:rsidTr="0019564C">
        <w:trPr>
          <w:trHeight w:val="300"/>
        </w:trPr>
        <w:tc>
          <w:tcPr>
            <w:tcW w:w="1236" w:type="dxa"/>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4.</w:t>
            </w:r>
          </w:p>
        </w:tc>
        <w:tc>
          <w:tcPr>
            <w:tcW w:w="4961" w:type="dxa"/>
            <w:shd w:val="clear" w:color="auto" w:fill="auto"/>
            <w:noWrap/>
            <w:vAlign w:val="bottom"/>
            <w:hideMark/>
          </w:tcPr>
          <w:p w:rsidR="00CC620D" w:rsidRPr="0038361F" w:rsidRDefault="00CC620D" w:rsidP="003565CF">
            <w:pPr>
              <w:spacing w:after="0" w:line="240" w:lineRule="auto"/>
              <w:rPr>
                <w:rFonts w:ascii="Arial" w:eastAsia="Times New Roman" w:hAnsi="Arial" w:cs="Arial"/>
                <w:color w:val="000000"/>
                <w:lang w:val="mk-MK"/>
              </w:rPr>
            </w:pPr>
            <w:r w:rsidRPr="0038361F">
              <w:rPr>
                <w:rFonts w:ascii="Arial" w:eastAsia="Times New Roman" w:hAnsi="Arial" w:cs="Arial"/>
                <w:color w:val="000000"/>
                <w:lang w:val="mk-MK"/>
              </w:rPr>
              <w:t>Планирани исплати до крајот на 2019</w:t>
            </w:r>
          </w:p>
        </w:tc>
        <w:tc>
          <w:tcPr>
            <w:tcW w:w="2273" w:type="dxa"/>
            <w:shd w:val="clear" w:color="auto" w:fill="auto"/>
            <w:noWrap/>
            <w:vAlign w:val="bottom"/>
            <w:hideMark/>
          </w:tcPr>
          <w:p w:rsidR="00CC620D" w:rsidRPr="0038361F" w:rsidRDefault="00CC620D" w:rsidP="003565CF">
            <w:pPr>
              <w:spacing w:after="0" w:line="240" w:lineRule="auto"/>
              <w:jc w:val="right"/>
              <w:rPr>
                <w:rFonts w:ascii="Arial" w:eastAsia="Times New Roman" w:hAnsi="Arial" w:cs="Arial"/>
                <w:color w:val="000000"/>
                <w:lang w:val="mk-MK"/>
              </w:rPr>
            </w:pPr>
            <w:r w:rsidRPr="0038361F">
              <w:rPr>
                <w:rFonts w:ascii="Arial" w:eastAsia="Times New Roman" w:hAnsi="Arial" w:cs="Arial"/>
                <w:color w:val="000000"/>
                <w:lang w:val="mk-MK"/>
              </w:rPr>
              <w:t>10</w:t>
            </w:r>
            <w:r w:rsidR="00373662">
              <w:rPr>
                <w:rFonts w:ascii="Arial" w:eastAsia="Times New Roman" w:hAnsi="Arial" w:cs="Arial"/>
                <w:color w:val="000000"/>
                <w:lang w:val="mk-MK"/>
              </w:rPr>
              <w:t>.</w:t>
            </w:r>
            <w:r w:rsidRPr="0038361F">
              <w:rPr>
                <w:rFonts w:ascii="Arial" w:eastAsia="Times New Roman" w:hAnsi="Arial" w:cs="Arial"/>
                <w:color w:val="000000"/>
                <w:lang w:val="mk-MK"/>
              </w:rPr>
              <w:t>577</w:t>
            </w:r>
            <w:r w:rsidR="00373662">
              <w:rPr>
                <w:rFonts w:ascii="Arial" w:eastAsia="Times New Roman" w:hAnsi="Arial" w:cs="Arial"/>
                <w:color w:val="000000"/>
                <w:lang w:val="mk-MK"/>
              </w:rPr>
              <w:t>.</w:t>
            </w:r>
            <w:r w:rsidRPr="0038361F">
              <w:rPr>
                <w:rFonts w:ascii="Arial" w:eastAsia="Times New Roman" w:hAnsi="Arial" w:cs="Arial"/>
                <w:color w:val="000000"/>
                <w:lang w:val="mk-MK"/>
              </w:rPr>
              <w:t>376</w:t>
            </w:r>
            <w:r w:rsidR="00373662">
              <w:rPr>
                <w:rFonts w:ascii="Arial" w:eastAsia="Times New Roman" w:hAnsi="Arial" w:cs="Arial"/>
                <w:color w:val="000000"/>
                <w:lang w:val="mk-MK"/>
              </w:rPr>
              <w:t>,</w:t>
            </w:r>
            <w:r w:rsidRPr="0038361F">
              <w:rPr>
                <w:rFonts w:ascii="Arial" w:eastAsia="Times New Roman" w:hAnsi="Arial" w:cs="Arial"/>
                <w:color w:val="000000"/>
                <w:lang w:val="mk-MK"/>
              </w:rPr>
              <w:t>09</w:t>
            </w:r>
          </w:p>
        </w:tc>
      </w:tr>
      <w:tr w:rsidR="00CC620D" w:rsidRPr="002B2470" w:rsidTr="0019564C">
        <w:trPr>
          <w:trHeight w:val="300"/>
        </w:trPr>
        <w:tc>
          <w:tcPr>
            <w:tcW w:w="1236" w:type="dxa"/>
            <w:shd w:val="clear" w:color="auto" w:fill="auto"/>
          </w:tcPr>
          <w:p w:rsidR="00CC620D" w:rsidRPr="0038361F" w:rsidRDefault="00CC620D" w:rsidP="003565CF">
            <w:pPr>
              <w:spacing w:after="0" w:line="240" w:lineRule="auto"/>
              <w:rPr>
                <w:rFonts w:ascii="Arial" w:eastAsia="Times New Roman" w:hAnsi="Arial" w:cs="Arial"/>
                <w:b/>
                <w:bCs/>
                <w:color w:val="000000"/>
                <w:lang w:val="mk-MK"/>
              </w:rPr>
            </w:pPr>
            <w:r w:rsidRPr="0038361F">
              <w:rPr>
                <w:rFonts w:ascii="Arial" w:eastAsia="Times New Roman" w:hAnsi="Arial" w:cs="Arial"/>
                <w:color w:val="000000"/>
                <w:lang w:val="mk-MK"/>
              </w:rPr>
              <w:t>5=1-2-3-4</w:t>
            </w:r>
          </w:p>
        </w:tc>
        <w:tc>
          <w:tcPr>
            <w:tcW w:w="4961" w:type="dxa"/>
            <w:shd w:val="clear" w:color="auto" w:fill="auto"/>
            <w:noWrap/>
            <w:vAlign w:val="bottom"/>
            <w:hideMark/>
          </w:tcPr>
          <w:p w:rsidR="00CC620D" w:rsidRPr="0038361F" w:rsidRDefault="00CC620D" w:rsidP="003565CF">
            <w:pPr>
              <w:spacing w:after="0" w:line="240" w:lineRule="auto"/>
              <w:rPr>
                <w:rFonts w:ascii="Arial" w:eastAsia="Times New Roman" w:hAnsi="Arial" w:cs="Arial"/>
                <w:b/>
                <w:bCs/>
                <w:color w:val="000000"/>
                <w:lang w:val="mk-MK"/>
              </w:rPr>
            </w:pPr>
            <w:r w:rsidRPr="0038361F">
              <w:rPr>
                <w:rFonts w:ascii="Arial" w:eastAsia="Times New Roman" w:hAnsi="Arial" w:cs="Arial"/>
                <w:b/>
                <w:bCs/>
                <w:color w:val="000000"/>
                <w:lang w:val="mk-MK"/>
              </w:rPr>
              <w:t>Нема потенцијален ризик од губење на средства на крајот на 2018</w:t>
            </w:r>
          </w:p>
        </w:tc>
        <w:tc>
          <w:tcPr>
            <w:tcW w:w="2273" w:type="dxa"/>
            <w:shd w:val="clear" w:color="auto" w:fill="auto"/>
            <w:noWrap/>
            <w:vAlign w:val="bottom"/>
            <w:hideMark/>
          </w:tcPr>
          <w:p w:rsidR="00CC620D" w:rsidRPr="0038361F" w:rsidRDefault="00CC620D" w:rsidP="003565CF">
            <w:pPr>
              <w:spacing w:after="0" w:line="240" w:lineRule="auto"/>
              <w:jc w:val="right"/>
              <w:rPr>
                <w:rFonts w:ascii="Arial" w:eastAsia="Times New Roman" w:hAnsi="Arial" w:cs="Arial"/>
                <w:b/>
                <w:color w:val="000000"/>
                <w:lang w:val="mk-MK"/>
              </w:rPr>
            </w:pPr>
          </w:p>
        </w:tc>
      </w:tr>
    </w:tbl>
    <w:p w:rsidR="00CC620D" w:rsidRPr="0038361F" w:rsidRDefault="00CC620D" w:rsidP="00CC620D">
      <w:pPr>
        <w:autoSpaceDE w:val="0"/>
        <w:autoSpaceDN w:val="0"/>
        <w:adjustRightInd w:val="0"/>
        <w:spacing w:after="0" w:line="240" w:lineRule="auto"/>
        <w:ind w:firstLine="720"/>
        <w:jc w:val="both"/>
        <w:rPr>
          <w:rFonts w:ascii="Arial" w:eastAsia="Calibri" w:hAnsi="Arial" w:cs="Arial"/>
          <w:bCs/>
          <w:iCs/>
          <w:lang w:val="mk-MK"/>
        </w:rPr>
      </w:pPr>
    </w:p>
    <w:p w:rsidR="00CC620D" w:rsidRPr="0038361F" w:rsidRDefault="003565CF" w:rsidP="009D087E">
      <w:pPr>
        <w:autoSpaceDE w:val="0"/>
        <w:autoSpaceDN w:val="0"/>
        <w:adjustRightInd w:val="0"/>
        <w:spacing w:after="0" w:line="240" w:lineRule="auto"/>
        <w:jc w:val="both"/>
        <w:rPr>
          <w:rFonts w:ascii="Arial" w:eastAsia="Calibri" w:hAnsi="Arial" w:cs="Arial"/>
          <w:bCs/>
          <w:iCs/>
          <w:lang w:val="mk-MK"/>
        </w:rPr>
      </w:pPr>
      <w:r w:rsidRPr="0038361F">
        <w:rPr>
          <w:rFonts w:ascii="Arial" w:eastAsia="Calibri" w:hAnsi="Arial" w:cs="Arial"/>
          <w:bCs/>
          <w:iCs/>
          <w:lang w:val="mk-MK"/>
        </w:rPr>
        <w:t xml:space="preserve">Сепак, може да се случи </w:t>
      </w:r>
      <w:r w:rsidRPr="0038361F">
        <w:rPr>
          <w:rFonts w:ascii="Arial" w:eastAsia="Times New Roman" w:hAnsi="Arial" w:cs="Arial"/>
          <w:lang w:val="mk-MK" w:eastAsia="mk-MK"/>
        </w:rPr>
        <w:t>потенцијален ризик за губење на средства</w:t>
      </w:r>
      <w:r w:rsidRPr="0038361F">
        <w:rPr>
          <w:rFonts w:ascii="Arial" w:eastAsia="Calibri" w:hAnsi="Arial" w:cs="Arial"/>
          <w:bCs/>
          <w:iCs/>
          <w:lang w:val="mk-MK"/>
        </w:rPr>
        <w:t xml:space="preserve"> имајќи предвид дека на крајот на годината треба да се </w:t>
      </w:r>
      <w:r w:rsidRPr="002B2470">
        <w:rPr>
          <w:rFonts w:ascii="Arial" w:eastAsia="Calibri" w:hAnsi="Arial" w:cs="Arial"/>
          <w:bCs/>
          <w:iCs/>
          <w:lang w:val="mk-MK"/>
        </w:rPr>
        <w:t>ис</w:t>
      </w:r>
      <w:r w:rsidRPr="0038361F">
        <w:rPr>
          <w:rFonts w:ascii="Arial" w:eastAsia="Calibri" w:hAnsi="Arial" w:cs="Arial"/>
          <w:bCs/>
          <w:iCs/>
          <w:lang w:val="mk-MK"/>
        </w:rPr>
        <w:t>плат</w:t>
      </w:r>
      <w:r w:rsidRPr="002B2470">
        <w:rPr>
          <w:rFonts w:ascii="Arial" w:eastAsia="Calibri" w:hAnsi="Arial" w:cs="Arial"/>
          <w:bCs/>
          <w:iCs/>
          <w:lang w:val="mk-MK"/>
        </w:rPr>
        <w:t>ат</w:t>
      </w:r>
      <w:r w:rsidRPr="0038361F">
        <w:rPr>
          <w:rFonts w:ascii="Arial" w:eastAsia="Calibri" w:hAnsi="Arial" w:cs="Arial"/>
          <w:bCs/>
          <w:iCs/>
          <w:lang w:val="mk-MK"/>
        </w:rPr>
        <w:t xml:space="preserve"> 7 милиони евра, од кои во </w:t>
      </w:r>
      <w:r w:rsidRPr="002B2470">
        <w:rPr>
          <w:rFonts w:ascii="Arial" w:eastAsia="Calibri" w:hAnsi="Arial" w:cs="Arial"/>
          <w:bCs/>
          <w:iCs/>
          <w:lang w:val="mk-MK"/>
        </w:rPr>
        <w:t>четвртиот квартал</w:t>
      </w:r>
      <w:r w:rsidRPr="0038361F">
        <w:rPr>
          <w:rFonts w:ascii="Arial" w:eastAsia="Calibri" w:hAnsi="Arial" w:cs="Arial"/>
          <w:bCs/>
          <w:iCs/>
          <w:lang w:val="mk-MK"/>
        </w:rPr>
        <w:t xml:space="preserve"> од 2019 година се планира да се </w:t>
      </w:r>
      <w:r w:rsidRPr="002B2470">
        <w:rPr>
          <w:rFonts w:ascii="Arial" w:eastAsia="Calibri" w:hAnsi="Arial" w:cs="Arial"/>
          <w:bCs/>
          <w:iCs/>
          <w:lang w:val="mk-MK"/>
        </w:rPr>
        <w:t>исплатат</w:t>
      </w:r>
      <w:r w:rsidRPr="0038361F">
        <w:rPr>
          <w:rFonts w:ascii="Arial" w:eastAsia="Calibri" w:hAnsi="Arial" w:cs="Arial"/>
          <w:bCs/>
          <w:iCs/>
          <w:lang w:val="mk-MK"/>
        </w:rPr>
        <w:t xml:space="preserve"> 3,8 милиони евра.</w:t>
      </w:r>
    </w:p>
    <w:p w:rsidR="00CC620D" w:rsidRPr="0038361F" w:rsidRDefault="00C72D5A" w:rsidP="000E151E">
      <w:pPr>
        <w:pStyle w:val="ListParagraph"/>
        <w:numPr>
          <w:ilvl w:val="1"/>
          <w:numId w:val="36"/>
        </w:numPr>
        <w:spacing w:before="120" w:after="0" w:line="240" w:lineRule="auto"/>
        <w:contextualSpacing w:val="0"/>
        <w:jc w:val="both"/>
        <w:outlineLvl w:val="1"/>
        <w:rPr>
          <w:rFonts w:ascii="Arial" w:hAnsi="Arial" w:cs="Arial"/>
          <w:b/>
          <w:lang w:val="mk-MK"/>
        </w:rPr>
      </w:pPr>
      <w:bookmarkStart w:id="77" w:name="_Toc8639878"/>
      <w:bookmarkStart w:id="78" w:name="_Toc7520963"/>
      <w:r w:rsidRPr="0038361F">
        <w:rPr>
          <w:rFonts w:ascii="Arial" w:hAnsi="Arial" w:cs="Arial"/>
          <w:b/>
          <w:lang w:val="mk-MK"/>
        </w:rPr>
        <w:t>Преземени активности на ИПАРД Агенција</w:t>
      </w:r>
      <w:bookmarkEnd w:id="77"/>
      <w:r w:rsidRPr="0038361F">
        <w:rPr>
          <w:rFonts w:ascii="Arial" w:hAnsi="Arial" w:cs="Arial"/>
          <w:b/>
          <w:lang w:val="mk-MK"/>
        </w:rPr>
        <w:t xml:space="preserve"> </w:t>
      </w:r>
      <w:bookmarkEnd w:id="78"/>
    </w:p>
    <w:p w:rsidR="00A4728F" w:rsidRPr="0038361F" w:rsidRDefault="00410356" w:rsidP="00BA6418">
      <w:pPr>
        <w:pStyle w:val="m343668044302477783m-3986873246552044066msolistparagraph"/>
        <w:spacing w:before="120" w:beforeAutospacing="0" w:after="120" w:afterAutospacing="0"/>
        <w:jc w:val="both"/>
        <w:rPr>
          <w:rFonts w:ascii="Arial" w:hAnsi="Arial" w:cs="Arial"/>
          <w:sz w:val="22"/>
          <w:szCs w:val="22"/>
          <w:lang w:val="mk-MK"/>
        </w:rPr>
      </w:pPr>
      <w:r w:rsidRPr="0038361F">
        <w:rPr>
          <w:rFonts w:ascii="Arial" w:hAnsi="Arial" w:cs="Arial"/>
          <w:lang w:val="mk-MK"/>
        </w:rPr>
        <w:t xml:space="preserve">4.3.1 </w:t>
      </w:r>
      <w:r w:rsidR="000E151E" w:rsidRPr="0038361F">
        <w:rPr>
          <w:rFonts w:ascii="Arial" w:hAnsi="Arial" w:cs="Arial"/>
          <w:lang w:val="mk-MK"/>
        </w:rPr>
        <w:t>Напредок во процесот на собирање податоци</w:t>
      </w:r>
    </w:p>
    <w:p w:rsidR="00A4728F" w:rsidRPr="002B2470" w:rsidRDefault="00A4728F" w:rsidP="00A4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согласност со одговорностите преземени од Договорот за спроведување помеѓу ТУ и ИПАРД Агенција, Агенцијата ИПАРД редовно известува за извршувањето на ИПАРД Програмата.</w:t>
      </w:r>
    </w:p>
    <w:p w:rsidR="00A4728F" w:rsidRPr="006F23FF" w:rsidRDefault="00A4728F" w:rsidP="00A4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8A22EF">
        <w:rPr>
          <w:rFonts w:ascii="Arial" w:eastAsia="Times New Roman" w:hAnsi="Arial" w:cs="Arial"/>
          <w:szCs w:val="20"/>
          <w:lang w:val="mk-MK" w:eastAsia="mk-MK"/>
        </w:rPr>
        <w:t>Размената на податоци се одвива преку табелите за следе</w:t>
      </w:r>
      <w:r w:rsidRPr="006F23FF">
        <w:rPr>
          <w:rFonts w:ascii="Arial" w:eastAsia="Times New Roman" w:hAnsi="Arial" w:cs="Arial"/>
          <w:szCs w:val="20"/>
          <w:lang w:val="mk-MK" w:eastAsia="mk-MK"/>
        </w:rPr>
        <w:t>ње и евалуација за ИПАРД Програмата, како и со други подготвени извештаи на барање на ТУ, во ко</w:t>
      </w:r>
      <w:r w:rsidR="00B71B24">
        <w:rPr>
          <w:rFonts w:ascii="Arial" w:eastAsia="Times New Roman" w:hAnsi="Arial" w:cs="Arial"/>
          <w:szCs w:val="20"/>
          <w:lang w:val="mk-MK" w:eastAsia="mk-MK"/>
        </w:rPr>
        <w:t>и</w:t>
      </w:r>
      <w:r w:rsidRPr="006F23FF">
        <w:rPr>
          <w:rFonts w:ascii="Arial" w:eastAsia="Times New Roman" w:hAnsi="Arial" w:cs="Arial"/>
          <w:szCs w:val="20"/>
          <w:lang w:val="mk-MK" w:eastAsia="mk-MK"/>
        </w:rPr>
        <w:t xml:space="preserve"> се содржани податоци кои не се вклучени во табелите, но се релевантни за извршување на Програмата.</w:t>
      </w:r>
    </w:p>
    <w:p w:rsidR="00A4728F" w:rsidRPr="002B2470" w:rsidRDefault="00A4728F" w:rsidP="00A47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2018 година,</w:t>
      </w:r>
      <w:r w:rsidR="0028010A" w:rsidRPr="002B2470">
        <w:rPr>
          <w:rFonts w:ascii="Arial" w:eastAsia="Times New Roman" w:hAnsi="Arial" w:cs="Arial"/>
          <w:szCs w:val="20"/>
          <w:lang w:val="mk-MK" w:eastAsia="mk-MK"/>
        </w:rPr>
        <w:t xml:space="preserve"> </w:t>
      </w:r>
      <w:r w:rsidRPr="002B2470">
        <w:rPr>
          <w:rFonts w:ascii="Arial" w:eastAsia="Times New Roman" w:hAnsi="Arial" w:cs="Arial"/>
          <w:szCs w:val="20"/>
          <w:lang w:val="mk-MK" w:eastAsia="mk-MK"/>
        </w:rPr>
        <w:t>ИПАРД Агенција со утврден рок до ТУ редовно ги доставува</w:t>
      </w:r>
      <w:r w:rsidR="004E592B" w:rsidRPr="002B2470">
        <w:rPr>
          <w:rFonts w:ascii="Arial" w:eastAsia="Times New Roman" w:hAnsi="Arial" w:cs="Arial"/>
          <w:szCs w:val="20"/>
          <w:lang w:val="mk-MK" w:eastAsia="mk-MK"/>
        </w:rPr>
        <w:t>ше</w:t>
      </w:r>
      <w:r w:rsidRPr="002B2470">
        <w:rPr>
          <w:rFonts w:ascii="Arial" w:eastAsia="Times New Roman" w:hAnsi="Arial" w:cs="Arial"/>
          <w:szCs w:val="20"/>
          <w:lang w:val="mk-MK" w:eastAsia="mk-MK"/>
        </w:rPr>
        <w:t xml:space="preserve"> табелите за следење за спроведување на ИПАРД Програмата, кои вклучуваат информации за физички и финансиски индикатори, извештаи од извршените контроли, идентификувани неправилности и дополнителни барања за извештаи, дефинирани во Договорот за спроведување.</w:t>
      </w:r>
    </w:p>
    <w:p w:rsidR="00A4728F" w:rsidRPr="002B2470" w:rsidRDefault="00A4728F" w:rsidP="002B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Собирањето на податоците и подго</w:t>
      </w:r>
      <w:r w:rsidR="00BB4C76" w:rsidRPr="002B2470">
        <w:rPr>
          <w:rFonts w:ascii="Arial" w:eastAsia="Times New Roman" w:hAnsi="Arial" w:cs="Arial"/>
          <w:szCs w:val="20"/>
          <w:lang w:val="mk-MK" w:eastAsia="mk-MK"/>
        </w:rPr>
        <w:t>товката на извештаи се одржува</w:t>
      </w:r>
      <w:r w:rsidRPr="002B2470">
        <w:rPr>
          <w:rFonts w:ascii="Arial" w:eastAsia="Times New Roman" w:hAnsi="Arial" w:cs="Arial"/>
          <w:szCs w:val="20"/>
          <w:lang w:val="mk-MK" w:eastAsia="mk-MK"/>
        </w:rPr>
        <w:t xml:space="preserve"> рачно во ексел</w:t>
      </w:r>
      <w:r w:rsidR="00BB4C76" w:rsidRPr="002B2470">
        <w:rPr>
          <w:rFonts w:ascii="Arial" w:eastAsia="Times New Roman" w:hAnsi="Arial" w:cs="Arial"/>
          <w:szCs w:val="20"/>
          <w:lang w:val="mk-MK" w:eastAsia="mk-MK"/>
        </w:rPr>
        <w:t xml:space="preserve"> табели</w:t>
      </w:r>
      <w:r w:rsidRPr="002B2470">
        <w:rPr>
          <w:rFonts w:ascii="Arial" w:eastAsia="Times New Roman" w:hAnsi="Arial" w:cs="Arial"/>
          <w:szCs w:val="20"/>
          <w:lang w:val="mk-MK" w:eastAsia="mk-MK"/>
        </w:rPr>
        <w:t>.</w:t>
      </w:r>
    </w:p>
    <w:p w:rsidR="00A4728F" w:rsidRPr="002B2470" w:rsidRDefault="00A4728F" w:rsidP="002B3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текот на 2018 година, Агенцијата ИПАРД ги евидентира сит</w:t>
      </w:r>
      <w:r w:rsidR="00BB4C76" w:rsidRPr="002B2470">
        <w:rPr>
          <w:rFonts w:ascii="Arial" w:eastAsia="Times New Roman" w:hAnsi="Arial" w:cs="Arial"/>
          <w:szCs w:val="20"/>
          <w:lang w:val="mk-MK" w:eastAsia="mk-MK"/>
        </w:rPr>
        <w:t>е трансакции, паралелно во ексел</w:t>
      </w:r>
      <w:r w:rsidRPr="002B2470">
        <w:rPr>
          <w:rFonts w:ascii="Arial" w:eastAsia="Times New Roman" w:hAnsi="Arial" w:cs="Arial"/>
          <w:szCs w:val="20"/>
          <w:lang w:val="mk-MK" w:eastAsia="mk-MK"/>
        </w:rPr>
        <w:t xml:space="preserve"> и SAP </w:t>
      </w:r>
      <w:r w:rsidR="004E592B" w:rsidRPr="002B2470">
        <w:rPr>
          <w:rFonts w:ascii="Arial" w:eastAsia="Times New Roman" w:hAnsi="Arial" w:cs="Arial"/>
          <w:szCs w:val="20"/>
          <w:lang w:val="mk-MK" w:eastAsia="mk-MK"/>
        </w:rPr>
        <w:t>софтверот, и рачно</w:t>
      </w:r>
      <w:r w:rsidRPr="002B2470">
        <w:rPr>
          <w:rFonts w:ascii="Arial" w:eastAsia="Times New Roman" w:hAnsi="Arial" w:cs="Arial"/>
          <w:szCs w:val="20"/>
          <w:lang w:val="mk-MK" w:eastAsia="mk-MK"/>
        </w:rPr>
        <w:t xml:space="preserve">. </w:t>
      </w:r>
      <w:r w:rsidR="002B392E" w:rsidRPr="002B2470">
        <w:rPr>
          <w:rFonts w:ascii="Arial" w:eastAsia="Times New Roman" w:hAnsi="Arial" w:cs="Arial"/>
          <w:szCs w:val="20"/>
          <w:lang w:val="mk-MK" w:eastAsia="mk-MK"/>
        </w:rPr>
        <w:t>Откако ќе се провери дека</w:t>
      </w:r>
      <w:r w:rsidR="002B2470">
        <w:rPr>
          <w:rFonts w:ascii="Arial" w:eastAsia="Times New Roman" w:hAnsi="Arial" w:cs="Arial"/>
          <w:szCs w:val="20"/>
          <w:lang w:val="mk-MK" w:eastAsia="mk-MK"/>
        </w:rPr>
        <w:t xml:space="preserve"> </w:t>
      </w:r>
      <w:r w:rsidRPr="002B2470">
        <w:rPr>
          <w:rFonts w:ascii="Arial" w:eastAsia="Times New Roman" w:hAnsi="Arial" w:cs="Arial"/>
          <w:szCs w:val="20"/>
          <w:lang w:val="mk-MK" w:eastAsia="mk-MK"/>
        </w:rPr>
        <w:t xml:space="preserve">сите извештаи што </w:t>
      </w:r>
      <w:r w:rsidR="002B392E" w:rsidRPr="002B2470">
        <w:rPr>
          <w:rFonts w:ascii="Arial" w:eastAsia="Times New Roman" w:hAnsi="Arial" w:cs="Arial"/>
          <w:szCs w:val="20"/>
          <w:lang w:val="mk-MK" w:eastAsia="mk-MK"/>
        </w:rPr>
        <w:t>одат преку</w:t>
      </w:r>
      <w:r w:rsidRPr="002B2470">
        <w:rPr>
          <w:rFonts w:ascii="Arial" w:eastAsia="Times New Roman" w:hAnsi="Arial" w:cs="Arial"/>
          <w:szCs w:val="20"/>
          <w:lang w:val="mk-MK" w:eastAsia="mk-MK"/>
        </w:rPr>
        <w:t xml:space="preserve"> SAP се точни и </w:t>
      </w:r>
      <w:r w:rsidR="00127A1E" w:rsidRPr="002B2470">
        <w:rPr>
          <w:rFonts w:ascii="Arial" w:eastAsia="Times New Roman" w:hAnsi="Arial" w:cs="Arial"/>
          <w:szCs w:val="20"/>
          <w:lang w:val="mk-MK" w:eastAsia="mk-MK"/>
        </w:rPr>
        <w:t>прецизни</w:t>
      </w:r>
      <w:r w:rsidRPr="002B2470">
        <w:rPr>
          <w:rFonts w:ascii="Arial" w:eastAsia="Times New Roman" w:hAnsi="Arial" w:cs="Arial"/>
          <w:szCs w:val="20"/>
          <w:lang w:val="mk-MK" w:eastAsia="mk-MK"/>
        </w:rPr>
        <w:t xml:space="preserve">, SAP софтверот ќе се користи како единствена алатка за сметководство во ИПАРД Агенцијата и сите финансиски индикатори ќе бидат </w:t>
      </w:r>
      <w:r w:rsidR="00B71B24">
        <w:rPr>
          <w:rFonts w:ascii="Arial" w:eastAsia="Times New Roman" w:hAnsi="Arial" w:cs="Arial"/>
          <w:szCs w:val="20"/>
          <w:lang w:val="mk-MK" w:eastAsia="mk-MK"/>
        </w:rPr>
        <w:t>из</w:t>
      </w:r>
      <w:r w:rsidRPr="002B2470">
        <w:rPr>
          <w:rFonts w:ascii="Arial" w:eastAsia="Times New Roman" w:hAnsi="Arial" w:cs="Arial"/>
          <w:szCs w:val="20"/>
          <w:lang w:val="mk-MK" w:eastAsia="mk-MK"/>
        </w:rPr>
        <w:t>влечени од системот.</w:t>
      </w:r>
    </w:p>
    <w:p w:rsidR="00167581" w:rsidRPr="0038361F" w:rsidRDefault="00410356" w:rsidP="00BA6418">
      <w:pPr>
        <w:pStyle w:val="m343668044302477783m-3986873246552044066msolistparagraph"/>
        <w:spacing w:before="120" w:beforeAutospacing="0" w:after="120" w:afterAutospacing="0"/>
        <w:jc w:val="both"/>
        <w:rPr>
          <w:rFonts w:ascii="Arial" w:hAnsi="Arial" w:cs="Arial"/>
          <w:sz w:val="22"/>
          <w:szCs w:val="22"/>
          <w:lang w:val="mk-MK"/>
        </w:rPr>
      </w:pPr>
      <w:r w:rsidRPr="0038361F">
        <w:rPr>
          <w:rFonts w:ascii="Arial" w:hAnsi="Arial" w:cs="Arial"/>
          <w:sz w:val="22"/>
          <w:szCs w:val="22"/>
          <w:lang w:val="mk-MK"/>
        </w:rPr>
        <w:t xml:space="preserve">4.3.2 </w:t>
      </w:r>
      <w:r w:rsidR="00BA6418" w:rsidRPr="0038361F">
        <w:rPr>
          <w:rFonts w:ascii="Arial" w:hAnsi="Arial" w:cs="Arial"/>
          <w:sz w:val="22"/>
          <w:szCs w:val="22"/>
          <w:lang w:val="mk-MK"/>
        </w:rPr>
        <w:t>Резиме од следење на договорите</w:t>
      </w:r>
    </w:p>
    <w:p w:rsidR="0028010A" w:rsidRPr="002B2470" w:rsidRDefault="0028010A"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однос на спроведувањето на ИПАРД Програмата 2014-2020, во 2018 година ИПАРД Агенцијата потпиша договори за 935 апликации во износ од 13.076.910 €.</w:t>
      </w:r>
    </w:p>
    <w:p w:rsidR="0028010A" w:rsidRPr="002B2470" w:rsidRDefault="0028010A"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За Јавниот повик 01/2017 ИПАРД Агенција потпиша договор за 902 барања од </w:t>
      </w:r>
      <w:r w:rsidR="0042114C">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ерката 1 во износ од 8.127.123 евра и 30 договори за </w:t>
      </w:r>
      <w:r w:rsidR="0042114C">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ерката 3 во износ од 4.942.889 € и 3 договори за </w:t>
      </w:r>
      <w:r w:rsidR="0042114C">
        <w:rPr>
          <w:rFonts w:ascii="Arial" w:eastAsia="Times New Roman" w:hAnsi="Arial" w:cs="Arial"/>
          <w:szCs w:val="20"/>
          <w:lang w:val="mk-MK" w:eastAsia="mk-MK"/>
        </w:rPr>
        <w:t>М</w:t>
      </w:r>
      <w:r w:rsidRPr="002B2470">
        <w:rPr>
          <w:rFonts w:ascii="Arial" w:eastAsia="Times New Roman" w:hAnsi="Arial" w:cs="Arial"/>
          <w:szCs w:val="20"/>
          <w:lang w:val="mk-MK" w:eastAsia="mk-MK"/>
        </w:rPr>
        <w:t>ерка 9 во износот 3.836,5 €.</w:t>
      </w:r>
    </w:p>
    <w:p w:rsidR="0028010A" w:rsidRPr="002B2470" w:rsidRDefault="0028010A"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т</w:t>
      </w:r>
      <w:r w:rsidR="00D80E30" w:rsidRPr="002B2470">
        <w:rPr>
          <w:rFonts w:ascii="Arial" w:eastAsia="Times New Roman" w:hAnsi="Arial" w:cs="Arial"/>
          <w:szCs w:val="20"/>
          <w:lang w:val="mk-MK" w:eastAsia="mk-MK"/>
        </w:rPr>
        <w:t xml:space="preserve">екот на 2018 година, </w:t>
      </w:r>
      <w:r w:rsidRPr="002B2470">
        <w:rPr>
          <w:rFonts w:ascii="Arial" w:eastAsia="Times New Roman" w:hAnsi="Arial" w:cs="Arial"/>
          <w:szCs w:val="20"/>
          <w:lang w:val="mk-MK" w:eastAsia="mk-MK"/>
        </w:rPr>
        <w:t xml:space="preserve">ИПАРД </w:t>
      </w:r>
      <w:r w:rsidR="0037189E" w:rsidRPr="002B2470">
        <w:rPr>
          <w:rFonts w:ascii="Arial" w:eastAsia="Times New Roman" w:hAnsi="Arial" w:cs="Arial"/>
          <w:szCs w:val="20"/>
          <w:lang w:val="mk-MK" w:eastAsia="mk-MK"/>
        </w:rPr>
        <w:t>Аген</w:t>
      </w:r>
      <w:r w:rsidR="00D80E30" w:rsidRPr="002B2470">
        <w:rPr>
          <w:rFonts w:ascii="Arial" w:eastAsia="Times New Roman" w:hAnsi="Arial" w:cs="Arial"/>
          <w:szCs w:val="20"/>
          <w:lang w:val="mk-MK" w:eastAsia="mk-MK"/>
        </w:rPr>
        <w:t>ц</w:t>
      </w:r>
      <w:r w:rsidR="0037189E" w:rsidRPr="002B2470">
        <w:rPr>
          <w:rFonts w:ascii="Arial" w:eastAsia="Times New Roman" w:hAnsi="Arial" w:cs="Arial"/>
          <w:szCs w:val="20"/>
          <w:lang w:val="mk-MK" w:eastAsia="mk-MK"/>
        </w:rPr>
        <w:t>и</w:t>
      </w:r>
      <w:r w:rsidR="00D80E30" w:rsidRPr="002B2470">
        <w:rPr>
          <w:rFonts w:ascii="Arial" w:eastAsia="Times New Roman" w:hAnsi="Arial" w:cs="Arial"/>
          <w:szCs w:val="20"/>
          <w:lang w:val="mk-MK" w:eastAsia="mk-MK"/>
        </w:rPr>
        <w:t>ја</w:t>
      </w:r>
      <w:r w:rsidR="0042114C">
        <w:rPr>
          <w:rFonts w:ascii="Arial" w:eastAsia="Times New Roman" w:hAnsi="Arial" w:cs="Arial"/>
          <w:szCs w:val="20"/>
          <w:lang w:val="mk-MK" w:eastAsia="mk-MK"/>
        </w:rPr>
        <w:t>та</w:t>
      </w:r>
      <w:r w:rsidR="00D80E30" w:rsidRPr="002B2470">
        <w:rPr>
          <w:rFonts w:ascii="Arial" w:eastAsia="Times New Roman" w:hAnsi="Arial" w:cs="Arial"/>
          <w:szCs w:val="20"/>
          <w:lang w:val="mk-MK" w:eastAsia="mk-MK"/>
        </w:rPr>
        <w:t xml:space="preserve"> </w:t>
      </w:r>
      <w:r w:rsidRPr="002B2470">
        <w:rPr>
          <w:rFonts w:ascii="Arial" w:eastAsia="Times New Roman" w:hAnsi="Arial" w:cs="Arial"/>
          <w:szCs w:val="20"/>
          <w:lang w:val="mk-MK" w:eastAsia="mk-MK"/>
        </w:rPr>
        <w:t>објави јавни повици за мерки во рамките на ИПАРД Програмата</w:t>
      </w:r>
      <w:r w:rsidR="00D80E30" w:rsidRPr="002B2470">
        <w:rPr>
          <w:rFonts w:ascii="Arial" w:eastAsia="Times New Roman" w:hAnsi="Arial" w:cs="Arial"/>
          <w:szCs w:val="20"/>
          <w:lang w:val="mk-MK" w:eastAsia="mk-MK"/>
        </w:rPr>
        <w:t>.</w:t>
      </w:r>
    </w:p>
    <w:p w:rsidR="0028010A" w:rsidRPr="008A22EF" w:rsidRDefault="00D80E30"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На</w:t>
      </w:r>
      <w:r w:rsidR="002B2470">
        <w:rPr>
          <w:rFonts w:ascii="Arial" w:eastAsia="Times New Roman" w:hAnsi="Arial" w:cs="Arial"/>
          <w:szCs w:val="20"/>
          <w:lang w:val="mk-MK" w:eastAsia="mk-MK"/>
        </w:rPr>
        <w:t xml:space="preserve"> </w:t>
      </w:r>
      <w:r w:rsidR="0028010A" w:rsidRPr="002B2470">
        <w:rPr>
          <w:rFonts w:ascii="Arial" w:eastAsia="Times New Roman" w:hAnsi="Arial" w:cs="Arial"/>
          <w:szCs w:val="20"/>
          <w:lang w:val="mk-MK" w:eastAsia="mk-MK"/>
        </w:rPr>
        <w:t>30.11.2018 година</w:t>
      </w:r>
      <w:r w:rsidR="00167581" w:rsidRPr="002B2470">
        <w:rPr>
          <w:rFonts w:ascii="Arial" w:eastAsia="Times New Roman" w:hAnsi="Arial" w:cs="Arial"/>
          <w:szCs w:val="20"/>
          <w:lang w:val="mk-MK" w:eastAsia="mk-MK"/>
        </w:rPr>
        <w:t xml:space="preserve"> беше објавен</w:t>
      </w:r>
      <w:r w:rsidR="0028010A" w:rsidRPr="002B2470">
        <w:rPr>
          <w:rFonts w:ascii="Arial" w:eastAsia="Times New Roman" w:hAnsi="Arial" w:cs="Arial"/>
          <w:szCs w:val="20"/>
          <w:lang w:val="mk-MK" w:eastAsia="mk-MK"/>
        </w:rPr>
        <w:t xml:space="preserve"> јавн</w:t>
      </w:r>
      <w:r w:rsidR="00FC44F7" w:rsidRPr="002B2470">
        <w:rPr>
          <w:rFonts w:ascii="Arial" w:eastAsia="Times New Roman" w:hAnsi="Arial" w:cs="Arial"/>
          <w:szCs w:val="20"/>
          <w:lang w:val="mk-MK" w:eastAsia="mk-MK"/>
        </w:rPr>
        <w:t xml:space="preserve">иот повик за ИПАРД II за </w:t>
      </w:r>
      <w:r w:rsidR="0042114C">
        <w:rPr>
          <w:rFonts w:ascii="Arial" w:eastAsia="Times New Roman" w:hAnsi="Arial" w:cs="Arial"/>
          <w:szCs w:val="20"/>
          <w:lang w:val="mk-MK" w:eastAsia="mk-MK"/>
        </w:rPr>
        <w:t>М</w:t>
      </w:r>
      <w:r w:rsidR="00FC44F7" w:rsidRPr="002B2470">
        <w:rPr>
          <w:rFonts w:ascii="Arial" w:eastAsia="Times New Roman" w:hAnsi="Arial" w:cs="Arial"/>
          <w:szCs w:val="20"/>
          <w:lang w:val="mk-MK" w:eastAsia="mk-MK"/>
        </w:rPr>
        <w:t>ерка 3 „</w:t>
      </w:r>
      <w:r w:rsidR="0028010A" w:rsidRPr="008A22EF">
        <w:rPr>
          <w:rFonts w:ascii="Arial" w:eastAsia="Times New Roman" w:hAnsi="Arial" w:cs="Arial"/>
          <w:szCs w:val="20"/>
          <w:lang w:val="mk-MK" w:eastAsia="mk-MK"/>
        </w:rPr>
        <w:t>Инвестиции во физички средства во врска со преработка и маркетинг на земјоделски и рибни производи</w:t>
      </w:r>
      <w:r w:rsidR="0042114C">
        <w:rPr>
          <w:rFonts w:ascii="Arial" w:eastAsia="Times New Roman" w:hAnsi="Arial" w:cs="Arial"/>
          <w:szCs w:val="20"/>
          <w:lang w:val="mk-MK" w:eastAsia="mk-MK"/>
        </w:rPr>
        <w:t>“</w:t>
      </w:r>
      <w:r w:rsidR="0042114C" w:rsidRPr="008A22EF">
        <w:rPr>
          <w:rFonts w:ascii="Arial" w:eastAsia="Times New Roman" w:hAnsi="Arial" w:cs="Arial"/>
          <w:szCs w:val="20"/>
          <w:lang w:val="mk-MK" w:eastAsia="mk-MK"/>
        </w:rPr>
        <w:t>.</w:t>
      </w:r>
    </w:p>
    <w:p w:rsidR="0028010A" w:rsidRPr="002B2470" w:rsidRDefault="0028010A"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Во 26.12.2018 година </w:t>
      </w:r>
      <w:r w:rsidR="00167581" w:rsidRPr="002B2470">
        <w:rPr>
          <w:rFonts w:ascii="Arial" w:eastAsia="Times New Roman" w:hAnsi="Arial" w:cs="Arial"/>
          <w:szCs w:val="20"/>
          <w:lang w:val="mk-MK" w:eastAsia="mk-MK"/>
        </w:rPr>
        <w:t xml:space="preserve">беше објавен </w:t>
      </w:r>
      <w:r w:rsidRPr="002B2470">
        <w:rPr>
          <w:rFonts w:ascii="Arial" w:eastAsia="Times New Roman" w:hAnsi="Arial" w:cs="Arial"/>
          <w:szCs w:val="20"/>
          <w:lang w:val="mk-MK" w:eastAsia="mk-MK"/>
        </w:rPr>
        <w:t>јавн</w:t>
      </w:r>
      <w:r w:rsidR="00FC44F7" w:rsidRPr="002B2470">
        <w:rPr>
          <w:rFonts w:ascii="Arial" w:eastAsia="Times New Roman" w:hAnsi="Arial" w:cs="Arial"/>
          <w:szCs w:val="20"/>
          <w:lang w:val="mk-MK" w:eastAsia="mk-MK"/>
        </w:rPr>
        <w:t>иот повик за ИПАРД II за мерка 1 „</w:t>
      </w:r>
      <w:r w:rsidRPr="002B2470">
        <w:rPr>
          <w:rFonts w:ascii="Arial" w:eastAsia="Times New Roman" w:hAnsi="Arial" w:cs="Arial"/>
          <w:szCs w:val="20"/>
          <w:lang w:val="mk-MK" w:eastAsia="mk-MK"/>
        </w:rPr>
        <w:t>Инвестиции во физички средства на земјоделски стопанства</w:t>
      </w:r>
      <w:r w:rsidR="0042114C">
        <w:rPr>
          <w:rFonts w:ascii="Arial" w:eastAsia="Times New Roman" w:hAnsi="Arial" w:cs="Arial"/>
          <w:szCs w:val="20"/>
          <w:lang w:val="mk-MK" w:eastAsia="mk-MK"/>
        </w:rPr>
        <w:t>“</w:t>
      </w:r>
      <w:r w:rsidR="0042114C" w:rsidRPr="002B2470">
        <w:rPr>
          <w:rFonts w:ascii="Arial" w:eastAsia="Times New Roman" w:hAnsi="Arial" w:cs="Arial"/>
          <w:szCs w:val="20"/>
          <w:lang w:val="mk-MK" w:eastAsia="mk-MK"/>
        </w:rPr>
        <w:t>.</w:t>
      </w:r>
    </w:p>
    <w:p w:rsidR="0028010A" w:rsidRPr="002B2470" w:rsidRDefault="0028010A" w:rsidP="00280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lastRenderedPageBreak/>
        <w:t>Најголемиот дел од потпишани</w:t>
      </w:r>
      <w:r w:rsidR="004B726C">
        <w:rPr>
          <w:rFonts w:ascii="Arial" w:eastAsia="Times New Roman" w:hAnsi="Arial" w:cs="Arial"/>
          <w:szCs w:val="20"/>
          <w:lang w:val="mk-MK" w:eastAsia="mk-MK"/>
        </w:rPr>
        <w:t>те</w:t>
      </w:r>
      <w:r w:rsidRPr="002B2470">
        <w:rPr>
          <w:rFonts w:ascii="Arial" w:eastAsia="Times New Roman" w:hAnsi="Arial" w:cs="Arial"/>
          <w:szCs w:val="20"/>
          <w:lang w:val="mk-MK" w:eastAsia="mk-MK"/>
        </w:rPr>
        <w:t xml:space="preserve"> договор</w:t>
      </w:r>
      <w:r w:rsidR="0041092E">
        <w:rPr>
          <w:rFonts w:ascii="Arial" w:eastAsia="Times New Roman" w:hAnsi="Arial" w:cs="Arial"/>
          <w:szCs w:val="20"/>
          <w:lang w:val="mk-MK" w:eastAsia="mk-MK"/>
        </w:rPr>
        <w:t>и</w:t>
      </w:r>
      <w:r w:rsidRPr="002B2470">
        <w:rPr>
          <w:rFonts w:ascii="Arial" w:eastAsia="Times New Roman" w:hAnsi="Arial" w:cs="Arial"/>
          <w:szCs w:val="20"/>
          <w:lang w:val="mk-MK" w:eastAsia="mk-MK"/>
        </w:rPr>
        <w:t xml:space="preserve"> се однесуваше на набавка на опрема и машини кои имаат краткорочен период за спроведување на инвестицијата и затоа не се бара писмо за напредок од апликантот.</w:t>
      </w:r>
    </w:p>
    <w:p w:rsidR="005920DA" w:rsidRPr="0041092E" w:rsidRDefault="0028010A" w:rsidP="00410356">
      <w:pPr>
        <w:pStyle w:val="m343668044302477783m-3986873246552044066msolistparagraph"/>
        <w:spacing w:before="120" w:beforeAutospacing="0" w:after="0" w:afterAutospacing="0"/>
        <w:jc w:val="both"/>
        <w:rPr>
          <w:rFonts w:ascii="Arial" w:hAnsi="Arial" w:cs="Arial"/>
          <w:sz w:val="22"/>
          <w:szCs w:val="22"/>
          <w:lang w:val="mk-MK"/>
        </w:rPr>
      </w:pPr>
      <w:r w:rsidRPr="004B726C">
        <w:rPr>
          <w:rFonts w:ascii="Arial" w:eastAsia="Times New Roman" w:hAnsi="Arial" w:cs="Arial"/>
          <w:sz w:val="22"/>
          <w:szCs w:val="22"/>
          <w:lang w:val="mk-MK" w:eastAsia="mk-MK"/>
        </w:rPr>
        <w:t xml:space="preserve">Во текот на 2018 година, ИПАРД Агенцијата </w:t>
      </w:r>
      <w:r w:rsidR="0041092E">
        <w:rPr>
          <w:rFonts w:ascii="Arial" w:eastAsia="Times New Roman" w:hAnsi="Arial" w:cs="Arial"/>
          <w:sz w:val="22"/>
          <w:szCs w:val="22"/>
          <w:lang w:val="mk-MK" w:eastAsia="mk-MK"/>
        </w:rPr>
        <w:t xml:space="preserve">по </w:t>
      </w:r>
      <w:r w:rsidRPr="004B726C">
        <w:rPr>
          <w:rFonts w:ascii="Arial" w:eastAsia="Times New Roman" w:hAnsi="Arial" w:cs="Arial"/>
          <w:sz w:val="22"/>
          <w:szCs w:val="22"/>
          <w:lang w:val="mk-MK" w:eastAsia="mk-MK"/>
        </w:rPr>
        <w:t>об</w:t>
      </w:r>
      <w:r w:rsidR="00167581" w:rsidRPr="00A56613">
        <w:rPr>
          <w:rFonts w:ascii="Arial" w:eastAsia="Times New Roman" w:hAnsi="Arial" w:cs="Arial"/>
          <w:sz w:val="22"/>
          <w:szCs w:val="22"/>
          <w:lang w:val="mk-MK" w:eastAsia="mk-MK"/>
        </w:rPr>
        <w:t>јавување на повик 01/2017 д</w:t>
      </w:r>
      <w:r w:rsidR="0041092E">
        <w:rPr>
          <w:rFonts w:ascii="Arial" w:eastAsia="Times New Roman" w:hAnsi="Arial" w:cs="Arial"/>
          <w:sz w:val="22"/>
          <w:szCs w:val="22"/>
          <w:lang w:val="mk-MK" w:eastAsia="mk-MK"/>
        </w:rPr>
        <w:t>оби</w:t>
      </w:r>
      <w:r w:rsidR="00167581" w:rsidRPr="004B726C">
        <w:rPr>
          <w:rFonts w:ascii="Arial" w:eastAsia="Times New Roman" w:hAnsi="Arial" w:cs="Arial"/>
          <w:sz w:val="22"/>
          <w:szCs w:val="22"/>
          <w:lang w:val="mk-MK" w:eastAsia="mk-MK"/>
        </w:rPr>
        <w:t xml:space="preserve"> 1.651 барања за исплата</w:t>
      </w:r>
      <w:r w:rsidRPr="0041092E">
        <w:rPr>
          <w:rFonts w:ascii="Arial" w:eastAsia="Times New Roman" w:hAnsi="Arial" w:cs="Arial"/>
          <w:sz w:val="22"/>
          <w:szCs w:val="22"/>
          <w:lang w:val="mk-MK" w:eastAsia="mk-MK"/>
        </w:rPr>
        <w:t xml:space="preserve"> кои биле обработени или уште се обработуваат во тековната година. Агенцијата ИП</w:t>
      </w:r>
      <w:r w:rsidR="00167581" w:rsidRPr="0041092E">
        <w:rPr>
          <w:rFonts w:ascii="Arial" w:eastAsia="Times New Roman" w:hAnsi="Arial" w:cs="Arial"/>
          <w:sz w:val="22"/>
          <w:szCs w:val="22"/>
          <w:lang w:val="mk-MK" w:eastAsia="mk-MK"/>
        </w:rPr>
        <w:t>АРД одобри 127 барања за исплата</w:t>
      </w:r>
      <w:r w:rsidRPr="0041092E">
        <w:rPr>
          <w:rFonts w:ascii="Arial" w:eastAsia="Times New Roman" w:hAnsi="Arial" w:cs="Arial"/>
          <w:sz w:val="22"/>
          <w:szCs w:val="22"/>
          <w:lang w:val="mk-MK" w:eastAsia="mk-MK"/>
        </w:rPr>
        <w:t>.</w:t>
      </w:r>
      <w:r w:rsidR="00167581" w:rsidRPr="0041092E">
        <w:rPr>
          <w:rFonts w:ascii="Arial" w:hAnsi="Arial" w:cs="Arial"/>
          <w:sz w:val="22"/>
          <w:szCs w:val="22"/>
          <w:lang w:val="mk-MK"/>
        </w:rPr>
        <w:t xml:space="preserve"> </w:t>
      </w:r>
    </w:p>
    <w:p w:rsidR="00A0070E" w:rsidRPr="002B2470" w:rsidRDefault="00A0070E" w:rsidP="00BA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Arial" w:eastAsia="Times New Roman" w:hAnsi="Arial" w:cs="Arial"/>
          <w:szCs w:val="20"/>
          <w:lang w:val="mk-MK" w:eastAsia="mk-MK"/>
        </w:rPr>
      </w:pPr>
      <w:r w:rsidRPr="002B2470">
        <w:rPr>
          <w:rFonts w:ascii="Arial" w:eastAsia="Times New Roman" w:hAnsi="Arial" w:cs="Arial"/>
          <w:szCs w:val="20"/>
          <w:lang w:val="mk-MK" w:eastAsia="mk-MK"/>
        </w:rPr>
        <w:t>Вкупниот одобрен износ за исплата во 2018 година е 1.002.786,00 €.</w:t>
      </w:r>
    </w:p>
    <w:p w:rsidR="00A0070E"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1. Добиени</w:t>
      </w:r>
      <w:r w:rsidR="009E2883" w:rsidRPr="002B2470">
        <w:rPr>
          <w:rFonts w:ascii="Arial" w:eastAsia="Times New Roman" w:hAnsi="Arial" w:cs="Arial"/>
          <w:szCs w:val="20"/>
          <w:lang w:val="mk-MK" w:eastAsia="mk-MK"/>
        </w:rPr>
        <w:t xml:space="preserve"> барања</w:t>
      </w:r>
      <w:r w:rsidRPr="002B2470">
        <w:rPr>
          <w:rFonts w:ascii="Arial" w:eastAsia="Times New Roman" w:hAnsi="Arial" w:cs="Arial"/>
          <w:szCs w:val="20"/>
          <w:lang w:val="mk-MK" w:eastAsia="mk-MK"/>
        </w:rPr>
        <w:t xml:space="preserve"> за исплата во 2018 година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0041092E" w:rsidRPr="002B2470">
        <w:rPr>
          <w:rFonts w:ascii="Arial" w:eastAsia="Times New Roman" w:hAnsi="Arial" w:cs="Arial"/>
          <w:szCs w:val="20"/>
          <w:lang w:val="mk-MK" w:eastAsia="mk-MK"/>
        </w:rPr>
        <w:t xml:space="preserve">ерка </w:t>
      </w:r>
      <w:r w:rsidR="00A0070E" w:rsidRPr="002B2470">
        <w:rPr>
          <w:rFonts w:ascii="Arial" w:eastAsia="Times New Roman" w:hAnsi="Arial" w:cs="Arial"/>
          <w:szCs w:val="20"/>
          <w:lang w:val="mk-MK" w:eastAsia="mk-MK"/>
        </w:rPr>
        <w:t>1, пристигнати 1404 барања за исплата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 </w:t>
      </w:r>
      <w:r w:rsidR="00A0070E" w:rsidRPr="002B2470">
        <w:rPr>
          <w:rFonts w:ascii="Arial" w:eastAsia="Times New Roman" w:hAnsi="Arial" w:cs="Arial"/>
          <w:szCs w:val="20"/>
          <w:lang w:val="mk-MK" w:eastAsia="mk-MK"/>
        </w:rPr>
        <w:t>3, пристигнати 57 барања за исплата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 7</w:t>
      </w:r>
      <w:r w:rsidR="00A0070E" w:rsidRPr="002B2470">
        <w:rPr>
          <w:rFonts w:ascii="Arial" w:eastAsia="Times New Roman" w:hAnsi="Arial" w:cs="Arial"/>
          <w:szCs w:val="20"/>
          <w:lang w:val="mk-MK" w:eastAsia="mk-MK"/>
        </w:rPr>
        <w:t>, пристигнати 187 барања за исплата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 9</w:t>
      </w:r>
      <w:r w:rsidR="00A0070E" w:rsidRPr="002B2470">
        <w:rPr>
          <w:rFonts w:ascii="Arial" w:eastAsia="Times New Roman" w:hAnsi="Arial" w:cs="Arial"/>
          <w:szCs w:val="20"/>
          <w:lang w:val="mk-MK" w:eastAsia="mk-MK"/>
        </w:rPr>
        <w:t>, добиени 3 барања за исплата</w:t>
      </w:r>
    </w:p>
    <w:p w:rsidR="009E2883" w:rsidRPr="002B2470" w:rsidRDefault="009E2883"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p>
    <w:p w:rsidR="00A0070E" w:rsidRPr="002B2470" w:rsidRDefault="009E2883"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2. Одобрени барања</w:t>
      </w:r>
      <w:r w:rsidR="00A0070E" w:rsidRPr="002B2470">
        <w:rPr>
          <w:rFonts w:ascii="Arial" w:eastAsia="Times New Roman" w:hAnsi="Arial" w:cs="Arial"/>
          <w:szCs w:val="20"/>
          <w:lang w:val="mk-MK" w:eastAsia="mk-MK"/>
        </w:rPr>
        <w:t xml:space="preserve"> за </w:t>
      </w:r>
      <w:r w:rsidR="00955868" w:rsidRPr="002B2470">
        <w:rPr>
          <w:rFonts w:ascii="Arial" w:eastAsia="Times New Roman" w:hAnsi="Arial" w:cs="Arial"/>
          <w:szCs w:val="20"/>
          <w:lang w:val="mk-MK" w:eastAsia="mk-MK"/>
        </w:rPr>
        <w:t>исплата</w:t>
      </w:r>
      <w:r w:rsidR="00A0070E" w:rsidRPr="002B2470">
        <w:rPr>
          <w:rFonts w:ascii="Arial" w:eastAsia="Times New Roman" w:hAnsi="Arial" w:cs="Arial"/>
          <w:szCs w:val="20"/>
          <w:lang w:val="mk-MK" w:eastAsia="mk-MK"/>
        </w:rPr>
        <w:t xml:space="preserve"> во 2018 година:</w:t>
      </w:r>
    </w:p>
    <w:p w:rsidR="009E2883"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 </w:t>
      </w:r>
      <w:r w:rsidR="00A0070E" w:rsidRPr="002B2470">
        <w:rPr>
          <w:rFonts w:ascii="Arial" w:eastAsia="Times New Roman" w:hAnsi="Arial" w:cs="Arial"/>
          <w:szCs w:val="20"/>
          <w:lang w:val="mk-MK" w:eastAsia="mk-MK"/>
        </w:rPr>
        <w:t>1, одобрени 902 барања за исплата</w:t>
      </w:r>
    </w:p>
    <w:p w:rsidR="009E2883"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w:t>
      </w:r>
      <w:r w:rsidR="0019564C"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0019564C" w:rsidRPr="002B2470">
        <w:rPr>
          <w:rFonts w:ascii="Arial" w:eastAsia="Times New Roman" w:hAnsi="Arial" w:cs="Arial"/>
          <w:szCs w:val="20"/>
          <w:lang w:val="mk-MK" w:eastAsia="mk-MK"/>
        </w:rPr>
        <w:t xml:space="preserve">ерка </w:t>
      </w:r>
      <w:r w:rsidRPr="002B2470">
        <w:rPr>
          <w:rFonts w:ascii="Arial" w:eastAsia="Times New Roman" w:hAnsi="Arial" w:cs="Arial"/>
          <w:szCs w:val="20"/>
          <w:lang w:val="mk-MK" w:eastAsia="mk-MK"/>
        </w:rPr>
        <w:t xml:space="preserve">3, одобрени 30 барања за </w:t>
      </w:r>
      <w:r w:rsidR="009E2883" w:rsidRPr="002B2470">
        <w:rPr>
          <w:rFonts w:ascii="Arial" w:eastAsia="Times New Roman" w:hAnsi="Arial" w:cs="Arial"/>
          <w:szCs w:val="20"/>
          <w:lang w:val="mk-MK" w:eastAsia="mk-MK"/>
        </w:rPr>
        <w:t>исплата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 7</w:t>
      </w:r>
      <w:r w:rsidR="00A0070E" w:rsidRPr="002B2470">
        <w:rPr>
          <w:rFonts w:ascii="Arial" w:eastAsia="Times New Roman" w:hAnsi="Arial" w:cs="Arial"/>
          <w:szCs w:val="20"/>
          <w:lang w:val="mk-MK" w:eastAsia="mk-MK"/>
        </w:rPr>
        <w:t xml:space="preserve">, одобрени 0 барања за </w:t>
      </w:r>
      <w:r w:rsidR="009E2883" w:rsidRPr="002B2470">
        <w:rPr>
          <w:rFonts w:ascii="Arial" w:eastAsia="Times New Roman" w:hAnsi="Arial" w:cs="Arial"/>
          <w:szCs w:val="20"/>
          <w:lang w:val="mk-MK" w:eastAsia="mk-MK"/>
        </w:rPr>
        <w:t>исплата</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 9</w:t>
      </w:r>
      <w:r w:rsidR="00A0070E" w:rsidRPr="002B2470">
        <w:rPr>
          <w:rFonts w:ascii="Arial" w:eastAsia="Times New Roman" w:hAnsi="Arial" w:cs="Arial"/>
          <w:szCs w:val="20"/>
          <w:lang w:val="mk-MK" w:eastAsia="mk-MK"/>
        </w:rPr>
        <w:t xml:space="preserve">, одобрени 3 барања за </w:t>
      </w:r>
      <w:r w:rsidR="009E2883" w:rsidRPr="002B2470">
        <w:rPr>
          <w:rFonts w:ascii="Arial" w:eastAsia="Times New Roman" w:hAnsi="Arial" w:cs="Arial"/>
          <w:szCs w:val="20"/>
          <w:lang w:val="mk-MK" w:eastAsia="mk-MK"/>
        </w:rPr>
        <w:t>исплата</w:t>
      </w:r>
    </w:p>
    <w:p w:rsidR="009E2883" w:rsidRPr="002B2470" w:rsidRDefault="009E2883"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p>
    <w:p w:rsidR="00A0070E"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3. Вк</w:t>
      </w:r>
      <w:r w:rsidR="009E2883" w:rsidRPr="002B2470">
        <w:rPr>
          <w:rFonts w:ascii="Arial" w:eastAsia="Times New Roman" w:hAnsi="Arial" w:cs="Arial"/>
          <w:szCs w:val="20"/>
          <w:lang w:val="mk-MK" w:eastAsia="mk-MK"/>
        </w:rPr>
        <w:t>упно одобрен износ за исплата</w:t>
      </w:r>
      <w:r w:rsidRPr="002B2470">
        <w:rPr>
          <w:rFonts w:ascii="Arial" w:eastAsia="Times New Roman" w:hAnsi="Arial" w:cs="Arial"/>
          <w:szCs w:val="20"/>
          <w:lang w:val="mk-MK" w:eastAsia="mk-MK"/>
        </w:rPr>
        <w:t>:</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 </w:t>
      </w:r>
      <w:r w:rsidR="00A0070E" w:rsidRPr="002B2470">
        <w:rPr>
          <w:rFonts w:ascii="Arial" w:eastAsia="Times New Roman" w:hAnsi="Arial" w:cs="Arial"/>
          <w:szCs w:val="20"/>
          <w:lang w:val="mk-MK" w:eastAsia="mk-MK"/>
        </w:rPr>
        <w:t>1,</w:t>
      </w:r>
      <w:r w:rsidR="009E2883" w:rsidRPr="002B2470">
        <w:rPr>
          <w:rFonts w:ascii="Arial" w:eastAsia="Times New Roman" w:hAnsi="Arial" w:cs="Arial"/>
          <w:szCs w:val="20"/>
          <w:lang w:val="mk-MK" w:eastAsia="mk-MK"/>
        </w:rPr>
        <w:t xml:space="preserve"> 116 барања за исплата</w:t>
      </w:r>
      <w:r w:rsidR="00A0070E" w:rsidRPr="002B2470">
        <w:rPr>
          <w:rFonts w:ascii="Arial" w:eastAsia="Times New Roman" w:hAnsi="Arial" w:cs="Arial"/>
          <w:szCs w:val="20"/>
          <w:lang w:val="mk-MK" w:eastAsia="mk-MK"/>
        </w:rPr>
        <w:t xml:space="preserve"> се исплатени 452.878 €.</w:t>
      </w:r>
    </w:p>
    <w:p w:rsidR="00A0070E" w:rsidRPr="002B2470" w:rsidRDefault="0019564C"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 xml:space="preserve">ерка </w:t>
      </w:r>
      <w:r w:rsidR="00A0070E" w:rsidRPr="002B2470">
        <w:rPr>
          <w:rFonts w:ascii="Arial" w:eastAsia="Times New Roman" w:hAnsi="Arial" w:cs="Arial"/>
          <w:szCs w:val="20"/>
          <w:lang w:val="mk-MK" w:eastAsia="mk-MK"/>
        </w:rPr>
        <w:t>3, 8 барања за исплата се исплатени 546.071 €.</w:t>
      </w:r>
    </w:p>
    <w:p w:rsidR="00A0070E"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w:t>
      </w:r>
      <w:r w:rsidR="0019564C" w:rsidRPr="002B2470">
        <w:rPr>
          <w:rFonts w:ascii="Arial" w:eastAsia="Times New Roman" w:hAnsi="Arial" w:cs="Arial"/>
          <w:szCs w:val="20"/>
          <w:lang w:val="mk-MK" w:eastAsia="mk-MK"/>
        </w:rPr>
        <w:t xml:space="preserve">за </w:t>
      </w:r>
      <w:r w:rsidR="0041092E">
        <w:rPr>
          <w:rFonts w:ascii="Arial" w:eastAsia="Times New Roman" w:hAnsi="Arial" w:cs="Arial"/>
          <w:szCs w:val="20"/>
          <w:lang w:val="mk-MK" w:eastAsia="mk-MK"/>
        </w:rPr>
        <w:t>М</w:t>
      </w:r>
      <w:r w:rsidR="0019564C" w:rsidRPr="002B2470">
        <w:rPr>
          <w:rFonts w:ascii="Arial" w:eastAsia="Times New Roman" w:hAnsi="Arial" w:cs="Arial"/>
          <w:szCs w:val="20"/>
          <w:lang w:val="mk-MK" w:eastAsia="mk-MK"/>
        </w:rPr>
        <w:t>ерка 7</w:t>
      </w:r>
      <w:r w:rsidR="009E2883" w:rsidRPr="002B2470">
        <w:rPr>
          <w:rFonts w:ascii="Arial" w:eastAsia="Times New Roman" w:hAnsi="Arial" w:cs="Arial"/>
          <w:szCs w:val="20"/>
          <w:lang w:val="mk-MK" w:eastAsia="mk-MK"/>
        </w:rPr>
        <w:t>, 0 барања за исплата</w:t>
      </w:r>
      <w:r w:rsidRPr="002B2470">
        <w:rPr>
          <w:rFonts w:ascii="Arial" w:eastAsia="Times New Roman" w:hAnsi="Arial" w:cs="Arial"/>
          <w:szCs w:val="20"/>
          <w:lang w:val="mk-MK" w:eastAsia="mk-MK"/>
        </w:rPr>
        <w:t>.</w:t>
      </w:r>
    </w:p>
    <w:p w:rsidR="00A0070E"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w:t>
      </w:r>
      <w:r w:rsidR="0019564C" w:rsidRPr="002B2470">
        <w:rPr>
          <w:rFonts w:ascii="Arial" w:eastAsia="Times New Roman" w:hAnsi="Arial" w:cs="Arial"/>
          <w:szCs w:val="20"/>
          <w:lang w:val="mk-MK" w:eastAsia="mk-MK"/>
        </w:rPr>
        <w:t xml:space="preserve"> за </w:t>
      </w:r>
      <w:r w:rsidR="0041092E">
        <w:rPr>
          <w:rFonts w:ascii="Arial" w:eastAsia="Times New Roman" w:hAnsi="Arial" w:cs="Arial"/>
          <w:szCs w:val="20"/>
          <w:lang w:val="mk-MK" w:eastAsia="mk-MK"/>
        </w:rPr>
        <w:t>М</w:t>
      </w:r>
      <w:r w:rsidR="0019564C" w:rsidRPr="002B2470">
        <w:rPr>
          <w:rFonts w:ascii="Arial" w:eastAsia="Times New Roman" w:hAnsi="Arial" w:cs="Arial"/>
          <w:szCs w:val="20"/>
          <w:lang w:val="mk-MK" w:eastAsia="mk-MK"/>
        </w:rPr>
        <w:t>ерка 9</w:t>
      </w:r>
      <w:r w:rsidR="009E2883" w:rsidRPr="002B2470">
        <w:rPr>
          <w:rFonts w:ascii="Arial" w:eastAsia="Times New Roman" w:hAnsi="Arial" w:cs="Arial"/>
          <w:szCs w:val="20"/>
          <w:lang w:val="mk-MK" w:eastAsia="mk-MK"/>
        </w:rPr>
        <w:t>, 3 барања за исплата</w:t>
      </w:r>
      <w:r w:rsidRPr="002B2470">
        <w:rPr>
          <w:rFonts w:ascii="Arial" w:eastAsia="Times New Roman" w:hAnsi="Arial" w:cs="Arial"/>
          <w:szCs w:val="20"/>
          <w:lang w:val="mk-MK" w:eastAsia="mk-MK"/>
        </w:rPr>
        <w:t>, исто така, се исплаќаат 3.836,5 €.</w:t>
      </w:r>
    </w:p>
    <w:p w:rsidR="00A0070E" w:rsidRPr="002B2470" w:rsidRDefault="00A0070E" w:rsidP="009E2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Вкупно: 1.002.786,00 €.</w:t>
      </w:r>
    </w:p>
    <w:p w:rsidR="005920DA" w:rsidRPr="0038361F" w:rsidRDefault="00410356" w:rsidP="00BA6418">
      <w:pPr>
        <w:pStyle w:val="m343668044302477783m-3986873246552044066msolistparagraph"/>
        <w:spacing w:before="120" w:beforeAutospacing="0" w:after="120" w:afterAutospacing="0"/>
        <w:jc w:val="both"/>
        <w:rPr>
          <w:rFonts w:ascii="Arial" w:hAnsi="Arial" w:cs="Arial"/>
          <w:szCs w:val="22"/>
          <w:lang w:val="mk-MK"/>
        </w:rPr>
      </w:pPr>
      <w:r w:rsidRPr="0038361F">
        <w:rPr>
          <w:rFonts w:ascii="Arial" w:hAnsi="Arial" w:cs="Arial"/>
          <w:szCs w:val="22"/>
          <w:lang w:val="mk-MK"/>
        </w:rPr>
        <w:t xml:space="preserve">4.3.3 </w:t>
      </w:r>
      <w:r w:rsidR="005920DA" w:rsidRPr="0038361F">
        <w:rPr>
          <w:rFonts w:ascii="Arial" w:hAnsi="Arial" w:cs="Arial"/>
          <w:szCs w:val="22"/>
          <w:lang w:val="mk-MK"/>
        </w:rPr>
        <w:t xml:space="preserve">Критични точки во спроведувањето на ИПАРД Програмата </w:t>
      </w:r>
    </w:p>
    <w:p w:rsidR="005920DA" w:rsidRPr="002B2470" w:rsidRDefault="005920DA" w:rsidP="0059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2018 година беше усвоена ИПАРД Програмата 2014-2020 за новиот програмски период, а соодветно на тоа ИПАРД Агенцијата направи одредени промени во внатрешните процедури и контролните листи според предложените измени. Една од најзначајните промени за новиот програмски период е што Агенцијата потребната документација ќе ја добива по службена должност, со што би се овозможило да се скрати постапката за аплицирање за комплетирање на апликациите, односно да се скрати постапката за одобрување на апликациите.</w:t>
      </w:r>
    </w:p>
    <w:p w:rsidR="005920DA" w:rsidRPr="002B2470" w:rsidRDefault="005920DA" w:rsidP="00BA6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Arial" w:eastAsia="Times New Roman" w:hAnsi="Arial" w:cs="Arial"/>
          <w:szCs w:val="20"/>
          <w:lang w:val="mk-MK" w:eastAsia="mk-MK"/>
        </w:rPr>
      </w:pPr>
      <w:r w:rsidRPr="002B2470">
        <w:rPr>
          <w:rFonts w:ascii="Arial" w:eastAsia="Times New Roman" w:hAnsi="Arial" w:cs="Arial"/>
          <w:szCs w:val="20"/>
          <w:lang w:val="mk-MK" w:eastAsia="mk-MK"/>
        </w:rPr>
        <w:t>Резиме на напредокот од спроведувањето на финансиската поддршка на Заедницата</w:t>
      </w:r>
    </w:p>
    <w:p w:rsidR="005920DA" w:rsidRPr="002B2470" w:rsidRDefault="005920DA" w:rsidP="00012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врска со спроведувањето на ИПАРД Програмата 2014-2020, во 2017 година ИПАРД Агенција објави Јавни повици за мерките според ИПАРД Програмата. По административната проверка на сите пријави во јавни</w:t>
      </w:r>
      <w:r w:rsidR="0041092E">
        <w:rPr>
          <w:rFonts w:ascii="Arial" w:eastAsia="Times New Roman" w:hAnsi="Arial" w:cs="Arial"/>
          <w:szCs w:val="20"/>
          <w:lang w:val="mk-MK" w:eastAsia="mk-MK"/>
        </w:rPr>
        <w:t xml:space="preserve">от </w:t>
      </w:r>
      <w:r w:rsidRPr="002B2470">
        <w:rPr>
          <w:rFonts w:ascii="Arial" w:eastAsia="Times New Roman" w:hAnsi="Arial" w:cs="Arial"/>
          <w:szCs w:val="20"/>
          <w:lang w:val="mk-MK" w:eastAsia="mk-MK"/>
        </w:rPr>
        <w:t>пови</w:t>
      </w:r>
      <w:r w:rsidR="0041092E">
        <w:rPr>
          <w:rFonts w:ascii="Arial" w:eastAsia="Times New Roman" w:hAnsi="Arial" w:cs="Arial"/>
          <w:szCs w:val="20"/>
          <w:lang w:val="mk-MK" w:eastAsia="mk-MK"/>
        </w:rPr>
        <w:t xml:space="preserve">к </w:t>
      </w:r>
      <w:r w:rsidRPr="002B2470">
        <w:rPr>
          <w:rFonts w:ascii="Arial" w:eastAsia="Times New Roman" w:hAnsi="Arial" w:cs="Arial"/>
          <w:szCs w:val="20"/>
          <w:lang w:val="mk-MK" w:eastAsia="mk-MK"/>
        </w:rPr>
        <w:t>01/2017, во текот на 2018 година беа склучени 127 договори со вкупен износ на финансиска поддршка која достигна 1.002.786 €. евра.</w:t>
      </w:r>
    </w:p>
    <w:p w:rsidR="002061F9" w:rsidRPr="002B2470" w:rsidRDefault="002061F9" w:rsidP="00640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С</w:t>
      </w:r>
      <w:r w:rsidR="0041092E">
        <w:rPr>
          <w:rFonts w:ascii="Arial" w:eastAsia="Times New Roman" w:hAnsi="Arial" w:cs="Arial"/>
          <w:szCs w:val="20"/>
          <w:lang w:val="mk-MK" w:eastAsia="mk-MK"/>
        </w:rPr>
        <w:t>è</w:t>
      </w:r>
      <w:r w:rsidRPr="002B2470">
        <w:rPr>
          <w:rFonts w:ascii="Arial" w:eastAsia="Times New Roman" w:hAnsi="Arial" w:cs="Arial"/>
          <w:szCs w:val="20"/>
          <w:lang w:val="mk-MK" w:eastAsia="mk-MK"/>
        </w:rPr>
        <w:t xml:space="preserve"> уште најкритични прашања остануваат капацитети за човечки ресурси и временска</w:t>
      </w:r>
      <w:r w:rsidR="0041092E">
        <w:rPr>
          <w:rFonts w:ascii="Arial" w:eastAsia="Times New Roman" w:hAnsi="Arial" w:cs="Arial"/>
          <w:szCs w:val="20"/>
          <w:lang w:val="mk-MK" w:eastAsia="mk-MK"/>
        </w:rPr>
        <w:t>та</w:t>
      </w:r>
      <w:r w:rsidRPr="002B2470">
        <w:rPr>
          <w:rFonts w:ascii="Arial" w:eastAsia="Times New Roman" w:hAnsi="Arial" w:cs="Arial"/>
          <w:szCs w:val="20"/>
          <w:lang w:val="mk-MK" w:eastAsia="mk-MK"/>
        </w:rPr>
        <w:t xml:space="preserve"> рамка за обработка на апликациите. Бидејќи бројот на примени апликации од јавен повик е значително зголемен, сегашниот персонал се соочува со предизвикот да ги исполни роковите утврдени со закон за обработка на апликациите и барањата за исплата.</w:t>
      </w:r>
    </w:p>
    <w:p w:rsidR="005920DA" w:rsidRPr="002B2470" w:rsidRDefault="0041092E" w:rsidP="0047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Pr>
          <w:rFonts w:ascii="Arial" w:eastAsia="Times New Roman" w:hAnsi="Arial" w:cs="Arial"/>
          <w:szCs w:val="20"/>
          <w:lang w:val="mk-MK" w:eastAsia="mk-MK"/>
        </w:rPr>
        <w:t>В</w:t>
      </w:r>
      <w:r w:rsidR="005920DA" w:rsidRPr="002B2470">
        <w:rPr>
          <w:rFonts w:ascii="Arial" w:eastAsia="Times New Roman" w:hAnsi="Arial" w:cs="Arial"/>
          <w:szCs w:val="20"/>
          <w:lang w:val="mk-MK" w:eastAsia="mk-MK"/>
        </w:rPr>
        <w:t>о 2018 година Агенциј</w:t>
      </w:r>
      <w:r w:rsidR="00640DFE" w:rsidRPr="002B2470">
        <w:rPr>
          <w:rFonts w:ascii="Arial" w:eastAsia="Times New Roman" w:hAnsi="Arial" w:cs="Arial"/>
          <w:szCs w:val="20"/>
          <w:lang w:val="mk-MK" w:eastAsia="mk-MK"/>
        </w:rPr>
        <w:t>ата наиде на проблеми при обработката на барањата за исплата</w:t>
      </w:r>
      <w:r w:rsidR="005920DA" w:rsidRPr="002B2470">
        <w:rPr>
          <w:rFonts w:ascii="Arial" w:eastAsia="Times New Roman" w:hAnsi="Arial" w:cs="Arial"/>
          <w:szCs w:val="20"/>
          <w:lang w:val="mk-MK" w:eastAsia="mk-MK"/>
        </w:rPr>
        <w:t xml:space="preserve">, </w:t>
      </w:r>
      <w:r w:rsidR="00474225" w:rsidRPr="002B2470">
        <w:rPr>
          <w:rFonts w:ascii="Arial" w:eastAsia="Times New Roman" w:hAnsi="Arial" w:cs="Arial"/>
          <w:szCs w:val="20"/>
          <w:lang w:val="mk-MK" w:eastAsia="mk-MK"/>
        </w:rPr>
        <w:t xml:space="preserve">како и </w:t>
      </w:r>
      <w:r w:rsidR="005920DA" w:rsidRPr="002B2470">
        <w:rPr>
          <w:rFonts w:ascii="Arial" w:eastAsia="Times New Roman" w:hAnsi="Arial" w:cs="Arial"/>
          <w:szCs w:val="20"/>
          <w:lang w:val="mk-MK" w:eastAsia="mk-MK"/>
        </w:rPr>
        <w:t xml:space="preserve">тешкотии </w:t>
      </w:r>
      <w:r w:rsidR="00474225" w:rsidRPr="002B2470">
        <w:rPr>
          <w:rFonts w:ascii="Arial" w:eastAsia="Times New Roman" w:hAnsi="Arial" w:cs="Arial"/>
          <w:szCs w:val="20"/>
          <w:lang w:val="mk-MK" w:eastAsia="mk-MK"/>
        </w:rPr>
        <w:t xml:space="preserve">во обезбедување на потребната документација </w:t>
      </w:r>
      <w:r w:rsidR="005920DA" w:rsidRPr="002B2470">
        <w:rPr>
          <w:rFonts w:ascii="Arial" w:eastAsia="Times New Roman" w:hAnsi="Arial" w:cs="Arial"/>
          <w:szCs w:val="20"/>
          <w:lang w:val="mk-MK" w:eastAsia="mk-MK"/>
        </w:rPr>
        <w:t>за корисниците.</w:t>
      </w:r>
    </w:p>
    <w:p w:rsidR="005920DA" w:rsidRPr="002B2470" w:rsidRDefault="005920DA" w:rsidP="00474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Посебн</w:t>
      </w:r>
      <w:r w:rsidR="0041092E">
        <w:rPr>
          <w:rFonts w:ascii="Arial" w:eastAsia="Times New Roman" w:hAnsi="Arial" w:cs="Arial"/>
          <w:szCs w:val="20"/>
          <w:lang w:val="mk-MK" w:eastAsia="mk-MK"/>
        </w:rPr>
        <w:t>о</w:t>
      </w:r>
      <w:r w:rsidRPr="002B2470">
        <w:rPr>
          <w:rFonts w:ascii="Arial" w:eastAsia="Times New Roman" w:hAnsi="Arial" w:cs="Arial"/>
          <w:szCs w:val="20"/>
          <w:lang w:val="mk-MK" w:eastAsia="mk-MK"/>
        </w:rPr>
        <w:t xml:space="preserve"> проблематични области </w:t>
      </w:r>
      <w:r w:rsidR="0041092E">
        <w:rPr>
          <w:rFonts w:ascii="Arial" w:eastAsia="Times New Roman" w:hAnsi="Arial" w:cs="Arial"/>
          <w:szCs w:val="20"/>
          <w:lang w:val="mk-MK" w:eastAsia="mk-MK"/>
        </w:rPr>
        <w:t xml:space="preserve">се </w:t>
      </w:r>
      <w:r w:rsidRPr="002B2470">
        <w:rPr>
          <w:rFonts w:ascii="Arial" w:eastAsia="Times New Roman" w:hAnsi="Arial" w:cs="Arial"/>
          <w:szCs w:val="20"/>
          <w:lang w:val="mk-MK" w:eastAsia="mk-MK"/>
        </w:rPr>
        <w:t>почитување на роковите и одредбите наведени во договорот за кофинансирање, обезбедување на доказ за потекло на материјалите и опремата, навремено и правилно ажурирање на сметководствената евиденција</w:t>
      </w:r>
      <w:r w:rsidR="00474225" w:rsidRPr="002B2470">
        <w:rPr>
          <w:rFonts w:ascii="Arial" w:eastAsia="Times New Roman" w:hAnsi="Arial" w:cs="Arial"/>
          <w:szCs w:val="20"/>
          <w:lang w:val="mk-MK" w:eastAsia="mk-MK"/>
        </w:rPr>
        <w:t>.</w:t>
      </w:r>
    </w:p>
    <w:p w:rsidR="00E201E6" w:rsidRPr="002B2470" w:rsidRDefault="00410356" w:rsidP="00BA6418">
      <w:pPr>
        <w:pStyle w:val="m343668044302477783m-3986873246552044066msolistparagraph"/>
        <w:spacing w:before="120" w:beforeAutospacing="0" w:after="120" w:afterAutospacing="0"/>
        <w:jc w:val="both"/>
        <w:rPr>
          <w:rFonts w:ascii="Arial" w:eastAsia="Times New Roman" w:hAnsi="Arial" w:cs="Arial"/>
          <w:sz w:val="22"/>
          <w:szCs w:val="22"/>
          <w:lang w:val="mk-MK" w:eastAsia="mk-MK"/>
        </w:rPr>
      </w:pPr>
      <w:r w:rsidRPr="0038361F">
        <w:rPr>
          <w:rFonts w:ascii="Arial" w:hAnsi="Arial" w:cs="Arial"/>
          <w:sz w:val="22"/>
          <w:szCs w:val="22"/>
          <w:lang w:val="mk-MK"/>
        </w:rPr>
        <w:t xml:space="preserve">4.3.4 </w:t>
      </w:r>
      <w:r w:rsidR="00E201E6" w:rsidRPr="002B2470">
        <w:rPr>
          <w:rFonts w:ascii="Arial" w:eastAsia="Times New Roman" w:hAnsi="Arial" w:cs="Arial"/>
          <w:sz w:val="22"/>
          <w:szCs w:val="22"/>
          <w:lang w:val="mk-MK" w:eastAsia="mk-MK"/>
        </w:rPr>
        <w:t>Резултати од извршените контроли на лице место и идентификување неправилности</w:t>
      </w:r>
    </w:p>
    <w:p w:rsidR="00E201E6" w:rsidRPr="006F23FF" w:rsidRDefault="00E201E6" w:rsidP="00E2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Cs w:val="20"/>
          <w:lang w:val="mk-MK" w:eastAsia="mk-MK"/>
        </w:rPr>
      </w:pPr>
      <w:r w:rsidRPr="008A22EF">
        <w:rPr>
          <w:rFonts w:ascii="Arial" w:eastAsia="Times New Roman" w:hAnsi="Arial" w:cs="Arial"/>
          <w:szCs w:val="20"/>
          <w:lang w:val="mk-MK" w:eastAsia="mk-MK"/>
        </w:rPr>
        <w:lastRenderedPageBreak/>
        <w:t>I. Во текот на 2018 годин</w:t>
      </w:r>
      <w:r w:rsidRPr="006F23FF">
        <w:rPr>
          <w:rFonts w:ascii="Arial" w:eastAsia="Times New Roman" w:hAnsi="Arial" w:cs="Arial"/>
          <w:szCs w:val="20"/>
          <w:lang w:val="mk-MK" w:eastAsia="mk-MK"/>
        </w:rPr>
        <w:t>а, ИПАРД Агенцијата изврши административни контроли за сите поднесени апликации. Причините за отфрлање на апликацијата пред да се потпишат договорите за потпишување се:</w:t>
      </w:r>
    </w:p>
    <w:p w:rsidR="00E201E6" w:rsidRPr="002B2470" w:rsidRDefault="00E201E6" w:rsidP="00E2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Комплетност:</w:t>
      </w:r>
    </w:p>
    <w:p w:rsidR="00E201E6" w:rsidRPr="002B2470" w:rsidRDefault="00E201E6" w:rsidP="00E2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барателот не поднесува одговор во рок од 15 дена по добиено известување за </w:t>
      </w:r>
      <w:r w:rsidR="0041092E">
        <w:rPr>
          <w:rFonts w:ascii="Arial" w:eastAsia="Times New Roman" w:hAnsi="Arial" w:cs="Arial"/>
          <w:szCs w:val="20"/>
          <w:lang w:val="mk-MK" w:eastAsia="mk-MK"/>
        </w:rPr>
        <w:t>д</w:t>
      </w:r>
      <w:r w:rsidRPr="002B2470">
        <w:rPr>
          <w:rFonts w:ascii="Arial" w:eastAsia="Times New Roman" w:hAnsi="Arial" w:cs="Arial"/>
          <w:szCs w:val="20"/>
          <w:lang w:val="mk-MK" w:eastAsia="mk-MK"/>
        </w:rPr>
        <w:t>ополнување на барањето;</w:t>
      </w:r>
    </w:p>
    <w:p w:rsidR="00E201E6" w:rsidRPr="002B2470" w:rsidRDefault="00E201E6" w:rsidP="00E2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барателот поднел одговор во рок од 15 дена по добиеното известување за </w:t>
      </w:r>
      <w:r w:rsidR="0041092E">
        <w:rPr>
          <w:rFonts w:ascii="Arial" w:eastAsia="Times New Roman" w:hAnsi="Arial" w:cs="Arial"/>
          <w:szCs w:val="20"/>
          <w:lang w:val="mk-MK" w:eastAsia="mk-MK"/>
        </w:rPr>
        <w:t>д</w:t>
      </w:r>
      <w:r w:rsidRPr="002B2470">
        <w:rPr>
          <w:rFonts w:ascii="Arial" w:eastAsia="Times New Roman" w:hAnsi="Arial" w:cs="Arial"/>
          <w:szCs w:val="20"/>
          <w:lang w:val="mk-MK" w:eastAsia="mk-MK"/>
        </w:rPr>
        <w:t>ополнување на барањето, но имало недост</w:t>
      </w:r>
      <w:r w:rsidR="0041092E">
        <w:rPr>
          <w:rFonts w:ascii="Arial" w:eastAsia="Times New Roman" w:hAnsi="Arial" w:cs="Arial"/>
          <w:szCs w:val="20"/>
          <w:lang w:val="mk-MK" w:eastAsia="mk-MK"/>
        </w:rPr>
        <w:t xml:space="preserve">иг од </w:t>
      </w:r>
      <w:r w:rsidRPr="002B2470">
        <w:rPr>
          <w:rFonts w:ascii="Arial" w:eastAsia="Times New Roman" w:hAnsi="Arial" w:cs="Arial"/>
          <w:szCs w:val="20"/>
          <w:lang w:val="mk-MK" w:eastAsia="mk-MK"/>
        </w:rPr>
        <w:t>документи или поднесените документи не биле валидни.</w:t>
      </w:r>
    </w:p>
    <w:p w:rsidR="00E201E6" w:rsidRPr="002B2470" w:rsidRDefault="000A6408"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Прифатливост</w:t>
      </w:r>
      <w:r w:rsidR="00E201E6" w:rsidRPr="002B2470">
        <w:rPr>
          <w:rFonts w:ascii="Arial" w:eastAsia="Times New Roman" w:hAnsi="Arial" w:cs="Arial"/>
          <w:szCs w:val="20"/>
          <w:lang w:val="mk-MK" w:eastAsia="mk-MK"/>
        </w:rPr>
        <w:t>:</w:t>
      </w:r>
    </w:p>
    <w:p w:rsidR="00E201E6" w:rsidRPr="002B2470" w:rsidRDefault="000A6408"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w:t>
      </w:r>
      <w:r w:rsidR="0041092E" w:rsidRPr="002B2470">
        <w:rPr>
          <w:rFonts w:ascii="Arial" w:eastAsia="Times New Roman" w:hAnsi="Arial" w:cs="Arial"/>
          <w:szCs w:val="20"/>
          <w:lang w:val="mk-MK" w:eastAsia="mk-MK"/>
        </w:rPr>
        <w:t>капитал</w:t>
      </w:r>
      <w:r w:rsidR="0041092E">
        <w:rPr>
          <w:rFonts w:ascii="Arial" w:eastAsia="Times New Roman" w:hAnsi="Arial" w:cs="Arial"/>
          <w:szCs w:val="20"/>
          <w:lang w:val="mk-MK" w:eastAsia="mk-MK"/>
        </w:rPr>
        <w:t>на</w:t>
      </w:r>
      <w:r w:rsidR="0041092E" w:rsidRPr="002B2470">
        <w:rPr>
          <w:rFonts w:ascii="Arial" w:eastAsia="Times New Roman" w:hAnsi="Arial" w:cs="Arial"/>
          <w:szCs w:val="20"/>
          <w:lang w:val="mk-MK" w:eastAsia="mk-MK"/>
        </w:rPr>
        <w:t>/семеј</w:t>
      </w:r>
      <w:r w:rsidR="0041092E">
        <w:rPr>
          <w:rFonts w:ascii="Arial" w:eastAsia="Times New Roman" w:hAnsi="Arial" w:cs="Arial"/>
          <w:szCs w:val="20"/>
          <w:lang w:val="mk-MK" w:eastAsia="mk-MK"/>
        </w:rPr>
        <w:t xml:space="preserve">на </w:t>
      </w:r>
      <w:r w:rsidRPr="002B2470">
        <w:rPr>
          <w:rFonts w:ascii="Arial" w:eastAsia="Times New Roman" w:hAnsi="Arial" w:cs="Arial"/>
          <w:szCs w:val="20"/>
          <w:lang w:val="mk-MK" w:eastAsia="mk-MK"/>
        </w:rPr>
        <w:t xml:space="preserve">поврзаност </w:t>
      </w:r>
      <w:r w:rsidR="00E201E6" w:rsidRPr="002B2470">
        <w:rPr>
          <w:rFonts w:ascii="Arial" w:eastAsia="Times New Roman" w:hAnsi="Arial" w:cs="Arial"/>
          <w:szCs w:val="20"/>
          <w:lang w:val="mk-MK" w:eastAsia="mk-MK"/>
        </w:rPr>
        <w:t>меѓу добавувачите или меѓу добавувачот и барателот;</w:t>
      </w:r>
    </w:p>
    <w:p w:rsidR="00E201E6" w:rsidRPr="002B2470" w:rsidRDefault="00E201E6"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w:t>
      </w:r>
      <w:r w:rsidR="0041092E">
        <w:rPr>
          <w:rFonts w:ascii="Arial" w:eastAsia="Times New Roman" w:hAnsi="Arial" w:cs="Arial"/>
          <w:szCs w:val="20"/>
          <w:lang w:val="mk-MK" w:eastAsia="mk-MK"/>
        </w:rPr>
        <w:t>п</w:t>
      </w:r>
      <w:r w:rsidRPr="002B2470">
        <w:rPr>
          <w:rFonts w:ascii="Arial" w:eastAsia="Times New Roman" w:hAnsi="Arial" w:cs="Arial"/>
          <w:szCs w:val="20"/>
          <w:lang w:val="mk-MK" w:eastAsia="mk-MK"/>
        </w:rPr>
        <w:t>ропорционално зголемување на цените на поднесените понуди (надуени цени во понудите), што укажува на тоа дека понудите не се издаваат од независни добавувачи;</w:t>
      </w:r>
    </w:p>
    <w:p w:rsidR="00E201E6" w:rsidRPr="002B2470" w:rsidRDefault="00E201E6"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предл</w:t>
      </w:r>
      <w:r w:rsidR="000A6408" w:rsidRPr="002B2470">
        <w:rPr>
          <w:rFonts w:ascii="Arial" w:eastAsia="Times New Roman" w:hAnsi="Arial" w:cs="Arial"/>
          <w:szCs w:val="20"/>
          <w:lang w:val="mk-MK" w:eastAsia="mk-MK"/>
        </w:rPr>
        <w:t>ожените инвестиции не се прифатливи</w:t>
      </w:r>
      <w:r w:rsidRPr="002B2470">
        <w:rPr>
          <w:rFonts w:ascii="Arial" w:eastAsia="Times New Roman" w:hAnsi="Arial" w:cs="Arial"/>
          <w:szCs w:val="20"/>
          <w:lang w:val="mk-MK" w:eastAsia="mk-MK"/>
        </w:rPr>
        <w:t xml:space="preserve"> според ИПАРД Програмата;</w:t>
      </w:r>
    </w:p>
    <w:p w:rsidR="00E201E6" w:rsidRPr="002B2470" w:rsidRDefault="00E201E6"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 </w:t>
      </w:r>
      <w:r w:rsidR="0041092E">
        <w:rPr>
          <w:rFonts w:ascii="Arial" w:eastAsia="Times New Roman" w:hAnsi="Arial" w:cs="Arial"/>
          <w:szCs w:val="20"/>
          <w:lang w:val="mk-MK" w:eastAsia="mk-MK"/>
        </w:rPr>
        <w:t xml:space="preserve">при </w:t>
      </w:r>
      <w:r w:rsidRPr="002B2470">
        <w:rPr>
          <w:rFonts w:ascii="Arial" w:eastAsia="Times New Roman" w:hAnsi="Arial" w:cs="Arial"/>
          <w:szCs w:val="20"/>
          <w:lang w:val="mk-MK" w:eastAsia="mk-MK"/>
        </w:rPr>
        <w:t>административната обработка на апликациите е утврдено дека изборот за најдобра понуда е направен пред да се обезбедат понудите, што укажува на тоа дека барателот не ја почитувал постапката за избор на најсоодветен снабдувач и прво го избрал добавувачот, а потоа добиени понуди.</w:t>
      </w:r>
    </w:p>
    <w:p w:rsidR="0041092E" w:rsidRDefault="0041092E"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p>
    <w:p w:rsidR="00E201E6" w:rsidRPr="002B2470" w:rsidRDefault="00E201E6"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Во текот на 2018 година Секторот</w:t>
      </w:r>
      <w:r w:rsidR="000A6408" w:rsidRPr="002B2470">
        <w:rPr>
          <w:rFonts w:ascii="Arial" w:eastAsia="Times New Roman" w:hAnsi="Arial" w:cs="Arial"/>
          <w:szCs w:val="20"/>
          <w:lang w:val="mk-MK" w:eastAsia="mk-MK"/>
        </w:rPr>
        <w:t xml:space="preserve"> за одобрување проекти одби</w:t>
      </w:r>
      <w:r w:rsidRPr="002B2470">
        <w:rPr>
          <w:rFonts w:ascii="Arial" w:eastAsia="Times New Roman" w:hAnsi="Arial" w:cs="Arial"/>
          <w:szCs w:val="20"/>
          <w:lang w:val="mk-MK" w:eastAsia="mk-MK"/>
        </w:rPr>
        <w:t xml:space="preserve"> 502 барања од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w:t>
      </w:r>
      <w:r w:rsidR="0041092E">
        <w:rPr>
          <w:rFonts w:ascii="Arial" w:eastAsia="Times New Roman" w:hAnsi="Arial" w:cs="Arial"/>
          <w:szCs w:val="20"/>
          <w:lang w:val="mk-MK" w:eastAsia="mk-MK"/>
        </w:rPr>
        <w:t>та</w:t>
      </w:r>
      <w:r w:rsidRPr="002B2470">
        <w:rPr>
          <w:rFonts w:ascii="Arial" w:eastAsia="Times New Roman" w:hAnsi="Arial" w:cs="Arial"/>
          <w:szCs w:val="20"/>
          <w:lang w:val="mk-MK" w:eastAsia="mk-MK"/>
        </w:rPr>
        <w:t xml:space="preserve"> 11 во вкупните јавни</w:t>
      </w:r>
      <w:r w:rsidR="000A6408" w:rsidRPr="002B2470">
        <w:rPr>
          <w:rFonts w:ascii="Arial" w:eastAsia="Times New Roman" w:hAnsi="Arial" w:cs="Arial"/>
          <w:szCs w:val="20"/>
          <w:lang w:val="mk-MK" w:eastAsia="mk-MK"/>
        </w:rPr>
        <w:t xml:space="preserve"> расходи од 2.342.916,3 евра, одби</w:t>
      </w:r>
      <w:r w:rsidRPr="002B2470">
        <w:rPr>
          <w:rFonts w:ascii="Arial" w:eastAsia="Times New Roman" w:hAnsi="Arial" w:cs="Arial"/>
          <w:szCs w:val="20"/>
          <w:lang w:val="mk-MK" w:eastAsia="mk-MK"/>
        </w:rPr>
        <w:t xml:space="preserve"> 25 од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ерката 13 во вкупните јав</w:t>
      </w:r>
      <w:r w:rsidR="000A6408" w:rsidRPr="002B2470">
        <w:rPr>
          <w:rFonts w:ascii="Arial" w:eastAsia="Times New Roman" w:hAnsi="Arial" w:cs="Arial"/>
          <w:szCs w:val="20"/>
          <w:lang w:val="mk-MK" w:eastAsia="mk-MK"/>
        </w:rPr>
        <w:t>ни расходи од 1.193.028 евра, одби</w:t>
      </w:r>
      <w:r w:rsidRPr="002B2470">
        <w:rPr>
          <w:rFonts w:ascii="Arial" w:eastAsia="Times New Roman" w:hAnsi="Arial" w:cs="Arial"/>
          <w:szCs w:val="20"/>
          <w:lang w:val="mk-MK" w:eastAsia="mk-MK"/>
        </w:rPr>
        <w:t xml:space="preserve"> 189 од </w:t>
      </w:r>
      <w:r w:rsidR="0041092E">
        <w:rPr>
          <w:rFonts w:ascii="Arial" w:eastAsia="Times New Roman" w:hAnsi="Arial" w:cs="Arial"/>
          <w:szCs w:val="20"/>
          <w:lang w:val="mk-MK" w:eastAsia="mk-MK"/>
        </w:rPr>
        <w:t>М</w:t>
      </w:r>
      <w:r w:rsidRPr="002B2470">
        <w:rPr>
          <w:rFonts w:ascii="Arial" w:eastAsia="Times New Roman" w:hAnsi="Arial" w:cs="Arial"/>
          <w:szCs w:val="20"/>
          <w:lang w:val="mk-MK" w:eastAsia="mk-MK"/>
        </w:rPr>
        <w:t>ерката 31 во вкупните јавни расходи од 13.246.903 €.</w:t>
      </w:r>
    </w:p>
    <w:p w:rsidR="00E201E6" w:rsidRPr="002B2470" w:rsidRDefault="00E30912" w:rsidP="00E3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Cs w:val="20"/>
          <w:lang w:val="mk-MK" w:eastAsia="mk-MK"/>
        </w:rPr>
      </w:pPr>
      <w:r w:rsidRPr="002B2470">
        <w:rPr>
          <w:rFonts w:ascii="Arial" w:eastAsia="Times New Roman" w:hAnsi="Arial" w:cs="Arial"/>
          <w:szCs w:val="20"/>
          <w:lang w:val="mk-MK" w:eastAsia="mk-MK"/>
        </w:rPr>
        <w:t xml:space="preserve">Причините за одбивање на барањата </w:t>
      </w:r>
      <w:r w:rsidR="00E201E6" w:rsidRPr="002B2470">
        <w:rPr>
          <w:rFonts w:ascii="Arial" w:eastAsia="Times New Roman" w:hAnsi="Arial" w:cs="Arial"/>
          <w:szCs w:val="20"/>
          <w:lang w:val="mk-MK" w:eastAsia="mk-MK"/>
        </w:rPr>
        <w:t>не ги исполнуваат критериумите на ИПАРД програмата.</w:t>
      </w:r>
    </w:p>
    <w:p w:rsidR="00E30912" w:rsidRPr="002B2470" w:rsidRDefault="00E30912" w:rsidP="00410356">
      <w:pPr>
        <w:pStyle w:val="m343668044302477783m-3986873246552044066msolistparagraph"/>
        <w:spacing w:before="120" w:beforeAutospacing="0" w:after="0" w:afterAutospacing="0"/>
        <w:jc w:val="both"/>
        <w:rPr>
          <w:rStyle w:val="tlid-translation"/>
          <w:rFonts w:ascii="Arial" w:hAnsi="Arial" w:cs="Arial"/>
          <w:sz w:val="22"/>
          <w:lang w:val="mk-MK"/>
        </w:rPr>
      </w:pPr>
      <w:r w:rsidRPr="0038361F">
        <w:rPr>
          <w:rStyle w:val="tlid-translation"/>
          <w:rFonts w:ascii="Arial" w:hAnsi="Arial" w:cs="Arial"/>
          <w:sz w:val="22"/>
          <w:lang w:val="mk-MK"/>
        </w:rPr>
        <w:t xml:space="preserve">Во текот на 2018 година Секторот за одобрување </w:t>
      </w:r>
      <w:r w:rsidRPr="002B2470">
        <w:rPr>
          <w:rStyle w:val="tlid-translation"/>
          <w:rFonts w:ascii="Arial" w:hAnsi="Arial" w:cs="Arial"/>
          <w:sz w:val="22"/>
          <w:lang w:val="mk-MK"/>
        </w:rPr>
        <w:t>исплата</w:t>
      </w:r>
      <w:r w:rsidRPr="0038361F">
        <w:rPr>
          <w:rStyle w:val="tlid-translation"/>
          <w:rFonts w:ascii="Arial" w:hAnsi="Arial" w:cs="Arial"/>
          <w:sz w:val="22"/>
          <w:lang w:val="mk-MK"/>
        </w:rPr>
        <w:t xml:space="preserve"> прими 530 барања за исплата</w:t>
      </w:r>
      <w:r w:rsidRPr="002B2470">
        <w:rPr>
          <w:rStyle w:val="tlid-translation"/>
          <w:rFonts w:ascii="Arial" w:hAnsi="Arial" w:cs="Arial"/>
          <w:sz w:val="22"/>
          <w:lang w:val="mk-MK"/>
        </w:rPr>
        <w:t>,</w:t>
      </w:r>
      <w:r w:rsidR="002B2470">
        <w:rPr>
          <w:rStyle w:val="tlid-translation"/>
          <w:rFonts w:ascii="Arial" w:hAnsi="Arial" w:cs="Arial"/>
          <w:sz w:val="22"/>
          <w:lang w:val="mk-MK"/>
        </w:rPr>
        <w:t xml:space="preserve"> </w:t>
      </w:r>
      <w:r w:rsidRPr="002B2470">
        <w:rPr>
          <w:rStyle w:val="tlid-translation"/>
          <w:rFonts w:ascii="Arial" w:hAnsi="Arial" w:cs="Arial"/>
          <w:sz w:val="22"/>
          <w:lang w:val="mk-MK"/>
        </w:rPr>
        <w:t xml:space="preserve">во постапка за одобрување </w:t>
      </w:r>
      <w:r w:rsidRPr="0038361F">
        <w:rPr>
          <w:rStyle w:val="tlid-translation"/>
          <w:rFonts w:ascii="Arial" w:hAnsi="Arial" w:cs="Arial"/>
          <w:sz w:val="22"/>
          <w:lang w:val="mk-MK"/>
        </w:rPr>
        <w:t xml:space="preserve">на исплата </w:t>
      </w:r>
      <w:r w:rsidR="0041092E">
        <w:rPr>
          <w:rStyle w:val="tlid-translation"/>
          <w:rFonts w:ascii="Arial" w:hAnsi="Arial" w:cs="Arial"/>
          <w:sz w:val="22"/>
          <w:lang w:val="mk-MK"/>
        </w:rPr>
        <w:t xml:space="preserve">се </w:t>
      </w:r>
      <w:r w:rsidRPr="0038361F">
        <w:rPr>
          <w:rStyle w:val="tlid-translation"/>
          <w:rFonts w:ascii="Arial" w:hAnsi="Arial" w:cs="Arial"/>
          <w:sz w:val="22"/>
          <w:lang w:val="mk-MK"/>
        </w:rPr>
        <w:t xml:space="preserve">127 барања, одбиени </w:t>
      </w:r>
      <w:r w:rsidRPr="002B2470">
        <w:rPr>
          <w:rStyle w:val="tlid-translation"/>
          <w:rFonts w:ascii="Arial" w:hAnsi="Arial" w:cs="Arial"/>
          <w:sz w:val="22"/>
          <w:lang w:val="mk-MK"/>
        </w:rPr>
        <w:t xml:space="preserve">се </w:t>
      </w:r>
      <w:r w:rsidRPr="0038361F">
        <w:rPr>
          <w:rStyle w:val="tlid-translation"/>
          <w:rFonts w:ascii="Arial" w:hAnsi="Arial" w:cs="Arial"/>
          <w:sz w:val="22"/>
          <w:lang w:val="mk-MK"/>
        </w:rPr>
        <w:t>8 барања и</w:t>
      </w:r>
      <w:r w:rsidRPr="002B2470">
        <w:rPr>
          <w:rStyle w:val="tlid-translation"/>
          <w:rFonts w:ascii="Arial" w:hAnsi="Arial" w:cs="Arial"/>
          <w:sz w:val="22"/>
          <w:lang w:val="mk-MK"/>
        </w:rPr>
        <w:t xml:space="preserve"> откажани </w:t>
      </w:r>
      <w:r w:rsidR="0041092E">
        <w:rPr>
          <w:rStyle w:val="tlid-translation"/>
          <w:rFonts w:ascii="Arial" w:hAnsi="Arial" w:cs="Arial"/>
          <w:sz w:val="22"/>
          <w:lang w:val="mk-MK"/>
        </w:rPr>
        <w:t xml:space="preserve">се </w:t>
      </w:r>
      <w:r w:rsidRPr="002B2470">
        <w:rPr>
          <w:rStyle w:val="tlid-translation"/>
          <w:rFonts w:ascii="Arial" w:hAnsi="Arial" w:cs="Arial"/>
          <w:sz w:val="22"/>
          <w:lang w:val="mk-MK"/>
        </w:rPr>
        <w:t>8 договори.</w:t>
      </w:r>
    </w:p>
    <w:p w:rsidR="00873CFA" w:rsidRPr="002B2470" w:rsidRDefault="00E30912" w:rsidP="00873CFA">
      <w:pPr>
        <w:pStyle w:val="m343668044302477783m-3986873246552044066msolistparagraph"/>
        <w:spacing w:before="120" w:beforeAutospacing="0" w:after="0" w:afterAutospacing="0"/>
        <w:jc w:val="both"/>
        <w:rPr>
          <w:rStyle w:val="tlid-translation"/>
          <w:rFonts w:ascii="Arial" w:hAnsi="Arial" w:cs="Arial"/>
          <w:sz w:val="22"/>
          <w:lang w:val="mk-MK"/>
        </w:rPr>
      </w:pPr>
      <w:r w:rsidRPr="0038361F">
        <w:rPr>
          <w:rStyle w:val="tlid-translation"/>
          <w:rFonts w:ascii="Arial" w:hAnsi="Arial" w:cs="Arial"/>
          <w:sz w:val="22"/>
          <w:lang w:val="mk-MK"/>
        </w:rPr>
        <w:t>Добиени</w:t>
      </w:r>
      <w:r w:rsidR="00873CFA" w:rsidRPr="0038361F">
        <w:rPr>
          <w:rStyle w:val="tlid-translation"/>
          <w:rFonts w:ascii="Arial" w:hAnsi="Arial" w:cs="Arial"/>
          <w:sz w:val="22"/>
          <w:lang w:val="mk-MK"/>
        </w:rPr>
        <w:t xml:space="preserve"> барања за одобрување на </w:t>
      </w:r>
      <w:r w:rsidR="00873CFA" w:rsidRPr="002B2470">
        <w:rPr>
          <w:rStyle w:val="tlid-translation"/>
          <w:rFonts w:ascii="Arial" w:hAnsi="Arial" w:cs="Arial"/>
          <w:sz w:val="22"/>
          <w:lang w:val="mk-MK"/>
        </w:rPr>
        <w:t>исплата</w:t>
      </w:r>
      <w:r w:rsidRPr="0038361F">
        <w:rPr>
          <w:rStyle w:val="tlid-translation"/>
          <w:rFonts w:ascii="Arial" w:hAnsi="Arial" w:cs="Arial"/>
          <w:sz w:val="22"/>
          <w:lang w:val="mk-MK"/>
        </w:rPr>
        <w:t xml:space="preserve"> во 2018 година</w:t>
      </w:r>
      <w:r w:rsidR="00873CFA" w:rsidRPr="0038361F">
        <w:rPr>
          <w:rStyle w:val="tlid-translation"/>
          <w:rFonts w:ascii="Arial" w:hAnsi="Arial" w:cs="Arial"/>
          <w:sz w:val="22"/>
          <w:lang w:val="mk-MK"/>
        </w:rPr>
        <w:t>:</w:t>
      </w:r>
    </w:p>
    <w:p w:rsidR="00873CFA" w:rsidRPr="0038361F" w:rsidRDefault="0019564C" w:rsidP="00513E4D">
      <w:pPr>
        <w:pStyle w:val="m343668044302477783m-3986873246552044066msolistparagraph"/>
        <w:numPr>
          <w:ilvl w:val="0"/>
          <w:numId w:val="25"/>
        </w:numPr>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за </w:t>
      </w:r>
      <w:r w:rsidR="0041092E">
        <w:rPr>
          <w:rFonts w:ascii="Arial" w:hAnsi="Arial" w:cs="Arial"/>
          <w:sz w:val="22"/>
          <w:szCs w:val="22"/>
          <w:lang w:val="mk-MK"/>
        </w:rPr>
        <w:t>М</w:t>
      </w:r>
      <w:r w:rsidR="0041092E" w:rsidRPr="0038361F">
        <w:rPr>
          <w:rFonts w:ascii="Arial" w:hAnsi="Arial" w:cs="Arial"/>
          <w:sz w:val="22"/>
          <w:szCs w:val="22"/>
          <w:lang w:val="mk-MK"/>
        </w:rPr>
        <w:t xml:space="preserve">ерка </w:t>
      </w:r>
      <w:r w:rsidR="00873CFA" w:rsidRPr="0038361F">
        <w:rPr>
          <w:rFonts w:ascii="Arial" w:hAnsi="Arial" w:cs="Arial"/>
          <w:sz w:val="22"/>
          <w:szCs w:val="22"/>
          <w:lang w:val="mk-MK"/>
        </w:rPr>
        <w:t>1, примeни</w:t>
      </w:r>
      <w:r w:rsidR="00E30912" w:rsidRPr="0038361F">
        <w:rPr>
          <w:rFonts w:ascii="Arial" w:hAnsi="Arial" w:cs="Arial"/>
          <w:sz w:val="22"/>
          <w:szCs w:val="22"/>
          <w:lang w:val="mk-MK"/>
        </w:rPr>
        <w:t xml:space="preserve"> </w:t>
      </w:r>
      <w:r w:rsidR="00873CFA" w:rsidRPr="0038361F">
        <w:rPr>
          <w:rFonts w:ascii="Arial" w:hAnsi="Arial" w:cs="Arial"/>
          <w:sz w:val="22"/>
          <w:szCs w:val="22"/>
          <w:lang w:val="mk-MK"/>
        </w:rPr>
        <w:t xml:space="preserve">се </w:t>
      </w:r>
      <w:r w:rsidR="00E30912" w:rsidRPr="0038361F">
        <w:rPr>
          <w:rFonts w:ascii="Arial" w:hAnsi="Arial" w:cs="Arial"/>
          <w:sz w:val="22"/>
          <w:szCs w:val="22"/>
          <w:lang w:val="mk-MK"/>
        </w:rPr>
        <w:t>516</w:t>
      </w:r>
      <w:r w:rsidR="00873CFA" w:rsidRPr="0038361F">
        <w:rPr>
          <w:rFonts w:ascii="Arial" w:hAnsi="Arial" w:cs="Arial"/>
          <w:sz w:val="22"/>
          <w:szCs w:val="22"/>
          <w:lang w:val="mk-MK"/>
        </w:rPr>
        <w:t xml:space="preserve"> барања за одобрување на исплата</w:t>
      </w:r>
    </w:p>
    <w:p w:rsidR="00873CFA" w:rsidRPr="0038361F" w:rsidRDefault="00873CFA" w:rsidP="00513E4D">
      <w:pPr>
        <w:pStyle w:val="m343668044302477783m-3986873246552044066msolistparagraph"/>
        <w:numPr>
          <w:ilvl w:val="0"/>
          <w:numId w:val="25"/>
        </w:numPr>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з</w:t>
      </w:r>
      <w:r w:rsidR="0019564C" w:rsidRPr="0038361F">
        <w:rPr>
          <w:rFonts w:ascii="Arial" w:hAnsi="Arial" w:cs="Arial"/>
          <w:sz w:val="22"/>
          <w:szCs w:val="22"/>
          <w:lang w:val="mk-MK"/>
        </w:rPr>
        <w:t xml:space="preserve">а </w:t>
      </w:r>
      <w:r w:rsidR="0041092E">
        <w:rPr>
          <w:rFonts w:ascii="Arial" w:hAnsi="Arial" w:cs="Arial"/>
          <w:sz w:val="22"/>
          <w:szCs w:val="22"/>
          <w:lang w:val="mk-MK"/>
        </w:rPr>
        <w:t>М</w:t>
      </w:r>
      <w:r w:rsidR="0019564C" w:rsidRPr="0038361F">
        <w:rPr>
          <w:rFonts w:ascii="Arial" w:hAnsi="Arial" w:cs="Arial"/>
          <w:sz w:val="22"/>
          <w:szCs w:val="22"/>
          <w:lang w:val="mk-MK"/>
        </w:rPr>
        <w:t xml:space="preserve">ерка </w:t>
      </w:r>
      <w:r w:rsidRPr="0038361F">
        <w:rPr>
          <w:rFonts w:ascii="Arial" w:hAnsi="Arial" w:cs="Arial"/>
          <w:sz w:val="22"/>
          <w:szCs w:val="22"/>
          <w:lang w:val="mk-MK"/>
        </w:rPr>
        <w:t xml:space="preserve">3, </w:t>
      </w:r>
      <w:r w:rsidR="00E30912" w:rsidRPr="0038361F">
        <w:rPr>
          <w:rFonts w:ascii="Arial" w:hAnsi="Arial" w:cs="Arial"/>
          <w:sz w:val="22"/>
          <w:szCs w:val="22"/>
          <w:lang w:val="mk-MK"/>
        </w:rPr>
        <w:t xml:space="preserve">примени </w:t>
      </w:r>
      <w:r w:rsidRPr="0038361F">
        <w:rPr>
          <w:rFonts w:ascii="Arial" w:hAnsi="Arial" w:cs="Arial"/>
          <w:sz w:val="22"/>
          <w:szCs w:val="22"/>
          <w:lang w:val="mk-MK"/>
        </w:rPr>
        <w:t xml:space="preserve">се </w:t>
      </w:r>
      <w:r w:rsidR="00E30912" w:rsidRPr="0038361F">
        <w:rPr>
          <w:rFonts w:ascii="Arial" w:hAnsi="Arial" w:cs="Arial"/>
          <w:sz w:val="22"/>
          <w:szCs w:val="22"/>
          <w:lang w:val="mk-MK"/>
        </w:rPr>
        <w:t>14</w:t>
      </w:r>
      <w:r w:rsidRPr="0038361F">
        <w:rPr>
          <w:rFonts w:ascii="Arial" w:hAnsi="Arial" w:cs="Arial"/>
          <w:sz w:val="22"/>
          <w:szCs w:val="22"/>
          <w:lang w:val="mk-MK"/>
        </w:rPr>
        <w:t xml:space="preserve"> барања за одобрување на исплата</w:t>
      </w:r>
    </w:p>
    <w:p w:rsidR="00513E4D" w:rsidRPr="0038361F" w:rsidRDefault="0019564C" w:rsidP="00513E4D">
      <w:pPr>
        <w:pStyle w:val="m343668044302477783m-3986873246552044066msolistparagraph"/>
        <w:numPr>
          <w:ilvl w:val="0"/>
          <w:numId w:val="25"/>
        </w:numPr>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 xml:space="preserve">за </w:t>
      </w:r>
      <w:r w:rsidR="0041092E">
        <w:rPr>
          <w:rFonts w:ascii="Arial" w:hAnsi="Arial" w:cs="Arial"/>
          <w:sz w:val="22"/>
          <w:szCs w:val="22"/>
          <w:lang w:val="mk-MK"/>
        </w:rPr>
        <w:t>М</w:t>
      </w:r>
      <w:r w:rsidRPr="0038361F">
        <w:rPr>
          <w:rFonts w:ascii="Arial" w:hAnsi="Arial" w:cs="Arial"/>
          <w:sz w:val="22"/>
          <w:szCs w:val="22"/>
          <w:lang w:val="mk-MK"/>
        </w:rPr>
        <w:t>ерка 7</w:t>
      </w:r>
      <w:r w:rsidR="00513E4D" w:rsidRPr="0038361F">
        <w:rPr>
          <w:rFonts w:ascii="Arial" w:hAnsi="Arial" w:cs="Arial"/>
          <w:sz w:val="22"/>
          <w:szCs w:val="22"/>
          <w:lang w:val="mk-MK"/>
        </w:rPr>
        <w:t>, примени се</w:t>
      </w:r>
      <w:r w:rsidR="00E30912" w:rsidRPr="0038361F">
        <w:rPr>
          <w:rFonts w:ascii="Arial" w:hAnsi="Arial" w:cs="Arial"/>
          <w:sz w:val="22"/>
          <w:szCs w:val="22"/>
          <w:lang w:val="mk-MK"/>
        </w:rPr>
        <w:t xml:space="preserve"> 0 барања за одо</w:t>
      </w:r>
      <w:r w:rsidR="00513E4D" w:rsidRPr="0038361F">
        <w:rPr>
          <w:rFonts w:ascii="Arial" w:hAnsi="Arial" w:cs="Arial"/>
          <w:sz w:val="22"/>
          <w:szCs w:val="22"/>
          <w:lang w:val="mk-MK"/>
        </w:rPr>
        <w:t>брување на исплата</w:t>
      </w:r>
    </w:p>
    <w:p w:rsidR="00827055" w:rsidRPr="0038361F" w:rsidRDefault="0019564C" w:rsidP="00827055">
      <w:pPr>
        <w:pStyle w:val="m343668044302477783m-3986873246552044066msolistparagraph"/>
        <w:numPr>
          <w:ilvl w:val="0"/>
          <w:numId w:val="25"/>
        </w:numPr>
        <w:spacing w:before="120" w:beforeAutospacing="0" w:after="0" w:afterAutospacing="0"/>
        <w:jc w:val="both"/>
        <w:rPr>
          <w:rFonts w:ascii="Arial" w:hAnsi="Arial" w:cs="Arial"/>
          <w:sz w:val="22"/>
          <w:lang w:val="mk-MK"/>
        </w:rPr>
      </w:pPr>
      <w:r w:rsidRPr="0038361F">
        <w:rPr>
          <w:rFonts w:ascii="Arial" w:hAnsi="Arial" w:cs="Arial"/>
          <w:sz w:val="22"/>
          <w:szCs w:val="22"/>
          <w:lang w:val="mk-MK"/>
        </w:rPr>
        <w:t xml:space="preserve">за </w:t>
      </w:r>
      <w:r w:rsidR="0041092E">
        <w:rPr>
          <w:rFonts w:ascii="Arial" w:hAnsi="Arial" w:cs="Arial"/>
          <w:sz w:val="22"/>
          <w:szCs w:val="22"/>
          <w:lang w:val="mk-MK"/>
        </w:rPr>
        <w:t>М</w:t>
      </w:r>
      <w:r w:rsidRPr="0038361F">
        <w:rPr>
          <w:rFonts w:ascii="Arial" w:hAnsi="Arial" w:cs="Arial"/>
          <w:sz w:val="22"/>
          <w:szCs w:val="22"/>
          <w:lang w:val="mk-MK"/>
        </w:rPr>
        <w:t>ерка 9</w:t>
      </w:r>
      <w:r w:rsidR="00513E4D" w:rsidRPr="0038361F">
        <w:rPr>
          <w:rFonts w:ascii="Arial" w:hAnsi="Arial" w:cs="Arial"/>
          <w:sz w:val="22"/>
          <w:szCs w:val="22"/>
          <w:lang w:val="mk-MK"/>
        </w:rPr>
        <w:t>, примени се</w:t>
      </w:r>
      <w:r w:rsidR="00E30912" w:rsidRPr="0038361F">
        <w:rPr>
          <w:rFonts w:ascii="Arial" w:hAnsi="Arial" w:cs="Arial"/>
          <w:sz w:val="22"/>
          <w:szCs w:val="22"/>
          <w:lang w:val="mk-MK"/>
        </w:rPr>
        <w:t xml:space="preserve"> 3</w:t>
      </w:r>
      <w:r w:rsidR="00513E4D" w:rsidRPr="0038361F">
        <w:rPr>
          <w:rFonts w:ascii="Arial" w:hAnsi="Arial" w:cs="Arial"/>
          <w:sz w:val="22"/>
          <w:szCs w:val="22"/>
          <w:lang w:val="mk-MK"/>
        </w:rPr>
        <w:t xml:space="preserve"> барања за одобрување на исплата</w:t>
      </w:r>
    </w:p>
    <w:p w:rsidR="00E30912" w:rsidRPr="0041092E" w:rsidRDefault="00E30912" w:rsidP="00827055">
      <w:pPr>
        <w:pStyle w:val="m343668044302477783m-3986873246552044066msolistparagraph"/>
        <w:spacing w:before="120" w:beforeAutospacing="0" w:after="0" w:afterAutospacing="0"/>
        <w:jc w:val="both"/>
        <w:rPr>
          <w:rFonts w:ascii="Arial" w:hAnsi="Arial" w:cs="Arial"/>
          <w:sz w:val="22"/>
          <w:szCs w:val="22"/>
          <w:lang w:val="mk-MK"/>
        </w:rPr>
      </w:pPr>
      <w:r w:rsidRPr="0041092E">
        <w:rPr>
          <w:rFonts w:ascii="Arial" w:hAnsi="Arial" w:cs="Arial"/>
          <w:sz w:val="22"/>
          <w:szCs w:val="22"/>
          <w:lang w:val="mk-MK"/>
        </w:rPr>
        <w:t>Причинит</w:t>
      </w:r>
      <w:r w:rsidR="00827055" w:rsidRPr="0041092E">
        <w:rPr>
          <w:rFonts w:ascii="Arial" w:hAnsi="Arial" w:cs="Arial"/>
          <w:sz w:val="22"/>
          <w:szCs w:val="22"/>
          <w:lang w:val="mk-MK"/>
        </w:rPr>
        <w:t>е за отфрлање на барањата/</w:t>
      </w:r>
      <w:r w:rsidRPr="0041092E">
        <w:rPr>
          <w:rFonts w:ascii="Arial" w:hAnsi="Arial" w:cs="Arial"/>
          <w:sz w:val="22"/>
          <w:szCs w:val="22"/>
          <w:lang w:val="mk-MK"/>
        </w:rPr>
        <w:t>откажување на договорите се</w:t>
      </w:r>
      <w:r w:rsidRPr="00A56613">
        <w:rPr>
          <w:rStyle w:val="tlid-translation"/>
          <w:rFonts w:ascii="Arial" w:hAnsi="Arial" w:cs="Arial"/>
          <w:sz w:val="22"/>
          <w:szCs w:val="22"/>
          <w:lang w:val="mk-MK"/>
        </w:rPr>
        <w:t xml:space="preserve"> прекршување на дого</w:t>
      </w:r>
      <w:r w:rsidR="00827055" w:rsidRPr="00A56613">
        <w:rPr>
          <w:rStyle w:val="tlid-translation"/>
          <w:rFonts w:ascii="Arial" w:hAnsi="Arial" w:cs="Arial"/>
          <w:sz w:val="22"/>
          <w:szCs w:val="22"/>
          <w:lang w:val="mk-MK"/>
        </w:rPr>
        <w:t>ворот, неиспорачани барања за исплата</w:t>
      </w:r>
      <w:r w:rsidRPr="00A56613">
        <w:rPr>
          <w:rStyle w:val="tlid-translation"/>
          <w:rFonts w:ascii="Arial" w:hAnsi="Arial" w:cs="Arial"/>
          <w:sz w:val="22"/>
          <w:szCs w:val="22"/>
          <w:lang w:val="mk-MK"/>
        </w:rPr>
        <w:t>.</w:t>
      </w:r>
    </w:p>
    <w:p w:rsidR="0041092E" w:rsidRDefault="0041092E" w:rsidP="00C44834">
      <w:pPr>
        <w:spacing w:after="0" w:line="240" w:lineRule="auto"/>
        <w:rPr>
          <w:rFonts w:ascii="Arial" w:eastAsia="Times New Roman" w:hAnsi="Arial" w:cs="Arial"/>
          <w:szCs w:val="24"/>
          <w:lang w:val="mk-MK" w:eastAsia="mk-MK"/>
        </w:rPr>
      </w:pPr>
    </w:p>
    <w:p w:rsidR="00C44834" w:rsidRPr="002B2470" w:rsidRDefault="00C44834" w:rsidP="00C44834">
      <w:p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I</w:t>
      </w:r>
      <w:r w:rsidR="007B49D4" w:rsidRPr="0038361F">
        <w:rPr>
          <w:rFonts w:ascii="Arial" w:eastAsia="Times New Roman" w:hAnsi="Arial" w:cs="Arial"/>
          <w:szCs w:val="24"/>
          <w:lang w:val="mk-MK" w:eastAsia="mk-MK"/>
        </w:rPr>
        <w:t>I</w:t>
      </w:r>
      <w:r w:rsidRPr="002B2470">
        <w:rPr>
          <w:rFonts w:ascii="Arial" w:eastAsia="Times New Roman" w:hAnsi="Arial" w:cs="Arial"/>
          <w:szCs w:val="24"/>
          <w:lang w:val="mk-MK" w:eastAsia="mk-MK"/>
        </w:rPr>
        <w:t>. Во однос на контролите на лице место, Сектор за контрола на лице место изврши вкупно:</w:t>
      </w:r>
    </w:p>
    <w:p w:rsidR="00C44834" w:rsidRPr="008A22EF" w:rsidRDefault="00C44834" w:rsidP="00C44834">
      <w:pPr>
        <w:spacing w:after="0" w:line="240" w:lineRule="auto"/>
        <w:rPr>
          <w:rFonts w:ascii="Arial" w:eastAsia="Times New Roman" w:hAnsi="Arial" w:cs="Arial"/>
          <w:szCs w:val="24"/>
          <w:lang w:val="mk-MK" w:eastAsia="mk-MK"/>
        </w:rPr>
      </w:pPr>
    </w:p>
    <w:p w:rsidR="00C44834" w:rsidRPr="002B2470" w:rsidRDefault="00C44834" w:rsidP="00C44834">
      <w:pPr>
        <w:pStyle w:val="ListParagraph"/>
        <w:numPr>
          <w:ilvl w:val="0"/>
          <w:numId w:val="41"/>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902 контроли на лице мест</w:t>
      </w:r>
      <w:r w:rsidR="0019564C" w:rsidRPr="002B2470">
        <w:rPr>
          <w:rFonts w:ascii="Arial" w:eastAsia="Times New Roman" w:hAnsi="Arial" w:cs="Arial"/>
          <w:szCs w:val="24"/>
          <w:lang w:val="mk-MK" w:eastAsia="mk-MK"/>
        </w:rPr>
        <w:t xml:space="preserve">о при инвестирање според Мерка </w:t>
      </w:r>
      <w:r w:rsidRPr="002B2470">
        <w:rPr>
          <w:rFonts w:ascii="Arial" w:eastAsia="Times New Roman" w:hAnsi="Arial" w:cs="Arial"/>
          <w:szCs w:val="24"/>
          <w:lang w:val="mk-MK" w:eastAsia="mk-MK"/>
        </w:rPr>
        <w:t>1</w:t>
      </w:r>
    </w:p>
    <w:p w:rsidR="00C44834" w:rsidRPr="002B2470" w:rsidRDefault="00C44834" w:rsidP="00C44834">
      <w:pPr>
        <w:pStyle w:val="ListParagraph"/>
        <w:numPr>
          <w:ilvl w:val="0"/>
          <w:numId w:val="41"/>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27 контроли на лице место при инвестирање според Мерка 3</w:t>
      </w:r>
    </w:p>
    <w:p w:rsidR="00C44834" w:rsidRPr="002B2470" w:rsidRDefault="00C44834" w:rsidP="00C44834">
      <w:pPr>
        <w:pStyle w:val="ListParagraph"/>
        <w:numPr>
          <w:ilvl w:val="0"/>
          <w:numId w:val="41"/>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3 контроли на самото место при инвестирање според Мерка 7</w:t>
      </w:r>
    </w:p>
    <w:p w:rsidR="00C44834" w:rsidRPr="002B2470" w:rsidRDefault="00C44834" w:rsidP="00C44834">
      <w:pPr>
        <w:pStyle w:val="ListParagraph"/>
        <w:numPr>
          <w:ilvl w:val="0"/>
          <w:numId w:val="49"/>
        </w:numPr>
        <w:spacing w:after="0" w:line="240" w:lineRule="auto"/>
        <w:rPr>
          <w:rFonts w:ascii="Arial" w:eastAsia="Times New Roman" w:hAnsi="Arial" w:cs="Arial"/>
          <w:szCs w:val="24"/>
          <w:u w:val="single"/>
          <w:lang w:val="mk-MK" w:eastAsia="mk-MK"/>
        </w:rPr>
      </w:pPr>
      <w:r w:rsidRPr="002B2470">
        <w:rPr>
          <w:rFonts w:ascii="Arial" w:eastAsia="Times New Roman" w:hAnsi="Arial" w:cs="Arial"/>
          <w:szCs w:val="24"/>
          <w:u w:val="single"/>
          <w:lang w:val="mk-MK" w:eastAsia="mk-MK"/>
        </w:rPr>
        <w:t>319 контролирани пред исплата на</w:t>
      </w:r>
      <w:r w:rsidR="002B2470">
        <w:rPr>
          <w:rFonts w:ascii="Arial" w:eastAsia="Times New Roman" w:hAnsi="Arial" w:cs="Arial"/>
          <w:szCs w:val="24"/>
          <w:u w:val="single"/>
          <w:lang w:val="mk-MK" w:eastAsia="mk-MK"/>
        </w:rPr>
        <w:t xml:space="preserve"> </w:t>
      </w:r>
      <w:r w:rsidRPr="002B2470">
        <w:rPr>
          <w:rFonts w:ascii="Arial" w:eastAsia="Times New Roman" w:hAnsi="Arial" w:cs="Arial"/>
          <w:szCs w:val="24"/>
          <w:u w:val="single"/>
          <w:lang w:val="mk-MK" w:eastAsia="mk-MK"/>
        </w:rPr>
        <w:t>лице место, од кои:</w:t>
      </w:r>
    </w:p>
    <w:p w:rsidR="00C44834" w:rsidRPr="002B2470" w:rsidRDefault="00C44834" w:rsidP="00C44834">
      <w:pPr>
        <w:pStyle w:val="ListParagraph"/>
        <w:numPr>
          <w:ilvl w:val="0"/>
          <w:numId w:val="49"/>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308 контроли на лице место при инвестирање според Мерка 1</w:t>
      </w:r>
    </w:p>
    <w:p w:rsidR="00C44834" w:rsidRPr="008A22EF" w:rsidRDefault="00C44834" w:rsidP="00C44834">
      <w:pPr>
        <w:pStyle w:val="ListParagraph"/>
        <w:numPr>
          <w:ilvl w:val="0"/>
          <w:numId w:val="49"/>
        </w:numPr>
        <w:spacing w:after="0" w:line="240" w:lineRule="auto"/>
        <w:rPr>
          <w:rFonts w:ascii="Arial" w:eastAsia="Times New Roman" w:hAnsi="Arial" w:cs="Arial"/>
          <w:szCs w:val="24"/>
          <w:lang w:val="mk-MK" w:eastAsia="mk-MK"/>
        </w:rPr>
      </w:pPr>
      <w:r w:rsidRPr="008A22EF">
        <w:rPr>
          <w:rFonts w:ascii="Arial" w:eastAsia="Times New Roman" w:hAnsi="Arial" w:cs="Arial"/>
          <w:szCs w:val="24"/>
          <w:lang w:val="mk-MK" w:eastAsia="mk-MK"/>
        </w:rPr>
        <w:t>11 контроли на лице место при инвестирање во Мерка 3</w:t>
      </w:r>
    </w:p>
    <w:p w:rsidR="00C44834" w:rsidRPr="002B2470" w:rsidRDefault="00C44834" w:rsidP="00C44834">
      <w:pPr>
        <w:pStyle w:val="ListParagraph"/>
        <w:numPr>
          <w:ilvl w:val="0"/>
          <w:numId w:val="49"/>
        </w:numPr>
        <w:spacing w:after="0" w:line="240" w:lineRule="auto"/>
        <w:rPr>
          <w:rFonts w:ascii="Arial" w:eastAsia="Times New Roman" w:hAnsi="Arial" w:cs="Arial"/>
          <w:szCs w:val="24"/>
          <w:u w:val="single"/>
          <w:lang w:val="mk-MK" w:eastAsia="mk-MK"/>
        </w:rPr>
      </w:pPr>
      <w:r w:rsidRPr="002B2470">
        <w:rPr>
          <w:rFonts w:ascii="Arial" w:eastAsia="Times New Roman" w:hAnsi="Arial" w:cs="Arial"/>
          <w:szCs w:val="24"/>
          <w:u w:val="single"/>
          <w:lang w:val="mk-MK" w:eastAsia="mk-MK"/>
        </w:rPr>
        <w:t>157 ex-post контроли на самото место, од кои</w:t>
      </w:r>
    </w:p>
    <w:p w:rsidR="00C44834" w:rsidRPr="002B2470" w:rsidRDefault="00C44834" w:rsidP="00C44834">
      <w:pPr>
        <w:pStyle w:val="ListParagraph"/>
        <w:numPr>
          <w:ilvl w:val="0"/>
          <w:numId w:val="49"/>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149 контроли на лице место при инвестирање според Мерка 1</w:t>
      </w:r>
    </w:p>
    <w:p w:rsidR="00C44834" w:rsidRPr="002B2470" w:rsidRDefault="00C44834" w:rsidP="00C44834">
      <w:pPr>
        <w:pStyle w:val="ListParagraph"/>
        <w:numPr>
          <w:ilvl w:val="0"/>
          <w:numId w:val="49"/>
        </w:numPr>
        <w:spacing w:after="0" w:line="240" w:lineRule="auto"/>
        <w:rPr>
          <w:rFonts w:ascii="Arial" w:eastAsia="Times New Roman" w:hAnsi="Arial" w:cs="Arial"/>
          <w:szCs w:val="24"/>
          <w:lang w:val="mk-MK" w:eastAsia="mk-MK"/>
        </w:rPr>
      </w:pPr>
      <w:r w:rsidRPr="002B2470">
        <w:rPr>
          <w:rFonts w:ascii="Arial" w:eastAsia="Times New Roman" w:hAnsi="Arial" w:cs="Arial"/>
          <w:szCs w:val="24"/>
          <w:lang w:val="mk-MK" w:eastAsia="mk-MK"/>
        </w:rPr>
        <w:t>3 контроли на лице место при инвестирање според Мерка 1</w:t>
      </w:r>
    </w:p>
    <w:p w:rsidR="00A60A25" w:rsidRPr="002B2470" w:rsidRDefault="00C44834" w:rsidP="00A60A25">
      <w:pPr>
        <w:pStyle w:val="ListParagraph"/>
        <w:numPr>
          <w:ilvl w:val="0"/>
          <w:numId w:val="49"/>
        </w:numPr>
        <w:spacing w:after="0" w:line="240" w:lineRule="auto"/>
        <w:jc w:val="both"/>
        <w:rPr>
          <w:rFonts w:ascii="Arial" w:eastAsia="Times New Roman" w:hAnsi="Arial" w:cs="Arial"/>
          <w:sz w:val="20"/>
          <w:szCs w:val="24"/>
          <w:lang w:val="mk-MK" w:eastAsia="mk-MK"/>
        </w:rPr>
      </w:pPr>
      <w:r w:rsidRPr="002B2470">
        <w:rPr>
          <w:rFonts w:ascii="Arial" w:eastAsia="Times New Roman" w:hAnsi="Arial" w:cs="Arial"/>
          <w:szCs w:val="24"/>
          <w:lang w:val="mk-MK" w:eastAsia="mk-MK"/>
        </w:rPr>
        <w:t>5 контроли на лице м</w:t>
      </w:r>
      <w:r w:rsidR="0019564C" w:rsidRPr="002B2470">
        <w:rPr>
          <w:rFonts w:ascii="Arial" w:eastAsia="Times New Roman" w:hAnsi="Arial" w:cs="Arial"/>
          <w:szCs w:val="24"/>
          <w:lang w:val="mk-MK" w:eastAsia="mk-MK"/>
        </w:rPr>
        <w:t>есто при инвестирање во Мерка 7</w:t>
      </w:r>
    </w:p>
    <w:p w:rsidR="00A60A25" w:rsidRPr="002B2470" w:rsidRDefault="00C44834" w:rsidP="0041092E">
      <w:pPr>
        <w:spacing w:after="0" w:line="240" w:lineRule="auto"/>
        <w:jc w:val="both"/>
        <w:rPr>
          <w:rFonts w:ascii="Arial" w:eastAsia="Times New Roman" w:hAnsi="Arial" w:cs="Arial"/>
          <w:szCs w:val="24"/>
          <w:lang w:val="mk-MK" w:eastAsia="mk-MK"/>
        </w:rPr>
      </w:pPr>
      <w:r w:rsidRPr="002B2470">
        <w:rPr>
          <w:rFonts w:ascii="Arial" w:eastAsia="Times New Roman" w:hAnsi="Arial" w:cs="Arial"/>
          <w:szCs w:val="24"/>
          <w:lang w:val="mk-MK" w:eastAsia="mk-MK"/>
        </w:rPr>
        <w:t>Секторот за контрола на лице м</w:t>
      </w:r>
      <w:r w:rsidR="00A60A25" w:rsidRPr="002B2470">
        <w:rPr>
          <w:rFonts w:ascii="Arial" w:eastAsia="Times New Roman" w:hAnsi="Arial" w:cs="Arial"/>
          <w:szCs w:val="24"/>
          <w:lang w:val="mk-MK" w:eastAsia="mk-MK"/>
        </w:rPr>
        <w:t>есто изврши 5 контроли на лице</w:t>
      </w:r>
      <w:r w:rsidRPr="002B2470">
        <w:rPr>
          <w:rFonts w:ascii="Arial" w:eastAsia="Times New Roman" w:hAnsi="Arial" w:cs="Arial"/>
          <w:szCs w:val="24"/>
          <w:lang w:val="mk-MK" w:eastAsia="mk-MK"/>
        </w:rPr>
        <w:t xml:space="preserve"> место за утврдување скриени работи при реализација на инвестицијата</w:t>
      </w:r>
      <w:r w:rsidR="00A60A25" w:rsidRPr="002B2470">
        <w:rPr>
          <w:rFonts w:ascii="Arial" w:eastAsia="Times New Roman" w:hAnsi="Arial" w:cs="Arial"/>
          <w:szCs w:val="24"/>
          <w:lang w:val="mk-MK" w:eastAsia="mk-MK"/>
        </w:rPr>
        <w:t>.</w:t>
      </w:r>
    </w:p>
    <w:p w:rsidR="00C44834" w:rsidRPr="002B2470" w:rsidRDefault="00C44834" w:rsidP="0041092E">
      <w:pPr>
        <w:spacing w:after="0" w:line="240" w:lineRule="auto"/>
        <w:jc w:val="both"/>
        <w:rPr>
          <w:rFonts w:ascii="Arial" w:eastAsia="Times New Roman" w:hAnsi="Arial" w:cs="Arial"/>
          <w:sz w:val="20"/>
          <w:szCs w:val="24"/>
          <w:lang w:val="mk-MK" w:eastAsia="mk-MK"/>
        </w:rPr>
      </w:pPr>
      <w:r w:rsidRPr="002B2470">
        <w:rPr>
          <w:rFonts w:ascii="Arial" w:eastAsia="Times New Roman" w:hAnsi="Arial" w:cs="Arial"/>
          <w:szCs w:val="24"/>
          <w:lang w:val="mk-MK" w:eastAsia="mk-MK"/>
        </w:rPr>
        <w:lastRenderedPageBreak/>
        <w:br/>
        <w:t>Две контроли на лице место по потпишување на договорот, но пред</w:t>
      </w:r>
      <w:r w:rsidR="00A60A25" w:rsidRPr="002B2470">
        <w:rPr>
          <w:rFonts w:ascii="Arial" w:eastAsia="Times New Roman" w:hAnsi="Arial" w:cs="Arial"/>
          <w:szCs w:val="24"/>
          <w:lang w:val="mk-MK" w:eastAsia="mk-MK"/>
        </w:rPr>
        <w:t xml:space="preserve"> да се поднесе барање за исплата</w:t>
      </w:r>
      <w:r w:rsidRPr="002B2470">
        <w:rPr>
          <w:rFonts w:ascii="Arial" w:eastAsia="Times New Roman" w:hAnsi="Arial" w:cs="Arial"/>
          <w:szCs w:val="24"/>
          <w:lang w:val="mk-MK" w:eastAsia="mk-MK"/>
        </w:rPr>
        <w:t xml:space="preserve"> според мерка</w:t>
      </w:r>
      <w:r w:rsidR="00A60A25" w:rsidRPr="002B2470">
        <w:rPr>
          <w:rFonts w:ascii="Arial" w:eastAsia="Times New Roman" w:hAnsi="Arial" w:cs="Arial"/>
          <w:szCs w:val="24"/>
          <w:lang w:val="mk-MK" w:eastAsia="mk-MK"/>
        </w:rPr>
        <w:t>та</w:t>
      </w:r>
      <w:r w:rsidRPr="002B2470">
        <w:rPr>
          <w:rFonts w:ascii="Arial" w:eastAsia="Times New Roman" w:hAnsi="Arial" w:cs="Arial"/>
          <w:szCs w:val="24"/>
          <w:lang w:val="mk-MK" w:eastAsia="mk-MK"/>
        </w:rPr>
        <w:t xml:space="preserve"> Техничката помош б</w:t>
      </w:r>
      <w:r w:rsidR="002D237A">
        <w:rPr>
          <w:rFonts w:ascii="Arial" w:eastAsia="Times New Roman" w:hAnsi="Arial" w:cs="Arial"/>
          <w:szCs w:val="24"/>
          <w:lang w:val="mk-MK" w:eastAsia="mk-MK"/>
        </w:rPr>
        <w:t xml:space="preserve">еа </w:t>
      </w:r>
      <w:r w:rsidRPr="002B2470">
        <w:rPr>
          <w:rFonts w:ascii="Arial" w:eastAsia="Times New Roman" w:hAnsi="Arial" w:cs="Arial"/>
          <w:szCs w:val="24"/>
          <w:lang w:val="mk-MK" w:eastAsia="mk-MK"/>
        </w:rPr>
        <w:t>спроведена во 2018 година.</w:t>
      </w:r>
    </w:p>
    <w:p w:rsidR="00410356" w:rsidRPr="0038361F" w:rsidRDefault="00410356" w:rsidP="00BA6418">
      <w:pPr>
        <w:pStyle w:val="ListParagraph"/>
        <w:numPr>
          <w:ilvl w:val="1"/>
          <w:numId w:val="36"/>
        </w:numPr>
        <w:spacing w:before="120" w:after="0" w:line="240" w:lineRule="auto"/>
        <w:contextualSpacing w:val="0"/>
        <w:jc w:val="both"/>
        <w:outlineLvl w:val="1"/>
        <w:rPr>
          <w:rFonts w:ascii="Arial" w:hAnsi="Arial" w:cs="Arial"/>
          <w:b/>
          <w:lang w:val="mk-MK"/>
        </w:rPr>
      </w:pPr>
      <w:bookmarkStart w:id="79" w:name="_Toc7520964"/>
      <w:bookmarkStart w:id="80" w:name="_Toc8639879"/>
      <w:r w:rsidRPr="0038361F">
        <w:rPr>
          <w:rFonts w:ascii="Arial" w:hAnsi="Arial" w:cs="Arial"/>
          <w:b/>
          <w:lang w:val="mk-MK"/>
        </w:rPr>
        <w:t>Извештај за работа на Комитетот за следење на ИПАРД</w:t>
      </w:r>
      <w:bookmarkEnd w:id="79"/>
      <w:bookmarkEnd w:id="80"/>
    </w:p>
    <w:p w:rsidR="00410356" w:rsidRPr="0038361F" w:rsidRDefault="00410356" w:rsidP="00410356">
      <w:pPr>
        <w:pStyle w:val="m343668044302477783m-3986873246552044066msolistparagraph"/>
        <w:spacing w:before="120" w:beforeAutospacing="0" w:after="120" w:afterAutospacing="0"/>
        <w:jc w:val="both"/>
        <w:rPr>
          <w:rFonts w:ascii="Arial" w:hAnsi="Arial" w:cs="Arial"/>
          <w:sz w:val="22"/>
          <w:szCs w:val="22"/>
          <w:lang w:val="mk-MK"/>
        </w:rPr>
      </w:pPr>
      <w:r w:rsidRPr="0038361F">
        <w:rPr>
          <w:rFonts w:ascii="Arial" w:hAnsi="Arial" w:cs="Arial"/>
          <w:sz w:val="22"/>
          <w:szCs w:val="22"/>
          <w:lang w:val="mk-MK"/>
        </w:rPr>
        <w:t xml:space="preserve">Од своето основање во јануари 2016 година, Комитетот за следење на ИПАРД одржа 4 состаноци. Промената во Владата се одрази </w:t>
      </w:r>
      <w:r w:rsidR="002D237A">
        <w:rPr>
          <w:rFonts w:ascii="Arial" w:hAnsi="Arial" w:cs="Arial"/>
          <w:sz w:val="22"/>
          <w:szCs w:val="22"/>
          <w:lang w:val="mk-MK"/>
        </w:rPr>
        <w:t>на</w:t>
      </w:r>
      <w:r w:rsidRPr="0038361F">
        <w:rPr>
          <w:rFonts w:ascii="Arial" w:hAnsi="Arial" w:cs="Arial"/>
          <w:sz w:val="22"/>
          <w:szCs w:val="22"/>
          <w:lang w:val="mk-MK"/>
        </w:rPr>
        <w:t xml:space="preserve"> промената во Комитетот за следење. Новата одлука за формирање на Комитет за </w:t>
      </w:r>
      <w:r w:rsidR="002D237A">
        <w:rPr>
          <w:rFonts w:ascii="Arial" w:hAnsi="Arial" w:cs="Arial"/>
          <w:sz w:val="22"/>
          <w:szCs w:val="22"/>
          <w:lang w:val="mk-MK"/>
        </w:rPr>
        <w:t xml:space="preserve">следење </w:t>
      </w:r>
      <w:r w:rsidRPr="0038361F">
        <w:rPr>
          <w:rFonts w:ascii="Arial" w:hAnsi="Arial" w:cs="Arial"/>
          <w:sz w:val="22"/>
          <w:szCs w:val="22"/>
          <w:lang w:val="mk-MK"/>
        </w:rPr>
        <w:t xml:space="preserve">е потпишана од министерот во октомври 2017 година. Како резултат на тоа, во Комитетот за следење се назначија нови членови, така што во моментот </w:t>
      </w:r>
      <w:r w:rsidR="002D237A">
        <w:rPr>
          <w:rFonts w:ascii="Arial" w:hAnsi="Arial" w:cs="Arial"/>
          <w:sz w:val="22"/>
          <w:szCs w:val="22"/>
          <w:lang w:val="mk-MK"/>
        </w:rPr>
        <w:t xml:space="preserve">тој </w:t>
      </w:r>
      <w:r w:rsidRPr="0038361F">
        <w:rPr>
          <w:rFonts w:ascii="Arial" w:hAnsi="Arial" w:cs="Arial"/>
          <w:sz w:val="22"/>
          <w:szCs w:val="22"/>
          <w:lang w:val="mk-MK"/>
        </w:rPr>
        <w:t>се состои од 14 владини претставници (4 од МЗШВ), 15 претставници на социјални и економските партнери и претседавачот. Комитетот усвои нов Деловник во февруари 2018 година.</w:t>
      </w:r>
    </w:p>
    <w:p w:rsidR="00410356" w:rsidRPr="0038361F" w:rsidRDefault="00410356" w:rsidP="00BA6418">
      <w:pPr>
        <w:pStyle w:val="ListParagraph"/>
        <w:numPr>
          <w:ilvl w:val="1"/>
          <w:numId w:val="36"/>
        </w:numPr>
        <w:spacing w:before="120" w:after="0" w:line="240" w:lineRule="auto"/>
        <w:contextualSpacing w:val="0"/>
        <w:jc w:val="both"/>
        <w:outlineLvl w:val="1"/>
        <w:rPr>
          <w:rFonts w:ascii="Arial" w:hAnsi="Arial" w:cs="Arial"/>
          <w:b/>
          <w:lang w:val="mk-MK"/>
        </w:rPr>
      </w:pPr>
      <w:bookmarkStart w:id="81" w:name="_Toc7520965"/>
      <w:bookmarkStart w:id="82" w:name="_Toc8639880"/>
      <w:r w:rsidRPr="0038361F">
        <w:rPr>
          <w:rFonts w:ascii="Arial" w:hAnsi="Arial" w:cs="Arial"/>
          <w:b/>
          <w:lang w:val="mk-MK"/>
        </w:rPr>
        <w:t>Евалуација на ИПАРД програмата</w:t>
      </w:r>
      <w:bookmarkEnd w:id="81"/>
      <w:bookmarkEnd w:id="82"/>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Евалуацијата има за цел да го подобри квалитетот, ефективноста и конзистентноста на помошта од фондовите на Унијата и стратегијата и имплементацијата на Програмата ИПАРД II. Програмата ИПАРД II ќе биде предмет на ex-ante и ex-post и, доколку од страна на Комисијата е потребно, привремена евалуација спроведена од независни оценувачи под одговорност на Телото за управување.</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Евалуациите ја оценуваат имплементацијата на Програмата ИПАРД II кон постигнување на нејзините цели и го испитуваат степенот на користење на ресурсите, ефективноста и ефикасноста на програмирањето, нејзиното социо-економско влијание и влијание</w:t>
      </w:r>
      <w:r w:rsidR="002D237A">
        <w:rPr>
          <w:rFonts w:ascii="Arial" w:hAnsi="Arial" w:cs="Arial"/>
          <w:sz w:val="22"/>
          <w:szCs w:val="22"/>
          <w:lang w:val="mk-MK"/>
        </w:rPr>
        <w:t>то</w:t>
      </w:r>
      <w:r w:rsidRPr="0038361F">
        <w:rPr>
          <w:rFonts w:ascii="Arial" w:hAnsi="Arial" w:cs="Arial"/>
          <w:sz w:val="22"/>
          <w:szCs w:val="22"/>
          <w:lang w:val="mk-MK"/>
        </w:rPr>
        <w:t xml:space="preserve"> врз дефинираните цели и приоритети. Тие ќе ги идентификуваат факторите кои придоне</w:t>
      </w:r>
      <w:r w:rsidR="002D237A">
        <w:rPr>
          <w:rFonts w:ascii="Arial" w:hAnsi="Arial" w:cs="Arial"/>
          <w:sz w:val="22"/>
          <w:szCs w:val="22"/>
          <w:lang w:val="mk-MK"/>
        </w:rPr>
        <w:t>ле</w:t>
      </w:r>
      <w:r w:rsidRPr="0038361F">
        <w:rPr>
          <w:rFonts w:ascii="Arial" w:hAnsi="Arial" w:cs="Arial"/>
          <w:sz w:val="22"/>
          <w:szCs w:val="22"/>
          <w:lang w:val="mk-MK"/>
        </w:rPr>
        <w:t xml:space="preserve"> за успех или неуспех во спроведувањето на програмата ИПАРД II, вклучувајќи ја и од</w:t>
      </w:r>
      <w:r w:rsidR="002D237A">
        <w:rPr>
          <w:rFonts w:ascii="Arial" w:hAnsi="Arial" w:cs="Arial"/>
          <w:sz w:val="22"/>
          <w:szCs w:val="22"/>
          <w:lang w:val="mk-MK"/>
        </w:rPr>
        <w:t>д</w:t>
      </w:r>
      <w:r w:rsidRPr="0038361F">
        <w:rPr>
          <w:rFonts w:ascii="Arial" w:hAnsi="Arial" w:cs="Arial"/>
          <w:sz w:val="22"/>
          <w:szCs w:val="22"/>
          <w:lang w:val="mk-MK"/>
        </w:rPr>
        <w:t>ржливоста на активностите и идентификацијата на најдобрите практики.</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Во согласност со планот за евалуација на програмата ИПАРД II, изготвен од страна на Телото за управување и одобрен од Комитетот за следење, Телото за управување секоја година го известува Комитетот за следење на ИПАРД II за постигнатите резултати во согласност со планот за евалуација.</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b/>
          <w:sz w:val="22"/>
          <w:szCs w:val="22"/>
          <w:u w:val="single"/>
          <w:lang w:val="mk-MK"/>
        </w:rPr>
      </w:pPr>
      <w:r w:rsidRPr="0038361F">
        <w:rPr>
          <w:rFonts w:ascii="Arial" w:hAnsi="Arial" w:cs="Arial"/>
          <w:b/>
          <w:sz w:val="22"/>
          <w:szCs w:val="22"/>
          <w:u w:val="single"/>
          <w:lang w:val="mk-MK"/>
        </w:rPr>
        <w:t>Одговорност и координација</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Со цел да се осигури дека системот за следење и евалуација е во состојба да даде резултати, предуслов е добро дизајниран и робустен систем за управување и координација. Рамковниот и Секторскиот договор ги поставуваат законските барања и ги дефинираат надлежните органи за спроведување на задачите за следење и евалуација.</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Целокупната одговорност за организирање на процесот на евалуација на Програмата ИПАРД II е во Одделението за програмирање и евалуација, во рамки на Телото за управување со ИПАРД. Тие се одговорни за изготвување план за евалуација и координирање на не</w:t>
      </w:r>
      <w:r w:rsidR="002D237A">
        <w:rPr>
          <w:rFonts w:ascii="Arial" w:hAnsi="Arial" w:cs="Arial"/>
          <w:sz w:val="22"/>
          <w:szCs w:val="22"/>
          <w:lang w:val="mk-MK"/>
        </w:rPr>
        <w:t xml:space="preserve">говото </w:t>
      </w:r>
      <w:r w:rsidRPr="0038361F">
        <w:rPr>
          <w:rFonts w:ascii="Arial" w:hAnsi="Arial" w:cs="Arial"/>
          <w:sz w:val="22"/>
          <w:szCs w:val="22"/>
          <w:lang w:val="mk-MK"/>
        </w:rPr>
        <w:t>спроведување. Телото за управување</w:t>
      </w:r>
      <w:r w:rsidR="002D237A">
        <w:rPr>
          <w:rFonts w:ascii="Arial" w:hAnsi="Arial" w:cs="Arial"/>
          <w:sz w:val="22"/>
          <w:szCs w:val="22"/>
          <w:lang w:val="mk-MK"/>
        </w:rPr>
        <w:t>,</w:t>
      </w:r>
      <w:r w:rsidRPr="0038361F">
        <w:rPr>
          <w:rFonts w:ascii="Arial" w:hAnsi="Arial" w:cs="Arial"/>
          <w:sz w:val="22"/>
          <w:szCs w:val="22"/>
          <w:lang w:val="mk-MK"/>
        </w:rPr>
        <w:t xml:space="preserve"> исто така</w:t>
      </w:r>
      <w:r w:rsidR="002D237A">
        <w:rPr>
          <w:rFonts w:ascii="Arial" w:hAnsi="Arial" w:cs="Arial"/>
          <w:sz w:val="22"/>
          <w:szCs w:val="22"/>
          <w:lang w:val="mk-MK"/>
        </w:rPr>
        <w:t>,</w:t>
      </w:r>
      <w:r w:rsidRPr="0038361F">
        <w:rPr>
          <w:rFonts w:ascii="Arial" w:hAnsi="Arial" w:cs="Arial"/>
          <w:sz w:val="22"/>
          <w:szCs w:val="22"/>
          <w:lang w:val="mk-MK"/>
        </w:rPr>
        <w:t xml:space="preserve"> е одговорно за пренесување на секоја евалуација до Европската комисија и за објавување извештаи за јавност. Покрај тоа, раководителот на Телото за управување претседава со Управувачкиот комитет за евалуација, кој ја олеснува соработката меѓу заинтересираните страни во мониторингот и евалуацијата и обезбедува градење на капацитетите на засегнатите страни. Телото за управување</w:t>
      </w:r>
      <w:r w:rsidR="002D237A">
        <w:rPr>
          <w:rFonts w:ascii="Arial" w:hAnsi="Arial" w:cs="Arial"/>
          <w:sz w:val="22"/>
          <w:szCs w:val="22"/>
          <w:lang w:val="mk-MK"/>
        </w:rPr>
        <w:t>,</w:t>
      </w:r>
      <w:r w:rsidRPr="0038361F">
        <w:rPr>
          <w:rFonts w:ascii="Arial" w:hAnsi="Arial" w:cs="Arial"/>
          <w:sz w:val="22"/>
          <w:szCs w:val="22"/>
          <w:lang w:val="mk-MK"/>
        </w:rPr>
        <w:t xml:space="preserve"> исто така</w:t>
      </w:r>
      <w:r w:rsidR="002D237A">
        <w:rPr>
          <w:rFonts w:ascii="Arial" w:hAnsi="Arial" w:cs="Arial"/>
          <w:sz w:val="22"/>
          <w:szCs w:val="22"/>
          <w:lang w:val="mk-MK"/>
        </w:rPr>
        <w:t>,</w:t>
      </w:r>
      <w:r w:rsidRPr="0038361F">
        <w:rPr>
          <w:rFonts w:ascii="Arial" w:hAnsi="Arial" w:cs="Arial"/>
          <w:sz w:val="22"/>
          <w:szCs w:val="22"/>
          <w:lang w:val="mk-MK"/>
        </w:rPr>
        <w:t xml:space="preserve"> е директно вклучено во собирањето и обработката на податоците од мониторингот.</w:t>
      </w:r>
    </w:p>
    <w:p w:rsidR="00410356" w:rsidRPr="0038361F" w:rsidRDefault="00410356" w:rsidP="00410356">
      <w:pPr>
        <w:pStyle w:val="m343668044302477783m-3986873246552044066msolistparagraph"/>
        <w:spacing w:before="120" w:beforeAutospacing="0" w:after="0" w:afterAutospacing="0"/>
        <w:jc w:val="both"/>
        <w:rPr>
          <w:rFonts w:ascii="Arial" w:hAnsi="Arial" w:cs="Arial"/>
          <w:sz w:val="22"/>
          <w:szCs w:val="22"/>
          <w:lang w:val="mk-MK"/>
        </w:rPr>
      </w:pPr>
      <w:r w:rsidRPr="0038361F">
        <w:rPr>
          <w:rFonts w:ascii="Arial" w:hAnsi="Arial" w:cs="Arial"/>
          <w:sz w:val="22"/>
          <w:szCs w:val="22"/>
          <w:lang w:val="mk-MK"/>
        </w:rPr>
        <w:t>Комитетот за следење има одговорност да го следи спроведувањето на програмата и напредокот кон нејзините цели, главно со индикатори, и ги разгледува и одобрува извештаите за спроведување на ИПАРД пред да се испратат до ЕК.</w:t>
      </w:r>
    </w:p>
    <w:p w:rsidR="00410356" w:rsidRPr="0038361F" w:rsidRDefault="00410356" w:rsidP="00410356">
      <w:pPr>
        <w:spacing w:before="120" w:after="0" w:line="240" w:lineRule="auto"/>
        <w:rPr>
          <w:rFonts w:ascii="Arial" w:hAnsi="Arial" w:cs="Arial"/>
          <w:b/>
          <w:u w:val="single"/>
          <w:lang w:val="mk-MK"/>
        </w:rPr>
      </w:pPr>
      <w:r w:rsidRPr="0038361F">
        <w:rPr>
          <w:rFonts w:ascii="Arial" w:hAnsi="Arial" w:cs="Arial"/>
          <w:b/>
          <w:u w:val="single"/>
          <w:lang w:val="mk-MK"/>
        </w:rPr>
        <w:t>Евалуациски план 2014 – 2020</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lastRenderedPageBreak/>
        <w:t>Следниот индикативен приказ го објаснува временскиот план за активности за евалуација за програмата ИПАРД II:</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2016 </w:t>
      </w:r>
      <w:r w:rsidR="002D237A">
        <w:rPr>
          <w:rFonts w:ascii="Arial" w:hAnsi="Arial" w:cs="Arial"/>
          <w:lang w:val="mk-MK"/>
        </w:rPr>
        <w:t>–</w:t>
      </w:r>
      <w:r w:rsidRPr="00A56613">
        <w:rPr>
          <w:rFonts w:ascii="Arial" w:hAnsi="Arial" w:cs="Arial"/>
          <w:lang w:val="mk-MK"/>
        </w:rPr>
        <w:t xml:space="preserve"> Идентификување на потребите за евалуација специфични за програмата, дефинирање на прашања и индикатори за евалуација на Програмата, идентификување на барањата за евалуација на податоците и скрининг извори на податоци; одлучување за податоците што треба да се соберат за евалуација преку системот за следење од барањата за апликација, барања за плаќање и други алатки за следење.</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2017 </w:t>
      </w:r>
      <w:r w:rsidR="002D237A">
        <w:rPr>
          <w:rFonts w:ascii="Arial" w:hAnsi="Arial" w:cs="Arial"/>
          <w:lang w:val="mk-MK"/>
        </w:rPr>
        <w:t>–</w:t>
      </w:r>
      <w:r w:rsidRPr="00A56613">
        <w:rPr>
          <w:rFonts w:ascii="Arial" w:hAnsi="Arial" w:cs="Arial"/>
          <w:lang w:val="mk-MK"/>
        </w:rPr>
        <w:t xml:space="preserve"> Телото за управување го следи напредокот на Програмата и ги собира податоците за корисниците преку системот за мониторинг за излезните, целните и дополнителните индикатори за резултат, подготовката на Проектни задачи и постапките за тендери и склучување договори за надворешни оценувачи/експерти.</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2018 </w:t>
      </w:r>
      <w:r w:rsidR="002D237A">
        <w:rPr>
          <w:rFonts w:ascii="Arial" w:hAnsi="Arial" w:cs="Arial"/>
          <w:lang w:val="mk-MK"/>
        </w:rPr>
        <w:t>–</w:t>
      </w:r>
      <w:r w:rsidRPr="00A56613">
        <w:rPr>
          <w:rFonts w:ascii="Arial" w:hAnsi="Arial" w:cs="Arial"/>
          <w:lang w:val="mk-MK"/>
        </w:rPr>
        <w:t xml:space="preserve"> Надворешни евалуатор</w:t>
      </w:r>
      <w:r w:rsidR="002D237A">
        <w:rPr>
          <w:rFonts w:ascii="Arial" w:hAnsi="Arial" w:cs="Arial"/>
          <w:lang w:val="mk-MK"/>
        </w:rPr>
        <w:t>и</w:t>
      </w:r>
      <w:r w:rsidRPr="00A56613">
        <w:rPr>
          <w:rFonts w:ascii="Arial" w:hAnsi="Arial" w:cs="Arial"/>
          <w:lang w:val="mk-MK"/>
        </w:rPr>
        <w:t xml:space="preserve">/експерти се ангажирани да соберат дополнителни информации/податоци за да ги </w:t>
      </w:r>
      <w:r w:rsidR="002D237A">
        <w:rPr>
          <w:rFonts w:ascii="Arial" w:hAnsi="Arial" w:cs="Arial"/>
          <w:lang w:val="mk-MK"/>
        </w:rPr>
        <w:t>д</w:t>
      </w:r>
      <w:r w:rsidRPr="00A56613">
        <w:rPr>
          <w:rFonts w:ascii="Arial" w:hAnsi="Arial" w:cs="Arial"/>
          <w:lang w:val="mk-MK"/>
        </w:rPr>
        <w:t>ополнат подато</w:t>
      </w:r>
      <w:r w:rsidR="002D237A">
        <w:rPr>
          <w:rFonts w:ascii="Arial" w:hAnsi="Arial" w:cs="Arial"/>
          <w:lang w:val="mk-MK"/>
        </w:rPr>
        <w:t xml:space="preserve">чните </w:t>
      </w:r>
      <w:r w:rsidRPr="00A56613">
        <w:rPr>
          <w:rFonts w:ascii="Arial" w:hAnsi="Arial" w:cs="Arial"/>
          <w:lang w:val="mk-MK"/>
        </w:rPr>
        <w:t>и информациските празнини и да спроведат ad hoc проценки за да се подготви</w:t>
      </w:r>
      <w:r w:rsidR="002D237A">
        <w:rPr>
          <w:rFonts w:ascii="Arial" w:hAnsi="Arial" w:cs="Arial"/>
          <w:lang w:val="mk-MK"/>
        </w:rPr>
        <w:t xml:space="preserve"> </w:t>
      </w:r>
      <w:r w:rsidRPr="00A56613">
        <w:rPr>
          <w:rFonts w:ascii="Arial" w:hAnsi="Arial" w:cs="Arial"/>
          <w:lang w:val="mk-MK"/>
        </w:rPr>
        <w:t>придонес</w:t>
      </w:r>
      <w:r w:rsidR="002D237A">
        <w:rPr>
          <w:rFonts w:ascii="Arial" w:hAnsi="Arial" w:cs="Arial"/>
          <w:lang w:val="mk-MK"/>
        </w:rPr>
        <w:t xml:space="preserve"> кон г</w:t>
      </w:r>
      <w:r w:rsidRPr="00A56613">
        <w:rPr>
          <w:rFonts w:ascii="Arial" w:hAnsi="Arial" w:cs="Arial"/>
          <w:lang w:val="mk-MK"/>
        </w:rPr>
        <w:t>одишниот извештај за спроведување за 2018.</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2019 </w:t>
      </w:r>
      <w:r w:rsidR="002D237A">
        <w:rPr>
          <w:rFonts w:ascii="Arial" w:hAnsi="Arial" w:cs="Arial"/>
          <w:lang w:val="mk-MK"/>
        </w:rPr>
        <w:t>–</w:t>
      </w:r>
      <w:r w:rsidRPr="00A56613">
        <w:rPr>
          <w:rFonts w:ascii="Arial" w:hAnsi="Arial" w:cs="Arial"/>
          <w:lang w:val="mk-MK"/>
        </w:rPr>
        <w:t xml:space="preserve"> Телото за управување спроведува контрола на квалитетот на наодите од евалуацијата и на кој било друг инпут што го дава оценувачот; резултатите од евалуацијата </w:t>
      </w:r>
      <w:r w:rsidR="002D237A">
        <w:rPr>
          <w:rFonts w:ascii="Arial" w:hAnsi="Arial" w:cs="Arial"/>
          <w:lang w:val="mk-MK"/>
        </w:rPr>
        <w:t xml:space="preserve">се </w:t>
      </w:r>
      <w:r w:rsidRPr="00A56613">
        <w:rPr>
          <w:rFonts w:ascii="Arial" w:hAnsi="Arial" w:cs="Arial"/>
          <w:lang w:val="mk-MK"/>
        </w:rPr>
        <w:t>дискутира</w:t>
      </w:r>
      <w:r w:rsidR="002D237A">
        <w:rPr>
          <w:rFonts w:ascii="Arial" w:hAnsi="Arial" w:cs="Arial"/>
          <w:lang w:val="mk-MK"/>
        </w:rPr>
        <w:t xml:space="preserve">ат </w:t>
      </w:r>
      <w:r w:rsidRPr="00A56613">
        <w:rPr>
          <w:rFonts w:ascii="Arial" w:hAnsi="Arial" w:cs="Arial"/>
          <w:lang w:val="mk-MK"/>
        </w:rPr>
        <w:t>на Управувачкиот комитет за евалуација и на Комитетот за следење; во врска со наодите од евалуацијата доколку постои потреба Телото за управување ќе подготви предлог за модификација на Програмата ИПАРД II.</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2020 </w:t>
      </w:r>
      <w:r w:rsidR="002D237A">
        <w:rPr>
          <w:rFonts w:ascii="Arial" w:hAnsi="Arial" w:cs="Arial"/>
          <w:lang w:val="mk-MK"/>
        </w:rPr>
        <w:t>–</w:t>
      </w:r>
      <w:r w:rsidRPr="00A56613">
        <w:rPr>
          <w:rFonts w:ascii="Arial" w:hAnsi="Arial" w:cs="Arial"/>
          <w:lang w:val="mk-MK"/>
        </w:rPr>
        <w:t xml:space="preserve"> Спроведување на ad hoc студии за евалуација ако е потребно;</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2021 </w:t>
      </w:r>
      <w:r w:rsidR="002D237A">
        <w:rPr>
          <w:rFonts w:ascii="Arial" w:hAnsi="Arial" w:cs="Arial"/>
          <w:lang w:val="mk-MK"/>
        </w:rPr>
        <w:t>–</w:t>
      </w:r>
      <w:r w:rsidRPr="00A56613">
        <w:rPr>
          <w:rFonts w:ascii="Arial" w:hAnsi="Arial" w:cs="Arial"/>
          <w:lang w:val="mk-MK"/>
        </w:rPr>
        <w:t xml:space="preserve"> Телото за управување гарантира дека потребните ресурси се достапни за да се преземат задачи за евалуација до 2024 година.</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2022 </w:t>
      </w:r>
      <w:r w:rsidR="002D237A">
        <w:rPr>
          <w:rFonts w:ascii="Arial" w:hAnsi="Arial" w:cs="Arial"/>
          <w:lang w:val="mk-MK"/>
        </w:rPr>
        <w:t>–</w:t>
      </w:r>
      <w:r w:rsidRPr="00A56613">
        <w:rPr>
          <w:rFonts w:ascii="Arial" w:hAnsi="Arial" w:cs="Arial"/>
          <w:lang w:val="mk-MK"/>
        </w:rPr>
        <w:t xml:space="preserve"> Подготовка на проектната задача и спроведување на тендерска постапка, за да се обезбеди соодветно време надворешниот оценувач да спроведе квалитетна ex post-евалуација.</w:t>
      </w:r>
    </w:p>
    <w:p w:rsidR="00410356" w:rsidRPr="00A56613" w:rsidRDefault="00410356" w:rsidP="002D237A">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2023 </w:t>
      </w:r>
      <w:r w:rsidR="002D237A">
        <w:rPr>
          <w:rFonts w:ascii="Arial" w:hAnsi="Arial" w:cs="Arial"/>
          <w:lang w:val="mk-MK"/>
        </w:rPr>
        <w:t>–</w:t>
      </w:r>
      <w:r w:rsidRPr="00A56613">
        <w:rPr>
          <w:rFonts w:ascii="Arial" w:hAnsi="Arial" w:cs="Arial"/>
          <w:lang w:val="mk-MK"/>
        </w:rPr>
        <w:t xml:space="preserve"> Сите проекти одобрени во рамките на програмскиот период ИПАРД 2014-2020 ќе бидат финализирани, вклучувајќи го и собирањето на податоците за мониторинг на корисниците за излез, целни и комплементарни индикатори за резултати. Дополнително, се собираат податоците за некорисници, се обработуваат и синтетизираат во согласност со избраните методи за евалуација и известување, со цел да се овозможи проценка на влијанијата и постигнувањата на Програмата кон ЕУ и целите за рурален развој во ex-post-евалуацијата на ИПАРД 2024.</w:t>
      </w:r>
    </w:p>
    <w:p w:rsidR="00410356" w:rsidRPr="00A56613" w:rsidRDefault="00410356" w:rsidP="00053E84">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 xml:space="preserve">2024 </w:t>
      </w:r>
      <w:r w:rsidR="00053E84">
        <w:rPr>
          <w:rFonts w:ascii="Arial" w:hAnsi="Arial" w:cs="Arial"/>
          <w:lang w:val="mk-MK"/>
        </w:rPr>
        <w:t>–</w:t>
      </w:r>
      <w:r w:rsidRPr="00A56613">
        <w:rPr>
          <w:rFonts w:ascii="Arial" w:hAnsi="Arial" w:cs="Arial"/>
          <w:lang w:val="mk-MK"/>
        </w:rPr>
        <w:t xml:space="preserve"> до 30 јуни 2024 година Телото за управување</w:t>
      </w:r>
      <w:r w:rsidR="00053E84">
        <w:rPr>
          <w:rFonts w:ascii="Arial" w:hAnsi="Arial" w:cs="Arial"/>
          <w:lang w:val="mk-MK"/>
        </w:rPr>
        <w:t xml:space="preserve"> </w:t>
      </w:r>
      <w:r w:rsidRPr="00A56613">
        <w:rPr>
          <w:rFonts w:ascii="Arial" w:hAnsi="Arial" w:cs="Arial"/>
          <w:lang w:val="mk-MK"/>
        </w:rPr>
        <w:t>го подготвува и доставува стандардниот годишен извештај за спроведување за 2024 (покривајќи ја годината 2023 година) и до 31 декември 2024 година, извештајот за евалуација.</w:t>
      </w:r>
    </w:p>
    <w:p w:rsidR="00410356" w:rsidRPr="0038361F" w:rsidRDefault="00410356" w:rsidP="00BA6418">
      <w:pPr>
        <w:pStyle w:val="ListParagraph"/>
        <w:numPr>
          <w:ilvl w:val="1"/>
          <w:numId w:val="36"/>
        </w:numPr>
        <w:spacing w:before="120" w:after="0" w:line="240" w:lineRule="auto"/>
        <w:contextualSpacing w:val="0"/>
        <w:jc w:val="both"/>
        <w:outlineLvl w:val="1"/>
        <w:rPr>
          <w:rFonts w:ascii="Arial" w:hAnsi="Arial" w:cs="Arial"/>
          <w:b/>
          <w:lang w:val="mk-MK"/>
        </w:rPr>
      </w:pPr>
      <w:bookmarkStart w:id="83" w:name="_Toc7520966"/>
      <w:bookmarkStart w:id="84" w:name="_Toc8639881"/>
      <w:r w:rsidRPr="0038361F">
        <w:rPr>
          <w:rFonts w:ascii="Arial" w:hAnsi="Arial" w:cs="Arial"/>
          <w:b/>
          <w:lang w:val="mk-MK"/>
        </w:rPr>
        <w:t>Користење на Техничка Помош</w:t>
      </w:r>
      <w:bookmarkEnd w:id="83"/>
      <w:bookmarkEnd w:id="84"/>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Акци</w:t>
      </w:r>
      <w:r w:rsidR="00053E84">
        <w:rPr>
          <w:rFonts w:ascii="Arial" w:hAnsi="Arial" w:cs="Arial"/>
          <w:lang w:val="mk-MK"/>
        </w:rPr>
        <w:t xml:space="preserve">скиот </w:t>
      </w:r>
      <w:r w:rsidRPr="0038361F">
        <w:rPr>
          <w:rFonts w:ascii="Arial" w:hAnsi="Arial" w:cs="Arial"/>
          <w:lang w:val="mk-MK"/>
        </w:rPr>
        <w:t xml:space="preserve">план за мерката за техничка помош за 2018 година (АПТА 2018) беше усвоен од членовите на Комитетот за следење на ИПАРД преку пишана процедура. Измената на АПТА 2018 е доставен до членовите на Комитетот за следење на ИПАРД за усвојување со писмена постапка на 18 септември 2018 година. Измената е направена заради организирање на два состаноци на Комитетот за следење (четврти и петти) во една набавка, како и промена на проценетата вредност на "EX-post-евалуацијата на ИПАРД програмата 2007-2013" и промена на тендерската постапка од постапка со преговарање </w:t>
      </w:r>
      <w:r w:rsidR="00053E84">
        <w:rPr>
          <w:rFonts w:ascii="Arial" w:hAnsi="Arial" w:cs="Arial"/>
          <w:lang w:val="mk-MK"/>
        </w:rPr>
        <w:t>в</w:t>
      </w:r>
      <w:r w:rsidRPr="0038361F">
        <w:rPr>
          <w:rFonts w:ascii="Arial" w:hAnsi="Arial" w:cs="Arial"/>
          <w:lang w:val="mk-MK"/>
        </w:rPr>
        <w:t>о поедноставена постапка (во согласност со новиот PRAG од август 2018 година).</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На 17 мај, по претходно избраната најдобро рангирана понуда, се реализира организацијата на Комитетот за следење на ИПАРД.</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lastRenderedPageBreak/>
        <w:t>Телото за управување започна со спроведување на набавката за надградба и одржување на посто</w:t>
      </w:r>
      <w:r w:rsidR="00053E84">
        <w:rPr>
          <w:rFonts w:ascii="Arial" w:hAnsi="Arial" w:cs="Arial"/>
          <w:lang w:val="mk-MK"/>
        </w:rPr>
        <w:t xml:space="preserve">јната </w:t>
      </w:r>
      <w:r w:rsidRPr="0038361F">
        <w:rPr>
          <w:rFonts w:ascii="Arial" w:hAnsi="Arial" w:cs="Arial"/>
          <w:lang w:val="mk-MK"/>
        </w:rPr>
        <w:t>интернет страница. Добиени се три понуди и се избра најдобра понуда. Договорот за реализација на оваа активност беше потпишан помеѓу Телото за управување и избраната компанија, која ќе ја надгради и одржува веб-страницата www.ipard.gov.mk.</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 xml:space="preserve">Телото за управување започна со спроведување на проектот </w:t>
      </w:r>
      <w:r w:rsidR="00053E84">
        <w:rPr>
          <w:rFonts w:ascii="Arial" w:hAnsi="Arial" w:cs="Arial"/>
          <w:lang w:val="mk-MK"/>
        </w:rPr>
        <w:t>„</w:t>
      </w:r>
      <w:r w:rsidRPr="0038361F">
        <w:rPr>
          <w:rFonts w:ascii="Arial" w:hAnsi="Arial" w:cs="Arial"/>
          <w:lang w:val="mk-MK"/>
        </w:rPr>
        <w:t>Кампања за публицитет</w:t>
      </w:r>
      <w:r w:rsidR="00053E84">
        <w:rPr>
          <w:rFonts w:ascii="Arial" w:hAnsi="Arial" w:cs="Arial"/>
          <w:lang w:val="mk-MK"/>
        </w:rPr>
        <w:t>“</w:t>
      </w:r>
      <w:r w:rsidRPr="0038361F">
        <w:rPr>
          <w:rFonts w:ascii="Arial" w:hAnsi="Arial" w:cs="Arial"/>
          <w:lang w:val="mk-MK"/>
        </w:rPr>
        <w:t xml:space="preserve">. Во рамките на овој проект беа предвидени неколку настани (некои од нив веќе се имплементирани </w:t>
      </w:r>
      <w:r w:rsidR="00053E84">
        <w:rPr>
          <w:rFonts w:ascii="Arial" w:hAnsi="Arial" w:cs="Arial"/>
          <w:lang w:val="mk-MK"/>
        </w:rPr>
        <w:t>–</w:t>
      </w:r>
      <w:r w:rsidRPr="0038361F">
        <w:rPr>
          <w:rFonts w:ascii="Arial" w:hAnsi="Arial" w:cs="Arial"/>
          <w:lang w:val="mk-MK"/>
        </w:rPr>
        <w:t xml:space="preserve"> еден ИПАРД форум во Струмица во декември), предвидени се за печатење материјали за публицитет на Програмата (веќе печатени Упатства за корисници, брошури, банери) и ќе бидат подготвени промотивни видеа.</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Телото за управување, исто така, спроведува набавки на канцелариски материјал. Набавката ќе се спроведува според постапката под 2.500 евра.</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Телото за управување ги доби исплатените средства од ИПАРД Агенцијата на своја сопствена сметка во врска со претходно завршената набавка за спроведување на Комитетот за следење.</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На 4 декември 2018 година Акци</w:t>
      </w:r>
      <w:r w:rsidR="008904B7">
        <w:rPr>
          <w:rFonts w:ascii="Arial" w:hAnsi="Arial" w:cs="Arial"/>
          <w:lang w:val="mk-MK"/>
        </w:rPr>
        <w:t xml:space="preserve">скиот </w:t>
      </w:r>
      <w:r w:rsidRPr="0038361F">
        <w:rPr>
          <w:rFonts w:ascii="Arial" w:hAnsi="Arial" w:cs="Arial"/>
          <w:lang w:val="mk-MK"/>
        </w:rPr>
        <w:t>план за планираните операции според мерката за техничка помош (АПТА) 2019 беше одобрен од Комитетот за следење на ИПАРД.</w:t>
      </w:r>
    </w:p>
    <w:p w:rsidR="00410356" w:rsidRPr="0038361F" w:rsidRDefault="00410356" w:rsidP="00410356">
      <w:pPr>
        <w:spacing w:before="120" w:after="0" w:line="240" w:lineRule="auto"/>
        <w:jc w:val="both"/>
        <w:rPr>
          <w:rFonts w:ascii="Arial" w:hAnsi="Arial" w:cs="Arial"/>
          <w:lang w:val="mk-MK"/>
        </w:rPr>
      </w:pPr>
      <w:r w:rsidRPr="0038361F">
        <w:rPr>
          <w:rFonts w:ascii="Arial" w:hAnsi="Arial" w:cs="Arial"/>
          <w:lang w:val="mk-MK"/>
        </w:rPr>
        <w:t xml:space="preserve">Активности </w:t>
      </w:r>
      <w:r w:rsidR="008904B7">
        <w:rPr>
          <w:rFonts w:ascii="Arial" w:hAnsi="Arial" w:cs="Arial"/>
          <w:lang w:val="mk-MK"/>
        </w:rPr>
        <w:t>с</w:t>
      </w:r>
      <w:r w:rsidRPr="0038361F">
        <w:rPr>
          <w:rFonts w:ascii="Arial" w:hAnsi="Arial" w:cs="Arial"/>
          <w:lang w:val="mk-MK"/>
        </w:rPr>
        <w:t>по</w:t>
      </w:r>
      <w:r w:rsidR="008904B7">
        <w:rPr>
          <w:rFonts w:ascii="Arial" w:hAnsi="Arial" w:cs="Arial"/>
          <w:lang w:val="mk-MK"/>
        </w:rPr>
        <w:t>ред</w:t>
      </w:r>
      <w:r w:rsidRPr="0038361F">
        <w:rPr>
          <w:rFonts w:ascii="Arial" w:hAnsi="Arial" w:cs="Arial"/>
          <w:lang w:val="mk-MK"/>
        </w:rPr>
        <w:t xml:space="preserve"> АПТА 2019 кои започнаа во 2018 година:</w:t>
      </w:r>
    </w:p>
    <w:p w:rsidR="00410356" w:rsidRPr="0038361F" w:rsidRDefault="00410356" w:rsidP="00410356">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Набавка на услуги за екс-пост-евалуација на ИПАРД Програмата 2007-2013 и е во фаза на собирање понуди.</w:t>
      </w:r>
    </w:p>
    <w:p w:rsidR="00410356" w:rsidRPr="0038361F" w:rsidRDefault="00410356" w:rsidP="00410356">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Набавка на услуги за организирање на состаноци на Комитетот за следење</w:t>
      </w:r>
    </w:p>
    <w:p w:rsidR="00410356" w:rsidRPr="0038361F" w:rsidRDefault="00410356" w:rsidP="00410356">
      <w:pPr>
        <w:pStyle w:val="ListParagraph"/>
        <w:numPr>
          <w:ilvl w:val="0"/>
          <w:numId w:val="28"/>
        </w:numPr>
        <w:spacing w:before="120" w:after="0" w:line="240" w:lineRule="auto"/>
        <w:jc w:val="both"/>
        <w:rPr>
          <w:rFonts w:ascii="Arial" w:hAnsi="Arial" w:cs="Arial"/>
          <w:lang w:val="mk-MK"/>
        </w:rPr>
      </w:pPr>
      <w:r w:rsidRPr="0038361F">
        <w:rPr>
          <w:rFonts w:ascii="Arial" w:hAnsi="Arial" w:cs="Arial"/>
          <w:lang w:val="mk-MK"/>
        </w:rPr>
        <w:t>Набавка на услуги за превод на ИПАРД Програмата 2014-2020.</w:t>
      </w:r>
    </w:p>
    <w:p w:rsidR="00AE3CE7" w:rsidRPr="0038361F" w:rsidRDefault="00784307" w:rsidP="00BA6418">
      <w:pPr>
        <w:pStyle w:val="ListParagraph"/>
        <w:numPr>
          <w:ilvl w:val="1"/>
          <w:numId w:val="36"/>
        </w:numPr>
        <w:spacing w:before="120" w:after="120" w:line="240" w:lineRule="auto"/>
        <w:contextualSpacing w:val="0"/>
        <w:jc w:val="both"/>
        <w:outlineLvl w:val="1"/>
        <w:rPr>
          <w:rFonts w:ascii="Arial" w:hAnsi="Arial" w:cs="Arial"/>
          <w:b/>
          <w:lang w:val="mk-MK"/>
        </w:rPr>
      </w:pPr>
      <w:bookmarkStart w:id="85" w:name="_Toc8639882"/>
      <w:r w:rsidRPr="0038361F">
        <w:rPr>
          <w:rFonts w:ascii="Arial" w:hAnsi="Arial" w:cs="Arial"/>
          <w:b/>
          <w:lang w:val="mk-MK"/>
        </w:rPr>
        <w:t xml:space="preserve">Спроведување на </w:t>
      </w:r>
      <w:r w:rsidR="008A175F" w:rsidRPr="0038361F">
        <w:rPr>
          <w:rFonts w:ascii="Arial" w:hAnsi="Arial" w:cs="Arial"/>
          <w:b/>
          <w:lang w:val="mk-MK"/>
        </w:rPr>
        <w:t>планот за комуникација и публицитет</w:t>
      </w:r>
      <w:bookmarkEnd w:id="85"/>
      <w:r w:rsidR="008A175F" w:rsidRPr="0038361F">
        <w:rPr>
          <w:rFonts w:ascii="Arial" w:hAnsi="Arial" w:cs="Arial"/>
          <w:b/>
          <w:lang w:val="mk-MK"/>
        </w:rPr>
        <w:t xml:space="preserve"> </w:t>
      </w:r>
    </w:p>
    <w:p w:rsidR="00AE3CE7" w:rsidRPr="002B2470" w:rsidRDefault="006B01DB" w:rsidP="002B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В</w:t>
      </w:r>
      <w:r w:rsidR="00AE3CE7" w:rsidRPr="002B2470">
        <w:rPr>
          <w:rFonts w:ascii="Arial" w:eastAsia="Times New Roman" w:hAnsi="Arial" w:cs="Arial"/>
          <w:lang w:val="mk-MK" w:eastAsia="mk-MK"/>
        </w:rPr>
        <w:t>о согласност со динамиката на планираните активности за акредитација на мерката „Инвестиции во рурална јавна инфраструктура</w:t>
      </w:r>
      <w:r w:rsidR="008904B7">
        <w:rPr>
          <w:rFonts w:ascii="Arial" w:eastAsia="Times New Roman" w:hAnsi="Arial" w:cs="Arial"/>
          <w:lang w:val="mk-MK" w:eastAsia="mk-MK"/>
        </w:rPr>
        <w:t>“</w:t>
      </w:r>
      <w:r w:rsidR="008904B7" w:rsidRPr="002B2470">
        <w:rPr>
          <w:rFonts w:ascii="Arial" w:eastAsia="Times New Roman" w:hAnsi="Arial" w:cs="Arial"/>
          <w:lang w:val="mk-MK" w:eastAsia="mk-MK"/>
        </w:rPr>
        <w:t xml:space="preserve">, </w:t>
      </w:r>
      <w:r w:rsidRPr="008A22EF">
        <w:rPr>
          <w:rFonts w:ascii="Arial" w:eastAsia="Times New Roman" w:hAnsi="Arial" w:cs="Arial"/>
          <w:lang w:val="mk-MK" w:eastAsia="mk-MK"/>
        </w:rPr>
        <w:t xml:space="preserve">и </w:t>
      </w:r>
      <w:r w:rsidR="00AE3CE7" w:rsidRPr="006F23FF">
        <w:rPr>
          <w:rFonts w:ascii="Arial" w:eastAsia="Times New Roman" w:hAnsi="Arial" w:cs="Arial"/>
          <w:lang w:val="mk-MK" w:eastAsia="mk-MK"/>
        </w:rPr>
        <w:t xml:space="preserve">со цел </w:t>
      </w:r>
      <w:r w:rsidRPr="002B2470">
        <w:rPr>
          <w:rFonts w:ascii="Arial" w:eastAsia="Times New Roman" w:hAnsi="Arial" w:cs="Arial"/>
          <w:lang w:val="mk-MK" w:eastAsia="mk-MK"/>
        </w:rPr>
        <w:t xml:space="preserve">да се обезбеди </w:t>
      </w:r>
      <w:r w:rsidR="00AE3CE7" w:rsidRPr="002B2470">
        <w:rPr>
          <w:rFonts w:ascii="Arial" w:eastAsia="Times New Roman" w:hAnsi="Arial" w:cs="Arial"/>
          <w:lang w:val="mk-MK" w:eastAsia="mk-MK"/>
        </w:rPr>
        <w:t>соодветна подготовка на администрацијата на локалната самоуправа за искорист</w:t>
      </w:r>
      <w:r w:rsidRPr="002B2470">
        <w:rPr>
          <w:rFonts w:ascii="Arial" w:eastAsia="Times New Roman" w:hAnsi="Arial" w:cs="Arial"/>
          <w:lang w:val="mk-MK" w:eastAsia="mk-MK"/>
        </w:rPr>
        <w:t xml:space="preserve">ување на средствата од мерката, на почетокот на 2018 година, </w:t>
      </w:r>
      <w:r w:rsidR="00AE3CE7" w:rsidRPr="002B2470">
        <w:rPr>
          <w:rFonts w:ascii="Arial" w:eastAsia="Times New Roman" w:hAnsi="Arial" w:cs="Arial"/>
          <w:lang w:val="mk-MK" w:eastAsia="mk-MK"/>
        </w:rPr>
        <w:t>Телото за управување во соработка со Центрите за развој на осумте плански</w:t>
      </w:r>
      <w:r w:rsidRPr="008A22EF">
        <w:rPr>
          <w:rFonts w:ascii="Arial" w:eastAsia="Times New Roman" w:hAnsi="Arial" w:cs="Arial"/>
          <w:lang w:val="mk-MK" w:eastAsia="mk-MK"/>
        </w:rPr>
        <w:t xml:space="preserve"> региони во земјата</w:t>
      </w:r>
      <w:r w:rsidR="00AE3CE7" w:rsidRPr="006F23FF">
        <w:rPr>
          <w:rFonts w:ascii="Arial" w:eastAsia="Times New Roman" w:hAnsi="Arial" w:cs="Arial"/>
          <w:lang w:val="mk-MK" w:eastAsia="mk-MK"/>
        </w:rPr>
        <w:t xml:space="preserve"> оствари средби со општинската администрација од сите општини. Состаноците, покрај основната размена на информации </w:t>
      </w:r>
      <w:r w:rsidR="00AE3CE7" w:rsidRPr="002B2470">
        <w:rPr>
          <w:rFonts w:ascii="Arial" w:eastAsia="Times New Roman" w:hAnsi="Arial" w:cs="Arial"/>
          <w:lang w:val="mk-MK" w:eastAsia="mk-MK"/>
        </w:rPr>
        <w:t>во врска со можностите што ги нуди мерката, беа насочени кон утврдување на потребите на единиците на локалната самоуправа, нивните приоритети, како и утврдување на општинските капацитети за спроведување на мерката.</w:t>
      </w:r>
    </w:p>
    <w:p w:rsidR="002B4FE8" w:rsidRPr="002B2470" w:rsidRDefault="002B4FE8" w:rsidP="002B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p>
    <w:p w:rsidR="00C10921" w:rsidRPr="002B2470" w:rsidRDefault="002B4FE8"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Годишниот акци</w:t>
      </w:r>
      <w:r w:rsidR="008904B7">
        <w:rPr>
          <w:rFonts w:ascii="Arial" w:eastAsia="Times New Roman" w:hAnsi="Arial" w:cs="Arial"/>
          <w:lang w:val="mk-MK" w:eastAsia="mk-MK"/>
        </w:rPr>
        <w:t xml:space="preserve">ски </w:t>
      </w:r>
      <w:r w:rsidRPr="002B2470">
        <w:rPr>
          <w:rFonts w:ascii="Arial" w:eastAsia="Times New Roman" w:hAnsi="Arial" w:cs="Arial"/>
          <w:lang w:val="mk-MK" w:eastAsia="mk-MK"/>
        </w:rPr>
        <w:t>план за публицитет и комуникација на ИПАРД Програмата 2014-2020 за 2018 година беше усвоен и презентиран на третиот состанок на Комитетот за следење на ИПАРД одржан во мај. То</w:t>
      </w:r>
      <w:r w:rsidR="008904B7">
        <w:rPr>
          <w:rFonts w:ascii="Arial" w:eastAsia="Times New Roman" w:hAnsi="Arial" w:cs="Arial"/>
          <w:lang w:val="mk-MK" w:eastAsia="mk-MK"/>
        </w:rPr>
        <w:t>ј</w:t>
      </w:r>
      <w:r w:rsidRPr="002B2470">
        <w:rPr>
          <w:rFonts w:ascii="Arial" w:eastAsia="Times New Roman" w:hAnsi="Arial" w:cs="Arial"/>
          <w:lang w:val="mk-MK" w:eastAsia="mk-MK"/>
        </w:rPr>
        <w:t xml:space="preserve"> вклучува:</w:t>
      </w:r>
    </w:p>
    <w:p w:rsidR="00C10921" w:rsidRPr="002B2470" w:rsidRDefault="004824DC"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Courier New" w:eastAsia="Times New Roman" w:hAnsi="Courier New" w:cs="Courier New"/>
          <w:lang w:val="mk-MK" w:eastAsia="mk-MK"/>
        </w:rPr>
        <w:t>•</w:t>
      </w:r>
      <w:r w:rsidR="00C10921" w:rsidRPr="002B2470">
        <w:rPr>
          <w:rFonts w:ascii="Arial" w:eastAsia="Times New Roman" w:hAnsi="Arial" w:cs="Arial"/>
          <w:lang w:val="mk-MK" w:eastAsia="mk-MK"/>
        </w:rPr>
        <w:t>организација на инфо денови (35),</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ИПАРД форум (1),</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работилници (2),</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пишани и електронски медиуми (200),</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годишно објавување на листата на крајни корисници,</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подготовка и дистрибуција на брошури (6.000),</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подготовка на постери (650),</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подготовка и објавување на аудио и видео материјали (3),</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редовно ажурирање на веб страната на ИПАРД.</w:t>
      </w:r>
    </w:p>
    <w:p w:rsidR="00C10921" w:rsidRPr="002B2470" w:rsidRDefault="00C10921" w:rsidP="00C1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lang w:val="mk-MK" w:eastAsia="mk-MK"/>
        </w:rPr>
      </w:pPr>
    </w:p>
    <w:p w:rsidR="00DF41A7" w:rsidRPr="002B2470" w:rsidRDefault="00DF41A7" w:rsidP="003B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 xml:space="preserve">Поради големиот број барања поднесени на јавниот повик 01/2017, како и доцнењето во склучувањето на договорите, на крајот </w:t>
      </w:r>
      <w:r w:rsidR="008904B7">
        <w:rPr>
          <w:rFonts w:ascii="Arial" w:eastAsia="Times New Roman" w:hAnsi="Arial" w:cs="Arial"/>
          <w:lang w:val="mk-MK" w:eastAsia="mk-MK"/>
        </w:rPr>
        <w:t>од</w:t>
      </w:r>
      <w:r w:rsidRPr="002B2470">
        <w:rPr>
          <w:rFonts w:ascii="Arial" w:eastAsia="Times New Roman" w:hAnsi="Arial" w:cs="Arial"/>
          <w:lang w:val="mk-MK" w:eastAsia="mk-MK"/>
        </w:rPr>
        <w:t xml:space="preserve"> 2018 година беа објавени следните јавни повици. Ова придонесе некои од активностите за публицитет планирани за 2018 година </w:t>
      </w:r>
      <w:r w:rsidRPr="002B2470">
        <w:rPr>
          <w:rFonts w:ascii="Arial" w:eastAsia="Times New Roman" w:hAnsi="Arial" w:cs="Arial"/>
          <w:lang w:val="mk-MK" w:eastAsia="mk-MK"/>
        </w:rPr>
        <w:lastRenderedPageBreak/>
        <w:t>да не се реализираат, односно да с</w:t>
      </w:r>
      <w:r w:rsidR="008904B7">
        <w:rPr>
          <w:rFonts w:ascii="Arial" w:eastAsia="Times New Roman" w:hAnsi="Arial" w:cs="Arial"/>
          <w:lang w:val="mk-MK" w:eastAsia="mk-MK"/>
        </w:rPr>
        <w:t>е</w:t>
      </w:r>
      <w:r w:rsidRPr="002B2470">
        <w:rPr>
          <w:rFonts w:ascii="Arial" w:eastAsia="Times New Roman" w:hAnsi="Arial" w:cs="Arial"/>
          <w:lang w:val="mk-MK" w:eastAsia="mk-MK"/>
        </w:rPr>
        <w:t xml:space="preserve"> одложат и реализираат подоцна, но со значително намален интензитет.</w:t>
      </w:r>
    </w:p>
    <w:p w:rsidR="004306E3" w:rsidRPr="002B2470" w:rsidRDefault="004306E3" w:rsidP="00082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Според годишниот акци</w:t>
      </w:r>
      <w:r w:rsidR="008904B7">
        <w:rPr>
          <w:rFonts w:ascii="Arial" w:eastAsia="Times New Roman" w:hAnsi="Arial" w:cs="Arial"/>
          <w:lang w:val="mk-MK" w:eastAsia="mk-MK"/>
        </w:rPr>
        <w:t xml:space="preserve">ски </w:t>
      </w:r>
      <w:r w:rsidRPr="002B2470">
        <w:rPr>
          <w:rFonts w:ascii="Arial" w:eastAsia="Times New Roman" w:hAnsi="Arial" w:cs="Arial"/>
          <w:lang w:val="mk-MK" w:eastAsia="mk-MK"/>
        </w:rPr>
        <w:t>план за комуникација и публицитет за 2018 година во однос на ИПАРД Програмата 2014-2020, во текот на 2018 година беа реализирани следните активности:</w:t>
      </w:r>
    </w:p>
    <w:p w:rsidR="004306E3" w:rsidRPr="0038361F" w:rsidRDefault="004306E3" w:rsidP="0089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jc w:val="both"/>
        <w:rPr>
          <w:rFonts w:ascii="Arial" w:eastAsia="Times New Roman" w:hAnsi="Arial" w:cs="Arial"/>
          <w:lang w:val="mk-MK" w:eastAsia="mk-MK"/>
        </w:rPr>
      </w:pPr>
      <w:r w:rsidRPr="002B2470">
        <w:rPr>
          <w:rFonts w:ascii="Arial" w:eastAsia="Times New Roman" w:hAnsi="Arial" w:cs="Arial"/>
          <w:lang w:val="mk-MK" w:eastAsia="mk-MK"/>
        </w:rPr>
        <w:t xml:space="preserve">• </w:t>
      </w:r>
      <w:r w:rsidR="008904B7">
        <w:rPr>
          <w:rFonts w:ascii="Arial" w:eastAsia="Times New Roman" w:hAnsi="Arial" w:cs="Arial"/>
          <w:lang w:val="mk-MK" w:eastAsia="mk-MK"/>
        </w:rPr>
        <w:t xml:space="preserve"> </w:t>
      </w:r>
      <w:r w:rsidR="008904B7">
        <w:rPr>
          <w:rFonts w:ascii="Arial" w:eastAsia="Times New Roman" w:hAnsi="Arial" w:cs="Arial"/>
          <w:lang w:val="mk-MK" w:eastAsia="mk-MK"/>
        </w:rPr>
        <w:tab/>
      </w:r>
      <w:r w:rsidRPr="002B2470">
        <w:rPr>
          <w:rFonts w:ascii="Arial" w:eastAsia="Times New Roman" w:hAnsi="Arial" w:cs="Arial"/>
          <w:lang w:val="mk-MK" w:eastAsia="mk-MK"/>
        </w:rPr>
        <w:t>договор со избраната компанија за надградба, хостирање и одржување на веб-страницата www.ipard.gov.mk (за период од една година) е во период на реализација и веб-страницата се ажурира и подобрува во</w:t>
      </w:r>
      <w:r w:rsidR="00151F85" w:rsidRPr="002B2470">
        <w:rPr>
          <w:rFonts w:ascii="Arial" w:eastAsia="Times New Roman" w:hAnsi="Arial" w:cs="Arial"/>
          <w:lang w:val="mk-MK" w:eastAsia="mk-MK"/>
        </w:rPr>
        <w:t xml:space="preserve"> однос на барањата на договорот;</w:t>
      </w:r>
    </w:p>
    <w:p w:rsidR="00082052" w:rsidRPr="008A22EF" w:rsidRDefault="00082052" w:rsidP="00082052">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зголемена комуникација со јавноста беше забележана преку електронска пошта и центарот</w:t>
      </w:r>
      <w:r w:rsidR="00A90067" w:rsidRPr="002B2470">
        <w:rPr>
          <w:rFonts w:ascii="Arial" w:eastAsia="Times New Roman" w:hAnsi="Arial" w:cs="Arial"/>
          <w:lang w:val="mk-MK" w:eastAsia="mk-MK"/>
        </w:rPr>
        <w:t xml:space="preserve"> за повици</w:t>
      </w:r>
      <w:r w:rsidRPr="002B2470">
        <w:rPr>
          <w:rFonts w:ascii="Arial" w:eastAsia="Times New Roman" w:hAnsi="Arial" w:cs="Arial"/>
          <w:lang w:val="mk-MK" w:eastAsia="mk-MK"/>
        </w:rPr>
        <w:t xml:space="preserve"> (само во јули имаше 120 повици, поради потпишување на договорите за </w:t>
      </w:r>
      <w:r w:rsidRPr="008A22EF">
        <w:rPr>
          <w:rFonts w:ascii="Arial" w:eastAsia="Times New Roman" w:hAnsi="Arial" w:cs="Arial"/>
          <w:lang w:val="mk-MK" w:eastAsia="mk-MK"/>
        </w:rPr>
        <w:t>трактори);</w:t>
      </w:r>
    </w:p>
    <w:p w:rsidR="00082052" w:rsidRPr="002B2470" w:rsidRDefault="00082052" w:rsidP="00082052">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 xml:space="preserve">во однос на </w:t>
      </w:r>
      <w:r w:rsidR="008904B7">
        <w:rPr>
          <w:rFonts w:ascii="Arial" w:eastAsia="Times New Roman" w:hAnsi="Arial" w:cs="Arial"/>
          <w:lang w:val="mk-MK" w:eastAsia="mk-MK"/>
        </w:rPr>
        <w:t>„</w:t>
      </w:r>
      <w:r w:rsidRPr="002B2470">
        <w:rPr>
          <w:rFonts w:ascii="Arial" w:eastAsia="Times New Roman" w:hAnsi="Arial" w:cs="Arial"/>
          <w:lang w:val="mk-MK" w:eastAsia="mk-MK"/>
        </w:rPr>
        <w:t>Јавните повици</w:t>
      </w:r>
      <w:r w:rsidR="008904B7">
        <w:rPr>
          <w:rFonts w:ascii="Arial" w:eastAsia="Times New Roman" w:hAnsi="Arial" w:cs="Arial"/>
          <w:lang w:val="mk-MK" w:eastAsia="mk-MK"/>
        </w:rPr>
        <w:t>“</w:t>
      </w:r>
      <w:r w:rsidRPr="002B2470">
        <w:rPr>
          <w:rFonts w:ascii="Arial" w:eastAsia="Times New Roman" w:hAnsi="Arial" w:cs="Arial"/>
          <w:lang w:val="mk-MK" w:eastAsia="mk-MK"/>
        </w:rPr>
        <w:t xml:space="preserve"> имаше значителен број (над 126) соопштенија за јавноста и пишани интервјуа (дневни весниц</w:t>
      </w:r>
      <w:r w:rsidR="00A90067" w:rsidRPr="002B2470">
        <w:rPr>
          <w:rFonts w:ascii="Arial" w:eastAsia="Times New Roman" w:hAnsi="Arial" w:cs="Arial"/>
          <w:lang w:val="mk-MK" w:eastAsia="mk-MK"/>
        </w:rPr>
        <w:t xml:space="preserve">и и интернет портали) и во </w:t>
      </w:r>
      <w:r w:rsidRPr="002B2470">
        <w:rPr>
          <w:rFonts w:ascii="Arial" w:eastAsia="Times New Roman" w:hAnsi="Arial" w:cs="Arial"/>
          <w:lang w:val="mk-MK" w:eastAsia="mk-MK"/>
        </w:rPr>
        <w:t xml:space="preserve">центарот </w:t>
      </w:r>
      <w:r w:rsidR="00A90067" w:rsidRPr="002B2470">
        <w:rPr>
          <w:rFonts w:ascii="Arial" w:eastAsia="Times New Roman" w:hAnsi="Arial" w:cs="Arial"/>
          <w:lang w:val="mk-MK" w:eastAsia="mk-MK"/>
        </w:rPr>
        <w:t xml:space="preserve">за повици </w:t>
      </w:r>
      <w:r w:rsidRPr="002B2470">
        <w:rPr>
          <w:rFonts w:ascii="Arial" w:eastAsia="Times New Roman" w:hAnsi="Arial" w:cs="Arial"/>
          <w:lang w:val="mk-MK" w:eastAsia="mk-MK"/>
        </w:rPr>
        <w:t>на ИПАРД Агенцијата имаше 180 повици и 110 посети;</w:t>
      </w:r>
    </w:p>
    <w:p w:rsidR="00082052" w:rsidRPr="002B2470" w:rsidRDefault="008904B7" w:rsidP="00082052">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Pr>
          <w:rFonts w:ascii="Courier New" w:eastAsia="Times New Roman" w:hAnsi="Courier New" w:cs="Courier New"/>
          <w:lang w:val="mk-MK" w:eastAsia="mk-MK"/>
        </w:rPr>
        <w:t>„</w:t>
      </w:r>
      <w:r w:rsidR="009704A9" w:rsidRPr="002B2470">
        <w:rPr>
          <w:rFonts w:ascii="Arial" w:eastAsia="Times New Roman" w:hAnsi="Arial" w:cs="Arial"/>
          <w:lang w:val="mk-MK" w:eastAsia="mk-MK"/>
        </w:rPr>
        <w:t>Ј</w:t>
      </w:r>
      <w:r w:rsidR="00082052" w:rsidRPr="002B2470">
        <w:rPr>
          <w:rFonts w:ascii="Arial" w:eastAsia="Times New Roman" w:hAnsi="Arial" w:cs="Arial"/>
          <w:lang w:val="mk-MK" w:eastAsia="mk-MK"/>
        </w:rPr>
        <w:t>авен повик</w:t>
      </w:r>
      <w:r>
        <w:rPr>
          <w:rFonts w:ascii="Arial" w:eastAsia="Times New Roman" w:hAnsi="Arial" w:cs="Arial"/>
          <w:lang w:val="mk-MK" w:eastAsia="mk-MK"/>
        </w:rPr>
        <w:t>“</w:t>
      </w:r>
      <w:r w:rsidRPr="002B2470">
        <w:rPr>
          <w:rFonts w:ascii="Arial" w:eastAsia="Times New Roman" w:hAnsi="Arial" w:cs="Arial"/>
          <w:lang w:val="mk-MK" w:eastAsia="mk-MK"/>
        </w:rPr>
        <w:t xml:space="preserve"> </w:t>
      </w:r>
      <w:r w:rsidR="00082052" w:rsidRPr="002B2470">
        <w:rPr>
          <w:rFonts w:ascii="Arial" w:eastAsia="Times New Roman" w:hAnsi="Arial" w:cs="Arial"/>
          <w:lang w:val="mk-MK" w:eastAsia="mk-MK"/>
        </w:rPr>
        <w:t xml:space="preserve">01/2018 за </w:t>
      </w:r>
      <w:r>
        <w:rPr>
          <w:rFonts w:ascii="Arial" w:eastAsia="Times New Roman" w:hAnsi="Arial" w:cs="Arial"/>
          <w:lang w:val="mk-MK" w:eastAsia="mk-MK"/>
        </w:rPr>
        <w:t>М</w:t>
      </w:r>
      <w:r w:rsidRPr="002B2470">
        <w:rPr>
          <w:rFonts w:ascii="Arial" w:eastAsia="Times New Roman" w:hAnsi="Arial" w:cs="Arial"/>
          <w:lang w:val="mk-MK" w:eastAsia="mk-MK"/>
        </w:rPr>
        <w:t xml:space="preserve">ерка </w:t>
      </w:r>
      <w:r w:rsidR="00082052" w:rsidRPr="002B2470">
        <w:rPr>
          <w:rFonts w:ascii="Arial" w:eastAsia="Times New Roman" w:hAnsi="Arial" w:cs="Arial"/>
          <w:lang w:val="mk-MK" w:eastAsia="mk-MK"/>
        </w:rPr>
        <w:t>3 од ИПАРД Програмата 2014-2020 беше објавен на 30 ноемв</w:t>
      </w:r>
      <w:r w:rsidR="0088241E" w:rsidRPr="002B2470">
        <w:rPr>
          <w:rFonts w:ascii="Arial" w:eastAsia="Times New Roman" w:hAnsi="Arial" w:cs="Arial"/>
          <w:lang w:val="mk-MK" w:eastAsia="mk-MK"/>
        </w:rPr>
        <w:t>ри 2018 година на веб-страната</w:t>
      </w:r>
      <w:r w:rsidR="00082052" w:rsidRPr="002B2470">
        <w:rPr>
          <w:rFonts w:ascii="Arial" w:eastAsia="Times New Roman" w:hAnsi="Arial" w:cs="Arial"/>
          <w:lang w:val="mk-MK" w:eastAsia="mk-MK"/>
        </w:rPr>
        <w:t xml:space="preserve"> на ИПАРД</w:t>
      </w:r>
      <w:r w:rsidR="0088241E" w:rsidRPr="002B2470">
        <w:rPr>
          <w:rFonts w:ascii="Arial" w:eastAsia="Times New Roman" w:hAnsi="Arial" w:cs="Arial"/>
          <w:lang w:val="mk-MK" w:eastAsia="mk-MK"/>
        </w:rPr>
        <w:t xml:space="preserve"> Агенција</w:t>
      </w:r>
      <w:r w:rsidR="009704A9" w:rsidRPr="002B2470">
        <w:rPr>
          <w:rFonts w:ascii="Arial" w:eastAsia="Times New Roman" w:hAnsi="Arial" w:cs="Arial"/>
          <w:lang w:val="mk-MK" w:eastAsia="mk-MK"/>
        </w:rPr>
        <w:t>, веб-страната</w:t>
      </w:r>
      <w:r w:rsidR="00082052" w:rsidRPr="002B2470">
        <w:rPr>
          <w:rFonts w:ascii="Arial" w:eastAsia="Times New Roman" w:hAnsi="Arial" w:cs="Arial"/>
          <w:lang w:val="mk-MK" w:eastAsia="mk-MK"/>
        </w:rPr>
        <w:t xml:space="preserve"> на </w:t>
      </w:r>
      <w:r w:rsidR="009704A9" w:rsidRPr="002B2470">
        <w:rPr>
          <w:rFonts w:ascii="Arial" w:eastAsia="Times New Roman" w:hAnsi="Arial" w:cs="Arial"/>
          <w:lang w:val="mk-MK" w:eastAsia="mk-MK"/>
        </w:rPr>
        <w:t>Телото</w:t>
      </w:r>
      <w:r w:rsidR="00082052" w:rsidRPr="002B2470">
        <w:rPr>
          <w:rFonts w:ascii="Arial" w:eastAsia="Times New Roman" w:hAnsi="Arial" w:cs="Arial"/>
          <w:lang w:val="mk-MK" w:eastAsia="mk-MK"/>
        </w:rPr>
        <w:t xml:space="preserve"> за управување со ИПАРД, како и во печатените медиуми;</w:t>
      </w:r>
    </w:p>
    <w:p w:rsidR="00F5422E" w:rsidRPr="002B2470" w:rsidRDefault="000C245A" w:rsidP="00F5422E">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mk-MK" w:eastAsia="mk-MK"/>
        </w:rPr>
      </w:pPr>
      <w:r>
        <w:rPr>
          <w:rFonts w:ascii="Courier New" w:eastAsia="Times New Roman" w:hAnsi="Courier New" w:cs="Courier New"/>
          <w:lang w:val="mk-MK" w:eastAsia="mk-MK"/>
        </w:rPr>
        <w:t>„</w:t>
      </w:r>
      <w:r w:rsidR="00082052" w:rsidRPr="002B2470">
        <w:rPr>
          <w:rFonts w:ascii="Arial" w:eastAsia="Times New Roman" w:hAnsi="Arial" w:cs="Arial"/>
          <w:lang w:val="mk-MK" w:eastAsia="mk-MK"/>
        </w:rPr>
        <w:t>Јавен повик</w:t>
      </w:r>
      <w:r>
        <w:rPr>
          <w:rFonts w:ascii="Arial" w:eastAsia="Times New Roman" w:hAnsi="Arial" w:cs="Arial"/>
          <w:lang w:val="mk-MK" w:eastAsia="mk-MK"/>
        </w:rPr>
        <w:t>“</w:t>
      </w:r>
      <w:r w:rsidR="00082052" w:rsidRPr="002B2470">
        <w:rPr>
          <w:rFonts w:ascii="Arial" w:eastAsia="Times New Roman" w:hAnsi="Arial" w:cs="Arial"/>
          <w:lang w:val="mk-MK" w:eastAsia="mk-MK"/>
        </w:rPr>
        <w:t xml:space="preserve"> 02/2018 за </w:t>
      </w:r>
      <w:r>
        <w:rPr>
          <w:rFonts w:ascii="Arial" w:eastAsia="Times New Roman" w:hAnsi="Arial" w:cs="Arial"/>
          <w:lang w:val="mk-MK" w:eastAsia="mk-MK"/>
        </w:rPr>
        <w:t>М</w:t>
      </w:r>
      <w:r w:rsidR="00082052" w:rsidRPr="002B2470">
        <w:rPr>
          <w:rFonts w:ascii="Arial" w:eastAsia="Times New Roman" w:hAnsi="Arial" w:cs="Arial"/>
          <w:lang w:val="mk-MK" w:eastAsia="mk-MK"/>
        </w:rPr>
        <w:t>ерка 1 од ИПАРД Програмата 2014-2020 беше објавен на 26 декемв</w:t>
      </w:r>
      <w:r w:rsidR="00F5422E" w:rsidRPr="002B2470">
        <w:rPr>
          <w:rFonts w:ascii="Arial" w:eastAsia="Times New Roman" w:hAnsi="Arial" w:cs="Arial"/>
          <w:lang w:val="mk-MK" w:eastAsia="mk-MK"/>
        </w:rPr>
        <w:t>ри 2018 година на веб</w:t>
      </w:r>
      <w:r>
        <w:rPr>
          <w:rFonts w:ascii="Arial" w:eastAsia="Times New Roman" w:hAnsi="Arial" w:cs="Arial"/>
          <w:lang w:val="mk-MK" w:eastAsia="mk-MK"/>
        </w:rPr>
        <w:t>-</w:t>
      </w:r>
      <w:r w:rsidR="00F5422E" w:rsidRPr="002B2470">
        <w:rPr>
          <w:rFonts w:ascii="Arial" w:eastAsia="Times New Roman" w:hAnsi="Arial" w:cs="Arial"/>
          <w:lang w:val="mk-MK" w:eastAsia="mk-MK"/>
        </w:rPr>
        <w:t>страната</w:t>
      </w:r>
      <w:r w:rsidR="00082052" w:rsidRPr="002B2470">
        <w:rPr>
          <w:rFonts w:ascii="Arial" w:eastAsia="Times New Roman" w:hAnsi="Arial" w:cs="Arial"/>
          <w:lang w:val="mk-MK" w:eastAsia="mk-MK"/>
        </w:rPr>
        <w:t xml:space="preserve"> на</w:t>
      </w:r>
      <w:r w:rsidR="00F5422E" w:rsidRPr="002B2470">
        <w:rPr>
          <w:rFonts w:ascii="Arial" w:eastAsia="Times New Roman" w:hAnsi="Arial" w:cs="Arial"/>
          <w:lang w:val="mk-MK" w:eastAsia="mk-MK"/>
        </w:rPr>
        <w:t xml:space="preserve"> ИПАРД Агенција</w:t>
      </w:r>
      <w:r w:rsidR="00082052" w:rsidRPr="002B2470">
        <w:rPr>
          <w:rFonts w:ascii="Arial" w:eastAsia="Times New Roman" w:hAnsi="Arial" w:cs="Arial"/>
          <w:lang w:val="mk-MK" w:eastAsia="mk-MK"/>
        </w:rPr>
        <w:t>,</w:t>
      </w:r>
      <w:r w:rsidR="00082052" w:rsidRPr="002B2470">
        <w:rPr>
          <w:rFonts w:ascii="Courier New" w:eastAsia="Times New Roman" w:hAnsi="Courier New" w:cs="Courier New"/>
          <w:lang w:val="mk-MK" w:eastAsia="mk-MK"/>
        </w:rPr>
        <w:t xml:space="preserve"> </w:t>
      </w:r>
      <w:r w:rsidR="00F5422E" w:rsidRPr="002B2470">
        <w:rPr>
          <w:rFonts w:ascii="Arial" w:eastAsia="Times New Roman" w:hAnsi="Arial" w:cs="Arial"/>
          <w:lang w:val="mk-MK" w:eastAsia="mk-MK"/>
        </w:rPr>
        <w:t>веб-страната на Телото за управување со ИПАРД, како и во печатените медиуми;</w:t>
      </w:r>
    </w:p>
    <w:p w:rsidR="00082052" w:rsidRPr="0038361F" w:rsidRDefault="00082052" w:rsidP="00DC22E2">
      <w:pPr>
        <w:pStyle w:val="m343668044302477783m-3986873246552044066msolistparagraph"/>
        <w:spacing w:before="0" w:beforeAutospacing="0" w:after="0" w:afterAutospacing="0"/>
        <w:ind w:left="720"/>
        <w:jc w:val="both"/>
        <w:rPr>
          <w:rFonts w:ascii="Arial" w:hAnsi="Arial" w:cs="Arial"/>
          <w:sz w:val="22"/>
          <w:szCs w:val="22"/>
          <w:lang w:val="mk-MK"/>
        </w:rPr>
      </w:pPr>
    </w:p>
    <w:p w:rsidR="00DC22E2" w:rsidRPr="006F23FF" w:rsidRDefault="00DC22E2" w:rsidP="00DC2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 xml:space="preserve">Преку мерката Техничка помош, Телото за управување со ИПАРД во ноември склучи договор со 3D проект Студио за да обезбеди логистичка поддршка за реализација на кампања за публицитет на ИПАРД Програмата. Според договорот, </w:t>
      </w:r>
      <w:r w:rsidR="005E0DF1" w:rsidRPr="008A22EF">
        <w:rPr>
          <w:rFonts w:ascii="Arial" w:eastAsia="Times New Roman" w:hAnsi="Arial" w:cs="Arial"/>
          <w:lang w:val="mk-MK" w:eastAsia="mk-MK"/>
        </w:rPr>
        <w:t>фирмата е должна</w:t>
      </w:r>
      <w:r w:rsidRPr="006F23FF">
        <w:rPr>
          <w:rFonts w:ascii="Arial" w:eastAsia="Times New Roman" w:hAnsi="Arial" w:cs="Arial"/>
          <w:lang w:val="mk-MK" w:eastAsia="mk-MK"/>
        </w:rPr>
        <w:t>:</w:t>
      </w:r>
    </w:p>
    <w:p w:rsidR="00DC22E2" w:rsidRPr="002B2470" w:rsidRDefault="00DC22E2" w:rsidP="00DC2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xml:space="preserve">• </w:t>
      </w:r>
      <w:r w:rsidR="009D167B" w:rsidRPr="002B2470">
        <w:rPr>
          <w:rFonts w:ascii="Arial" w:eastAsia="Times New Roman" w:hAnsi="Arial" w:cs="Arial"/>
          <w:lang w:val="mk-MK" w:eastAsia="mk-MK"/>
        </w:rPr>
        <w:t>да обезбеди</w:t>
      </w:r>
      <w:r w:rsidRPr="002B2470">
        <w:rPr>
          <w:rFonts w:ascii="Arial" w:eastAsia="Times New Roman" w:hAnsi="Arial" w:cs="Arial"/>
          <w:lang w:val="mk-MK" w:eastAsia="mk-MK"/>
        </w:rPr>
        <w:t xml:space="preserve"> логистичка поддршка во организ</w:t>
      </w:r>
      <w:r w:rsidR="009D167B" w:rsidRPr="002B2470">
        <w:rPr>
          <w:rFonts w:ascii="Arial" w:eastAsia="Times New Roman" w:hAnsi="Arial" w:cs="Arial"/>
          <w:lang w:val="mk-MK" w:eastAsia="mk-MK"/>
        </w:rPr>
        <w:t>ирањето на 70 ИПАРД инфо</w:t>
      </w:r>
      <w:r w:rsidRPr="002B2470">
        <w:rPr>
          <w:rFonts w:ascii="Arial" w:eastAsia="Times New Roman" w:hAnsi="Arial" w:cs="Arial"/>
          <w:lang w:val="mk-MK" w:eastAsia="mk-MK"/>
        </w:rPr>
        <w:t xml:space="preserve"> денови, 6 работилници, 3 форуми;</w:t>
      </w:r>
    </w:p>
    <w:p w:rsidR="00DC22E2" w:rsidRPr="002B2470" w:rsidRDefault="00DC22E2" w:rsidP="00DC2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2B2470">
        <w:rPr>
          <w:rFonts w:ascii="Arial" w:eastAsia="Times New Roman" w:hAnsi="Arial" w:cs="Arial"/>
          <w:lang w:val="mk-MK" w:eastAsia="mk-MK"/>
        </w:rPr>
        <w:t>• да обезбеди иде</w:t>
      </w:r>
      <w:r w:rsidR="000C245A">
        <w:rPr>
          <w:rFonts w:ascii="Arial" w:eastAsia="Times New Roman" w:hAnsi="Arial" w:cs="Arial"/>
          <w:lang w:val="mk-MK" w:eastAsia="mk-MK"/>
        </w:rPr>
        <w:t xml:space="preserve">јно </w:t>
      </w:r>
      <w:r w:rsidRPr="002B2470">
        <w:rPr>
          <w:rFonts w:ascii="Arial" w:eastAsia="Times New Roman" w:hAnsi="Arial" w:cs="Arial"/>
          <w:lang w:val="mk-MK" w:eastAsia="mk-MK"/>
        </w:rPr>
        <w:t xml:space="preserve">решение и да </w:t>
      </w:r>
      <w:r w:rsidR="009D167B" w:rsidRPr="002B2470">
        <w:rPr>
          <w:rFonts w:ascii="Arial" w:eastAsia="Times New Roman" w:hAnsi="Arial" w:cs="Arial"/>
          <w:lang w:val="mk-MK" w:eastAsia="mk-MK"/>
        </w:rPr>
        <w:t>направи</w:t>
      </w:r>
      <w:r w:rsidRPr="002B2470">
        <w:rPr>
          <w:rFonts w:ascii="Arial" w:eastAsia="Times New Roman" w:hAnsi="Arial" w:cs="Arial"/>
          <w:lang w:val="mk-MK" w:eastAsia="mk-MK"/>
        </w:rPr>
        <w:t xml:space="preserve"> 3 видеа </w:t>
      </w:r>
      <w:r w:rsidR="009D167B" w:rsidRPr="002B2470">
        <w:rPr>
          <w:rFonts w:ascii="Arial" w:eastAsia="Times New Roman" w:hAnsi="Arial" w:cs="Arial"/>
          <w:lang w:val="mk-MK" w:eastAsia="mk-MK"/>
        </w:rPr>
        <w:t>за ИПАРД Програмата и 1 радио реклама</w:t>
      </w:r>
      <w:r w:rsidRPr="002B2470">
        <w:rPr>
          <w:rFonts w:ascii="Arial" w:eastAsia="Times New Roman" w:hAnsi="Arial" w:cs="Arial"/>
          <w:lang w:val="mk-MK" w:eastAsia="mk-MK"/>
        </w:rPr>
        <w:t>;</w:t>
      </w:r>
    </w:p>
    <w:p w:rsidR="009D167B" w:rsidRPr="002B2470" w:rsidRDefault="009D167B" w:rsidP="009D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r w:rsidRPr="008A22EF">
        <w:rPr>
          <w:rFonts w:ascii="Arial" w:eastAsia="Times New Roman" w:hAnsi="Arial" w:cs="Arial"/>
          <w:lang w:val="mk-MK" w:eastAsia="mk-MK"/>
        </w:rPr>
        <w:t>• печатени материјали за</w:t>
      </w:r>
      <w:r w:rsidRPr="006F23FF">
        <w:rPr>
          <w:rFonts w:ascii="Arial" w:eastAsia="Times New Roman" w:hAnsi="Arial" w:cs="Arial"/>
          <w:lang w:val="mk-MK" w:eastAsia="mk-MK"/>
        </w:rPr>
        <w:t xml:space="preserve"> публицитет (пакети за барања</w:t>
      </w:r>
      <w:r w:rsidR="00DC22E2" w:rsidRPr="002B2470">
        <w:rPr>
          <w:rFonts w:ascii="Arial" w:eastAsia="Times New Roman" w:hAnsi="Arial" w:cs="Arial"/>
          <w:lang w:val="mk-MK" w:eastAsia="mk-MK"/>
        </w:rPr>
        <w:t>, брошури, банери).</w:t>
      </w:r>
    </w:p>
    <w:p w:rsidR="009D167B" w:rsidRPr="002B2470" w:rsidRDefault="009D167B" w:rsidP="009D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mk-MK" w:eastAsia="mk-MK"/>
        </w:rPr>
      </w:pPr>
    </w:p>
    <w:p w:rsidR="009D167B" w:rsidRPr="002B2470" w:rsidRDefault="009D167B" w:rsidP="009D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mk-MK" w:eastAsia="mk-MK"/>
        </w:rPr>
      </w:pPr>
      <w:r w:rsidRPr="002B2470">
        <w:rPr>
          <w:rFonts w:ascii="Arial" w:eastAsia="Times New Roman" w:hAnsi="Arial" w:cs="Arial"/>
          <w:lang w:val="mk-MK" w:eastAsia="mk-MK"/>
        </w:rPr>
        <w:t>Реализацијата на договорот „Кампања за публицитет на ИПАРД</w:t>
      </w:r>
      <w:r w:rsidR="000C245A">
        <w:rPr>
          <w:rFonts w:ascii="Arial" w:eastAsia="Times New Roman" w:hAnsi="Arial" w:cs="Arial"/>
          <w:lang w:val="mk-MK" w:eastAsia="mk-MK"/>
        </w:rPr>
        <w:t>“</w:t>
      </w:r>
      <w:r w:rsidR="000C245A" w:rsidRPr="002B2470">
        <w:rPr>
          <w:rFonts w:ascii="Arial" w:eastAsia="Times New Roman" w:hAnsi="Arial" w:cs="Arial"/>
          <w:lang w:val="mk-MK" w:eastAsia="mk-MK"/>
        </w:rPr>
        <w:t xml:space="preserve"> </w:t>
      </w:r>
      <w:r w:rsidRPr="002B2470">
        <w:rPr>
          <w:rFonts w:ascii="Arial" w:eastAsia="Times New Roman" w:hAnsi="Arial" w:cs="Arial"/>
          <w:lang w:val="mk-MK" w:eastAsia="mk-MK"/>
        </w:rPr>
        <w:t xml:space="preserve">започна со работилница за </w:t>
      </w:r>
      <w:r w:rsidR="000C245A">
        <w:rPr>
          <w:rFonts w:ascii="Arial" w:eastAsia="Times New Roman" w:hAnsi="Arial" w:cs="Arial"/>
          <w:lang w:val="mk-MK" w:eastAsia="mk-MK"/>
        </w:rPr>
        <w:t>М</w:t>
      </w:r>
      <w:r w:rsidR="000C245A" w:rsidRPr="002B2470">
        <w:rPr>
          <w:rFonts w:ascii="Arial" w:eastAsia="Times New Roman" w:hAnsi="Arial" w:cs="Arial"/>
          <w:lang w:val="mk-MK" w:eastAsia="mk-MK"/>
        </w:rPr>
        <w:t xml:space="preserve">ерка </w:t>
      </w:r>
      <w:r w:rsidRPr="002B2470">
        <w:rPr>
          <w:rFonts w:ascii="Arial" w:eastAsia="Times New Roman" w:hAnsi="Arial" w:cs="Arial"/>
          <w:lang w:val="mk-MK" w:eastAsia="mk-MK"/>
        </w:rPr>
        <w:t>3 во Струмица на 26 декември 2018 година. Печатените материјали за оваа мерка беа изработени во еден дел (вкупно 4.456 материјали</w:t>
      </w:r>
      <w:r w:rsidR="000C245A">
        <w:rPr>
          <w:rFonts w:ascii="Arial" w:eastAsia="Times New Roman" w:hAnsi="Arial" w:cs="Arial"/>
          <w:lang w:val="mk-MK" w:eastAsia="mk-MK"/>
        </w:rPr>
        <w:t xml:space="preserve"> –</w:t>
      </w:r>
      <w:r w:rsidRPr="002B2470">
        <w:rPr>
          <w:rFonts w:ascii="Arial" w:eastAsia="Times New Roman" w:hAnsi="Arial" w:cs="Arial"/>
          <w:lang w:val="mk-MK" w:eastAsia="mk-MK"/>
        </w:rPr>
        <w:t>брошури, пакети за барања, постери, банери). Подготовката и печатењето на материјали</w:t>
      </w:r>
      <w:r w:rsidR="00EB40C6" w:rsidRPr="002B2470">
        <w:rPr>
          <w:rFonts w:ascii="Arial" w:eastAsia="Times New Roman" w:hAnsi="Arial" w:cs="Arial"/>
          <w:lang w:val="mk-MK" w:eastAsia="mk-MK"/>
        </w:rPr>
        <w:t xml:space="preserve">те за </w:t>
      </w:r>
      <w:r w:rsidR="000C245A">
        <w:rPr>
          <w:rFonts w:ascii="Arial" w:eastAsia="Times New Roman" w:hAnsi="Arial" w:cs="Arial"/>
          <w:lang w:val="mk-MK" w:eastAsia="mk-MK"/>
        </w:rPr>
        <w:t>М</w:t>
      </w:r>
      <w:r w:rsidR="000C245A" w:rsidRPr="002B2470">
        <w:rPr>
          <w:rFonts w:ascii="Arial" w:eastAsia="Times New Roman" w:hAnsi="Arial" w:cs="Arial"/>
          <w:lang w:val="mk-MK" w:eastAsia="mk-MK"/>
        </w:rPr>
        <w:t xml:space="preserve">ерка </w:t>
      </w:r>
      <w:r w:rsidR="00EB40C6" w:rsidRPr="002B2470">
        <w:rPr>
          <w:rFonts w:ascii="Arial" w:eastAsia="Times New Roman" w:hAnsi="Arial" w:cs="Arial"/>
          <w:lang w:val="mk-MK" w:eastAsia="mk-MK"/>
        </w:rPr>
        <w:t>1 беа готови</w:t>
      </w:r>
      <w:r w:rsidRPr="002B2470">
        <w:rPr>
          <w:rFonts w:ascii="Arial" w:eastAsia="Times New Roman" w:hAnsi="Arial" w:cs="Arial"/>
          <w:lang w:val="mk-MK" w:eastAsia="mk-MK"/>
        </w:rPr>
        <w:t xml:space="preserve"> веднаш по објавувањето на јавниот повик 02/2018.</w:t>
      </w:r>
    </w:p>
    <w:p w:rsidR="009D167B" w:rsidRPr="0038361F" w:rsidRDefault="009D167B" w:rsidP="00410356">
      <w:pPr>
        <w:pStyle w:val="m343668044302477783m-3986873246552044066msolistparagraph"/>
        <w:spacing w:before="120" w:beforeAutospacing="0" w:after="0" w:afterAutospacing="0"/>
        <w:jc w:val="both"/>
        <w:rPr>
          <w:rFonts w:ascii="Arial" w:hAnsi="Arial" w:cs="Arial"/>
          <w:sz w:val="22"/>
          <w:szCs w:val="22"/>
          <w:lang w:val="mk-MK"/>
        </w:rPr>
      </w:pPr>
    </w:p>
    <w:p w:rsidR="00410356" w:rsidRPr="0038361F" w:rsidRDefault="00410356" w:rsidP="00410356">
      <w:pPr>
        <w:rPr>
          <w:rFonts w:ascii="Arial" w:eastAsia="Calibri" w:hAnsi="Arial" w:cs="Arial"/>
          <w:lang w:val="mk-MK" w:eastAsia="en-GB"/>
        </w:rPr>
      </w:pPr>
      <w:r w:rsidRPr="0038361F">
        <w:rPr>
          <w:rFonts w:ascii="Arial" w:hAnsi="Arial" w:cs="Arial"/>
          <w:lang w:val="mk-MK"/>
        </w:rPr>
        <w:br w:type="page"/>
      </w:r>
    </w:p>
    <w:p w:rsidR="007D07EA" w:rsidRPr="0038361F" w:rsidRDefault="004D7151" w:rsidP="004D7151">
      <w:pPr>
        <w:pStyle w:val="ListParagraph"/>
        <w:numPr>
          <w:ilvl w:val="0"/>
          <w:numId w:val="12"/>
        </w:numPr>
        <w:spacing w:after="0" w:line="240" w:lineRule="auto"/>
        <w:jc w:val="both"/>
        <w:outlineLvl w:val="0"/>
        <w:rPr>
          <w:rFonts w:ascii="Arial" w:hAnsi="Arial" w:cs="Arial"/>
          <w:b/>
          <w:sz w:val="24"/>
          <w:szCs w:val="24"/>
          <w:lang w:val="mk-MK"/>
        </w:rPr>
      </w:pPr>
      <w:bookmarkStart w:id="86" w:name="_Toc7520968"/>
      <w:bookmarkStart w:id="87" w:name="_Toc8639883"/>
      <w:r w:rsidRPr="002B2470">
        <w:rPr>
          <w:rFonts w:ascii="Arial" w:hAnsi="Arial" w:cs="Arial"/>
          <w:b/>
          <w:sz w:val="24"/>
          <w:szCs w:val="24"/>
          <w:lang w:val="mk-MK"/>
        </w:rPr>
        <w:lastRenderedPageBreak/>
        <w:t>Координација на ИПАРД фондовите со националните фондови, други ИПА компоненти, меѓународни финансиски институции и донато</w:t>
      </w:r>
      <w:r w:rsidR="000C245A">
        <w:rPr>
          <w:rFonts w:ascii="Arial" w:hAnsi="Arial" w:cs="Arial"/>
          <w:b/>
          <w:sz w:val="24"/>
          <w:szCs w:val="24"/>
          <w:lang w:val="mk-MK"/>
        </w:rPr>
        <w:t>р</w:t>
      </w:r>
      <w:r w:rsidRPr="002B2470">
        <w:rPr>
          <w:rFonts w:ascii="Arial" w:hAnsi="Arial" w:cs="Arial"/>
          <w:b/>
          <w:sz w:val="24"/>
          <w:szCs w:val="24"/>
          <w:lang w:val="mk-MK"/>
        </w:rPr>
        <w:t>ска поддршка</w:t>
      </w:r>
      <w:bookmarkEnd w:id="86"/>
      <w:bookmarkEnd w:id="87"/>
    </w:p>
    <w:p w:rsidR="004D7151" w:rsidRPr="0038361F" w:rsidRDefault="004D7151" w:rsidP="004D7151">
      <w:pPr>
        <w:spacing w:before="120" w:after="0" w:line="240" w:lineRule="auto"/>
        <w:jc w:val="both"/>
        <w:rPr>
          <w:rStyle w:val="tlid-translation"/>
          <w:rFonts w:ascii="Arial" w:hAnsi="Arial" w:cs="Arial"/>
          <w:lang w:val="mk-MK"/>
        </w:rPr>
      </w:pPr>
      <w:r w:rsidRPr="002B2470">
        <w:rPr>
          <w:rFonts w:ascii="Arial" w:hAnsi="Arial" w:cs="Arial"/>
          <w:lang w:val="mk-MK"/>
        </w:rPr>
        <w:t>К</w:t>
      </w:r>
      <w:r w:rsidR="00E52F4F" w:rsidRPr="0038361F">
        <w:rPr>
          <w:rStyle w:val="tlid-translation"/>
          <w:rFonts w:ascii="Arial" w:hAnsi="Arial" w:cs="Arial"/>
          <w:lang w:val="mk-MK"/>
        </w:rPr>
        <w:t>о</w:t>
      </w:r>
      <w:r w:rsidRPr="002B2470">
        <w:rPr>
          <w:rStyle w:val="tlid-translation"/>
          <w:rFonts w:ascii="Arial" w:hAnsi="Arial" w:cs="Arial"/>
          <w:lang w:val="mk-MK"/>
        </w:rPr>
        <w:t>о</w:t>
      </w:r>
      <w:r w:rsidR="00E52F4F" w:rsidRPr="0038361F">
        <w:rPr>
          <w:rStyle w:val="tlid-translation"/>
          <w:rFonts w:ascii="Arial" w:hAnsi="Arial" w:cs="Arial"/>
          <w:lang w:val="mk-MK"/>
        </w:rPr>
        <w:t xml:space="preserve">рдинацијата помеѓу инструментите за донаторска помош и ИПА се заснова на интеграција на координативната функција во Секретаријатот за европски прашања под раководство на </w:t>
      </w:r>
      <w:r w:rsidR="000C245A" w:rsidRPr="002B2470">
        <w:rPr>
          <w:rStyle w:val="tlid-translation"/>
          <w:rFonts w:ascii="Arial" w:hAnsi="Arial" w:cs="Arial"/>
          <w:lang w:val="mk-MK"/>
        </w:rPr>
        <w:t>Н</w:t>
      </w:r>
      <w:r w:rsidR="000C245A">
        <w:rPr>
          <w:rStyle w:val="tlid-translation"/>
          <w:rFonts w:ascii="Arial" w:hAnsi="Arial" w:cs="Arial"/>
          <w:lang w:val="mk-MK"/>
        </w:rPr>
        <w:t>а</w:t>
      </w:r>
      <w:r w:rsidR="000C245A" w:rsidRPr="002B2470">
        <w:rPr>
          <w:rStyle w:val="tlid-translation"/>
          <w:rFonts w:ascii="Arial" w:hAnsi="Arial" w:cs="Arial"/>
          <w:lang w:val="mk-MK"/>
        </w:rPr>
        <w:t xml:space="preserve">ционалниот </w:t>
      </w:r>
      <w:r w:rsidR="007D07EA" w:rsidRPr="002B2470">
        <w:rPr>
          <w:rStyle w:val="tlid-translation"/>
          <w:rFonts w:ascii="Arial" w:hAnsi="Arial" w:cs="Arial"/>
          <w:lang w:val="mk-MK"/>
        </w:rPr>
        <w:t xml:space="preserve">ИПА Координатор </w:t>
      </w:r>
      <w:r w:rsidR="00E52F4F" w:rsidRPr="0038361F">
        <w:rPr>
          <w:rStyle w:val="tlid-translation"/>
          <w:rFonts w:ascii="Arial" w:hAnsi="Arial" w:cs="Arial"/>
          <w:lang w:val="mk-MK"/>
        </w:rPr>
        <w:t>NIPAC. NIPAC во исто време се назначува од страна на Владата како одговорна за координација на странска помош.</w:t>
      </w:r>
    </w:p>
    <w:p w:rsidR="004D7151" w:rsidRPr="0038361F" w:rsidRDefault="00E52F4F" w:rsidP="004D7151">
      <w:pPr>
        <w:spacing w:before="120" w:after="0"/>
        <w:jc w:val="both"/>
        <w:rPr>
          <w:rStyle w:val="tlid-translation"/>
          <w:rFonts w:ascii="Arial" w:hAnsi="Arial" w:cs="Arial"/>
          <w:lang w:val="mk-MK"/>
        </w:rPr>
      </w:pPr>
      <w:r w:rsidRPr="0038361F">
        <w:rPr>
          <w:rStyle w:val="tlid-translation"/>
          <w:rFonts w:ascii="Arial" w:hAnsi="Arial" w:cs="Arial"/>
          <w:lang w:val="mk-MK"/>
        </w:rPr>
        <w:t xml:space="preserve">Што се однесува до </w:t>
      </w:r>
      <w:r w:rsidR="004D7151" w:rsidRPr="002B2470">
        <w:rPr>
          <w:rStyle w:val="tlid-translation"/>
          <w:rFonts w:ascii="Arial" w:hAnsi="Arial" w:cs="Arial"/>
          <w:lang w:val="mk-MK"/>
        </w:rPr>
        <w:t>меѓународните финансиски институции</w:t>
      </w:r>
      <w:r w:rsidRPr="0038361F">
        <w:rPr>
          <w:rStyle w:val="tlid-translation"/>
          <w:rFonts w:ascii="Arial" w:hAnsi="Arial" w:cs="Arial"/>
          <w:lang w:val="mk-MK"/>
        </w:rPr>
        <w:t xml:space="preserve">, НАО исто така делува како државен советник во </w:t>
      </w:r>
      <w:r w:rsidR="000C245A" w:rsidRPr="0038361F">
        <w:rPr>
          <w:rStyle w:val="tlid-translation"/>
          <w:rFonts w:ascii="Arial" w:hAnsi="Arial" w:cs="Arial"/>
          <w:lang w:val="mk-MK"/>
        </w:rPr>
        <w:t>М</w:t>
      </w:r>
      <w:r w:rsidR="000C245A" w:rsidRPr="002B2470">
        <w:rPr>
          <w:rStyle w:val="tlid-translation"/>
          <w:rFonts w:ascii="Arial" w:hAnsi="Arial" w:cs="Arial"/>
          <w:lang w:val="mk-MK"/>
        </w:rPr>
        <w:t>инистерството</w:t>
      </w:r>
      <w:r w:rsidR="004D7151" w:rsidRPr="002B2470">
        <w:rPr>
          <w:rStyle w:val="tlid-translation"/>
          <w:rFonts w:ascii="Arial" w:hAnsi="Arial" w:cs="Arial"/>
          <w:lang w:val="mk-MK"/>
        </w:rPr>
        <w:t xml:space="preserve"> за </w:t>
      </w:r>
      <w:r w:rsidR="004D7151" w:rsidRPr="0038361F">
        <w:rPr>
          <w:rStyle w:val="tlid-translation"/>
          <w:rFonts w:ascii="Arial" w:hAnsi="Arial" w:cs="Arial"/>
          <w:lang w:val="mk-MK"/>
        </w:rPr>
        <w:t>финансии</w:t>
      </w:r>
      <w:r w:rsidRPr="0038361F">
        <w:rPr>
          <w:rStyle w:val="tlid-translation"/>
          <w:rFonts w:ascii="Arial" w:hAnsi="Arial" w:cs="Arial"/>
          <w:lang w:val="mk-MK"/>
        </w:rPr>
        <w:t xml:space="preserve">, кој ја координира употребата на средствата на </w:t>
      </w:r>
      <w:r w:rsidR="004D7151" w:rsidRPr="002B2470">
        <w:rPr>
          <w:rStyle w:val="tlid-translation"/>
          <w:rFonts w:ascii="Arial" w:hAnsi="Arial" w:cs="Arial"/>
          <w:lang w:val="mk-MK"/>
        </w:rPr>
        <w:t>меѓународните финансиски институции</w:t>
      </w:r>
      <w:r w:rsidRPr="0038361F">
        <w:rPr>
          <w:rStyle w:val="tlid-translation"/>
          <w:rFonts w:ascii="Arial" w:hAnsi="Arial" w:cs="Arial"/>
          <w:lang w:val="mk-MK"/>
        </w:rPr>
        <w:t>.</w:t>
      </w:r>
    </w:p>
    <w:p w:rsidR="00E52F4F" w:rsidRPr="002B2470" w:rsidRDefault="00E52F4F" w:rsidP="004D7151">
      <w:pPr>
        <w:spacing w:before="120" w:after="0"/>
        <w:jc w:val="both"/>
        <w:rPr>
          <w:rFonts w:ascii="Arial" w:hAnsi="Arial" w:cs="Arial"/>
          <w:lang w:val="mk-MK"/>
        </w:rPr>
      </w:pPr>
      <w:r w:rsidRPr="0038361F">
        <w:rPr>
          <w:rStyle w:val="tlid-translation"/>
          <w:rFonts w:ascii="Arial" w:hAnsi="Arial" w:cs="Arial"/>
          <w:lang w:val="mk-MK"/>
        </w:rPr>
        <w:t xml:space="preserve">Раководителот на </w:t>
      </w:r>
      <w:r w:rsidR="004D7151" w:rsidRPr="002B2470">
        <w:rPr>
          <w:rStyle w:val="tlid-translation"/>
          <w:rFonts w:ascii="Arial" w:hAnsi="Arial" w:cs="Arial"/>
          <w:lang w:val="mk-MK"/>
        </w:rPr>
        <w:t>Телото за управ</w:t>
      </w:r>
      <w:r w:rsidR="000C245A">
        <w:rPr>
          <w:rStyle w:val="tlid-translation"/>
          <w:rFonts w:ascii="Arial" w:hAnsi="Arial" w:cs="Arial"/>
          <w:lang w:val="mk-MK"/>
        </w:rPr>
        <w:t>ува</w:t>
      </w:r>
      <w:r w:rsidR="004D7151" w:rsidRPr="002B2470">
        <w:rPr>
          <w:rStyle w:val="tlid-translation"/>
          <w:rFonts w:ascii="Arial" w:hAnsi="Arial" w:cs="Arial"/>
          <w:lang w:val="mk-MK"/>
        </w:rPr>
        <w:t>ње</w:t>
      </w:r>
      <w:r w:rsidRPr="0038361F">
        <w:rPr>
          <w:rStyle w:val="tlid-translation"/>
          <w:rFonts w:ascii="Arial" w:hAnsi="Arial" w:cs="Arial"/>
          <w:lang w:val="mk-MK"/>
        </w:rPr>
        <w:t xml:space="preserve"> и директорот на ИПАРД Агенцијата се именувани членови на ИПА МК и редовно учествуваат на заеднички состаноци кои се одржуваат </w:t>
      </w:r>
      <w:r w:rsidR="004D7151" w:rsidRPr="002B2470">
        <w:rPr>
          <w:rStyle w:val="tlid-translation"/>
          <w:rFonts w:ascii="Arial" w:hAnsi="Arial" w:cs="Arial"/>
          <w:lang w:val="mk-MK"/>
        </w:rPr>
        <w:t>двапати</w:t>
      </w:r>
      <w:r w:rsidRPr="0038361F">
        <w:rPr>
          <w:rStyle w:val="tlid-translation"/>
          <w:rFonts w:ascii="Arial" w:hAnsi="Arial" w:cs="Arial"/>
          <w:lang w:val="mk-MK"/>
        </w:rPr>
        <w:t xml:space="preserve"> годишно</w:t>
      </w:r>
      <w:r w:rsidR="004D7151" w:rsidRPr="002B2470">
        <w:rPr>
          <w:rStyle w:val="tlid-translation"/>
          <w:rFonts w:ascii="Arial" w:hAnsi="Arial" w:cs="Arial"/>
          <w:lang w:val="mk-MK"/>
        </w:rPr>
        <w:t>.</w:t>
      </w:r>
    </w:p>
    <w:p w:rsidR="00E52F4F" w:rsidRPr="002B2470" w:rsidRDefault="00410356" w:rsidP="004D7151">
      <w:pPr>
        <w:spacing w:before="120" w:after="0"/>
        <w:rPr>
          <w:rFonts w:ascii="Arial" w:hAnsi="Arial" w:cs="Arial"/>
          <w:lang w:val="mk-MK"/>
        </w:rPr>
      </w:pPr>
      <w:r w:rsidRPr="0038361F">
        <w:rPr>
          <w:rFonts w:ascii="Arial" w:hAnsi="Arial" w:cs="Arial"/>
          <w:lang w:val="mk-MK"/>
        </w:rPr>
        <w:br w:type="page"/>
      </w:r>
    </w:p>
    <w:p w:rsidR="00410356" w:rsidRPr="0038361F" w:rsidRDefault="0019564C" w:rsidP="00410356">
      <w:pPr>
        <w:spacing w:before="120" w:after="0" w:line="240" w:lineRule="auto"/>
        <w:jc w:val="both"/>
        <w:rPr>
          <w:rFonts w:ascii="Arial" w:hAnsi="Arial" w:cs="Arial"/>
          <w:sz w:val="24"/>
          <w:szCs w:val="24"/>
          <w:lang w:val="mk-MK"/>
        </w:rPr>
      </w:pPr>
      <w:r w:rsidRPr="0038361F">
        <w:rPr>
          <w:rFonts w:ascii="Arial" w:hAnsi="Arial" w:cs="Arial"/>
          <w:sz w:val="24"/>
          <w:szCs w:val="24"/>
          <w:lang w:val="mk-MK"/>
        </w:rPr>
        <w:lastRenderedPageBreak/>
        <w:t>Прилог</w:t>
      </w:r>
      <w:r w:rsidR="00410356" w:rsidRPr="0038361F">
        <w:rPr>
          <w:rFonts w:ascii="Arial" w:hAnsi="Arial" w:cs="Arial"/>
          <w:sz w:val="24"/>
          <w:szCs w:val="24"/>
          <w:lang w:val="mk-MK"/>
        </w:rPr>
        <w:t xml:space="preserve"> 1:</w:t>
      </w:r>
    </w:p>
    <w:p w:rsidR="00410356" w:rsidRPr="0038361F" w:rsidRDefault="0019564C" w:rsidP="00410356">
      <w:pPr>
        <w:spacing w:before="120" w:after="0" w:line="240" w:lineRule="auto"/>
        <w:jc w:val="both"/>
        <w:rPr>
          <w:rFonts w:ascii="Arial" w:hAnsi="Arial" w:cs="Arial"/>
          <w:sz w:val="24"/>
          <w:szCs w:val="24"/>
          <w:lang w:val="mk-MK"/>
        </w:rPr>
      </w:pPr>
      <w:r w:rsidRPr="002B2470">
        <w:rPr>
          <w:rFonts w:ascii="Arial" w:hAnsi="Arial" w:cs="Arial"/>
          <w:sz w:val="24"/>
          <w:szCs w:val="24"/>
          <w:lang w:val="mk-MK"/>
        </w:rPr>
        <w:t xml:space="preserve">Индикативни табели за следење и евалуација на ИПАРД 2014-2020 </w:t>
      </w:r>
    </w:p>
    <w:p w:rsidR="00410356" w:rsidRPr="002B2470" w:rsidRDefault="0019564C" w:rsidP="00410356">
      <w:pPr>
        <w:spacing w:line="360" w:lineRule="auto"/>
        <w:rPr>
          <w:rFonts w:ascii="Arial" w:hAnsi="Arial" w:cs="Arial"/>
          <w:sz w:val="28"/>
          <w:szCs w:val="28"/>
          <w:lang w:val="mk-MK"/>
        </w:rPr>
      </w:pPr>
      <w:r w:rsidRPr="002B2470">
        <w:rPr>
          <w:rFonts w:ascii="Arial" w:hAnsi="Arial" w:cs="Arial"/>
          <w:sz w:val="24"/>
          <w:szCs w:val="24"/>
          <w:lang w:val="mk-MK"/>
        </w:rPr>
        <w:t>статус</w:t>
      </w:r>
      <w:r w:rsidR="00410356" w:rsidRPr="0038361F">
        <w:rPr>
          <w:rFonts w:ascii="Arial" w:hAnsi="Arial" w:cs="Arial"/>
          <w:sz w:val="24"/>
          <w:szCs w:val="24"/>
          <w:lang w:val="mk-MK"/>
        </w:rPr>
        <w:t>: 31.12.2018</w:t>
      </w:r>
    </w:p>
    <w:sectPr w:rsidR="00410356" w:rsidRPr="002B2470" w:rsidSect="00CA50E5">
      <w:headerReference w:type="even" r:id="rId20"/>
      <w:headerReference w:type="default" r:id="rId21"/>
      <w:footerReference w:type="default" r:id="rId22"/>
      <w:footerReference w:type="first" r:id="rId23"/>
      <w:pgSz w:w="11907" w:h="16839" w:code="9"/>
      <w:pgMar w:top="117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154" w:rsidRDefault="00964154" w:rsidP="00FB0186">
      <w:pPr>
        <w:spacing w:after="0" w:line="240" w:lineRule="auto"/>
      </w:pPr>
      <w:r>
        <w:separator/>
      </w:r>
    </w:p>
  </w:endnote>
  <w:endnote w:type="continuationSeparator" w:id="0">
    <w:p w:rsidR="00964154" w:rsidRDefault="00964154" w:rsidP="00FB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Regular">
    <w:altName w:val="MS Gothi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ItalicMT">
    <w:altName w:val="Matura MT Script Capitals"/>
    <w:charset w:val="CC"/>
    <w:family w:val="script"/>
    <w:pitch w:val="default"/>
  </w:font>
  <w:font w:name="StobiSans Regular">
    <w:altName w:val="Corbel"/>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3D3" w:rsidRDefault="006953D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64154" w:rsidRDefault="0096415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154" w:rsidRPr="00D55CAC" w:rsidRDefault="00964154" w:rsidP="0075536A">
    <w:pPr>
      <w:pStyle w:val="Footer"/>
      <w:tabs>
        <w:tab w:val="clear" w:pos="4680"/>
        <w:tab w:val="clear" w:pos="9360"/>
        <w:tab w:val="center" w:pos="0"/>
        <w:tab w:val="right" w:pos="9072"/>
      </w:tabs>
      <w:jc w:val="center"/>
      <w:rPr>
        <w:rFonts w:ascii="Arial" w:hAnsi="Arial" w:cs="Arial"/>
        <w:sz w:val="24"/>
        <w:szCs w:val="28"/>
      </w:rPr>
    </w:pPr>
    <w:r w:rsidRPr="00D55CAC">
      <w:rPr>
        <w:rFonts w:ascii="Arial" w:hAnsi="Arial" w:cs="Arial"/>
        <w:sz w:val="24"/>
        <w:szCs w:val="28"/>
        <w:lang w:val="mk-MK"/>
      </w:rPr>
      <w:t>Петти состанок на Комитетот за следење на ИПАРД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154" w:rsidRDefault="00964154" w:rsidP="00FB0186">
      <w:pPr>
        <w:spacing w:after="0" w:line="240" w:lineRule="auto"/>
      </w:pPr>
      <w:r>
        <w:separator/>
      </w:r>
    </w:p>
  </w:footnote>
  <w:footnote w:type="continuationSeparator" w:id="0">
    <w:p w:rsidR="00964154" w:rsidRDefault="00964154" w:rsidP="00FB0186">
      <w:pPr>
        <w:spacing w:after="0" w:line="240" w:lineRule="auto"/>
      </w:pPr>
      <w:r>
        <w:continuationSeparator/>
      </w:r>
    </w:p>
  </w:footnote>
  <w:footnote w:id="1">
    <w:p w:rsidR="00964154" w:rsidRPr="00920AB4" w:rsidRDefault="00964154" w:rsidP="00A31A65">
      <w:pPr>
        <w:pStyle w:val="FootnoteText"/>
        <w:rPr>
          <w:rFonts w:ascii="StobiSerif Regular" w:hAnsi="StobiSerif Regular"/>
          <w:sz w:val="16"/>
          <w:szCs w:val="16"/>
        </w:rPr>
      </w:pPr>
      <w:r>
        <w:rPr>
          <w:rStyle w:val="FootnoteReference"/>
        </w:rPr>
        <w:footnoteRef/>
      </w:r>
      <w:r>
        <w:rPr>
          <w:rFonts w:ascii="StobiSerif Regular" w:hAnsi="StobiSerif Regular"/>
          <w:sz w:val="16"/>
          <w:szCs w:val="16"/>
          <w:lang w:val="mk-MK"/>
        </w:rPr>
        <w:t>Достапните податоци за земјоделското производство и стопанство беа за 2015 година (освен за трговија)</w:t>
      </w:r>
    </w:p>
  </w:footnote>
  <w:footnote w:id="2">
    <w:p w:rsidR="00964154" w:rsidRDefault="00964154" w:rsidP="00410356">
      <w:pPr>
        <w:pStyle w:val="FootnoteText"/>
      </w:pPr>
      <w:r>
        <w:rPr>
          <w:rStyle w:val="FootnoteReference"/>
        </w:rPr>
        <w:footnoteRef/>
      </w:r>
      <w:r>
        <w:rPr>
          <w:rFonts w:ascii="StobiSerif Regular" w:hAnsi="StobiSerif Regular"/>
          <w:sz w:val="16"/>
          <w:szCs w:val="16"/>
          <w:lang w:val="mk-MK"/>
        </w:rPr>
        <w:t xml:space="preserve">Јавен повик за доставување на барања само за мерка </w:t>
      </w:r>
      <w:r w:rsidRPr="00D1612F">
        <w:rPr>
          <w:rFonts w:ascii="StobiSerif Regular" w:hAnsi="StobiSerif Regular"/>
          <w:sz w:val="16"/>
          <w:szCs w:val="16"/>
        </w:rPr>
        <w:t>3</w:t>
      </w:r>
    </w:p>
  </w:footnote>
  <w:footnote w:id="3">
    <w:p w:rsidR="00964154" w:rsidRDefault="00964154" w:rsidP="00410356">
      <w:pPr>
        <w:pStyle w:val="FootnoteText"/>
      </w:pPr>
      <w:r>
        <w:rPr>
          <w:rStyle w:val="FootnoteReference"/>
        </w:rPr>
        <w:footnoteRef/>
      </w:r>
      <w:r>
        <w:rPr>
          <w:rFonts w:ascii="StobiSerif Regular" w:hAnsi="StobiSerif Regular"/>
          <w:sz w:val="16"/>
          <w:szCs w:val="16"/>
          <w:lang w:val="mk-MK"/>
        </w:rPr>
        <w:t>Јавен повик за доставување на барања само за мерка</w:t>
      </w:r>
      <w:r w:rsidRPr="00D1612F">
        <w:rPr>
          <w:rFonts w:ascii="StobiSerif Regular" w:hAnsi="StobiSerif Regular"/>
          <w:sz w:val="16"/>
          <w:szCs w:val="16"/>
        </w:rPr>
        <w:t xml:space="preserve"> 1</w:t>
      </w:r>
    </w:p>
  </w:footnote>
  <w:footnote w:id="4">
    <w:p w:rsidR="00964154" w:rsidRDefault="00964154" w:rsidP="00410356">
      <w:pPr>
        <w:pStyle w:val="FootnoteText"/>
      </w:pPr>
      <w:r>
        <w:rPr>
          <w:rStyle w:val="FootnoteReference"/>
        </w:rPr>
        <w:footnoteRef/>
      </w:r>
      <w:r>
        <w:rPr>
          <w:rFonts w:ascii="StobiSerif Regular" w:hAnsi="StobiSerif Regular"/>
          <w:sz w:val="16"/>
          <w:szCs w:val="16"/>
          <w:lang w:val="mk-MK"/>
        </w:rPr>
        <w:t>Вредноста на инвестициите е презентирана како вкупно прифатливи трошоци</w:t>
      </w:r>
    </w:p>
  </w:footnote>
  <w:footnote w:id="5">
    <w:p w:rsidR="00964154" w:rsidRPr="00E0513F" w:rsidRDefault="00964154" w:rsidP="00410356">
      <w:pPr>
        <w:pStyle w:val="FootnoteText"/>
        <w:rPr>
          <w:rFonts w:ascii="StobiSerif Regular" w:hAnsi="StobiSerif Regular"/>
        </w:rPr>
      </w:pPr>
      <w:r>
        <w:rPr>
          <w:rStyle w:val="FootnoteReference"/>
        </w:rPr>
        <w:footnoteRef/>
      </w:r>
      <w:r w:rsidRPr="00063F37">
        <w:rPr>
          <w:rFonts w:ascii="StobiSerif Regular" w:hAnsi="StobiSerif Regular"/>
          <w:sz w:val="16"/>
          <w:szCs w:val="16"/>
        </w:rPr>
        <w:t>Вредноста на инвестициите е презентирана како вкупно прифатливи трошоци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154" w:rsidRDefault="00C8048F">
    <w:pPr>
      <w:pStyle w:val="Header"/>
    </w:pPr>
    <w:r>
      <w:rPr>
        <w:noProof/>
      </w:rPr>
      <w:pict w14:anchorId="6993A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015516" o:spid="_x0000_s2051" type="#_x0000_t75" style="position:absolute;margin-left:0;margin-top:0;width:467.8pt;height:467.8pt;z-index:-251658240;mso-position-horizontal:center;mso-position-horizontal-relative:margin;mso-position-vertical:center;mso-position-vertical-relative:margin" o:allowincell="f">
          <v:imagedata r:id="rId1" o:title="IPARD logo kalin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tobiSans Regular" w:hAnsi="StobiSans Regular"/>
        <w:sz w:val="20"/>
        <w:szCs w:val="20"/>
      </w:rPr>
      <w:id w:val="639386976"/>
      <w:docPartObj>
        <w:docPartGallery w:val="Page Numbers (Top of Page)"/>
        <w:docPartUnique/>
      </w:docPartObj>
    </w:sdtPr>
    <w:sdtEndPr>
      <w:rPr>
        <w:rFonts w:asciiTheme="minorHAnsi" w:hAnsiTheme="minorHAnsi"/>
        <w:noProof/>
      </w:rPr>
    </w:sdtEndPr>
    <w:sdtContent>
      <w:p w:rsidR="00964154" w:rsidRPr="00B44400" w:rsidRDefault="00964154" w:rsidP="00B44400">
        <w:pPr>
          <w:spacing w:before="120" w:after="0" w:line="240" w:lineRule="auto"/>
          <w:jc w:val="center"/>
          <w:rPr>
            <w:rFonts w:ascii="Arial" w:hAnsi="Arial" w:cs="Arial"/>
            <w:i/>
            <w:sz w:val="20"/>
            <w:szCs w:val="20"/>
          </w:rPr>
        </w:pPr>
        <w:r w:rsidRPr="00B44400">
          <w:rPr>
            <w:rFonts w:ascii="Arial" w:hAnsi="Arial" w:cs="Arial"/>
            <w:i/>
            <w:noProof/>
            <w:sz w:val="20"/>
            <w:szCs w:val="20"/>
          </w:rPr>
          <w:drawing>
            <wp:anchor distT="0" distB="0" distL="114300" distR="114300" simplePos="0" relativeHeight="251657216" behindDoc="1" locked="0" layoutInCell="1" allowOverlap="1">
              <wp:simplePos x="0" y="0"/>
              <wp:positionH relativeFrom="page">
                <wp:posOffset>228600</wp:posOffset>
              </wp:positionH>
              <wp:positionV relativeFrom="topMargin">
                <wp:posOffset>202565</wp:posOffset>
              </wp:positionV>
              <wp:extent cx="628650" cy="628650"/>
              <wp:effectExtent l="0" t="0" r="0" b="0"/>
              <wp:wrapThrough wrapText="bothSides">
                <wp:wrapPolygon edited="0">
                  <wp:start x="5236" y="0"/>
                  <wp:lineTo x="0" y="4582"/>
                  <wp:lineTo x="0" y="17018"/>
                  <wp:lineTo x="5891" y="20945"/>
                  <wp:lineTo x="15055" y="20945"/>
                  <wp:lineTo x="20945" y="17018"/>
                  <wp:lineTo x="20945" y="3927"/>
                  <wp:lineTo x="15055" y="0"/>
                  <wp:lineTo x="5236" y="0"/>
                </wp:wrapPolygon>
              </wp:wrapThrough>
              <wp:docPr id="1" name="Picture 1"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erver.mzsv.gov.mk\folderredirect$\aleksandra.dika\Desktop\5_Комитет за следење\IPARD logo kalin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Pr>
            <w:rFonts w:ascii="StobiSans Regular" w:hAnsi="StobiSans Regular"/>
            <w:sz w:val="20"/>
            <w:szCs w:val="20"/>
            <w:lang w:val="mk-MK"/>
          </w:rPr>
          <w:t xml:space="preserve"> </w:t>
        </w:r>
        <w:proofErr w:type="spellStart"/>
        <w:r>
          <w:rPr>
            <w:rFonts w:ascii="Arial" w:hAnsi="Arial" w:cs="Arial"/>
            <w:i/>
            <w:sz w:val="20"/>
            <w:szCs w:val="20"/>
          </w:rPr>
          <w:t>Г</w:t>
        </w:r>
        <w:r w:rsidRPr="00B44400">
          <w:rPr>
            <w:rFonts w:ascii="Arial" w:hAnsi="Arial" w:cs="Arial"/>
            <w:i/>
            <w:sz w:val="20"/>
            <w:szCs w:val="20"/>
          </w:rPr>
          <w:t>одишен</w:t>
        </w:r>
        <w:proofErr w:type="spellEnd"/>
        <w:r w:rsidRPr="00B44400">
          <w:rPr>
            <w:rFonts w:ascii="Arial" w:hAnsi="Arial" w:cs="Arial"/>
            <w:i/>
            <w:sz w:val="20"/>
            <w:szCs w:val="20"/>
          </w:rPr>
          <w:t xml:space="preserve"> </w:t>
        </w:r>
        <w:proofErr w:type="spellStart"/>
        <w:r w:rsidRPr="00B44400">
          <w:rPr>
            <w:rFonts w:ascii="Arial" w:hAnsi="Arial" w:cs="Arial"/>
            <w:i/>
            <w:sz w:val="20"/>
            <w:szCs w:val="20"/>
          </w:rPr>
          <w:t>из</w:t>
        </w:r>
        <w:r>
          <w:rPr>
            <w:rFonts w:ascii="Arial" w:hAnsi="Arial" w:cs="Arial"/>
            <w:i/>
            <w:sz w:val="20"/>
            <w:szCs w:val="20"/>
          </w:rPr>
          <w:t>вештај</w:t>
        </w:r>
        <w:proofErr w:type="spellEnd"/>
        <w:r>
          <w:rPr>
            <w:rFonts w:ascii="Arial" w:hAnsi="Arial" w:cs="Arial"/>
            <w:i/>
            <w:sz w:val="20"/>
            <w:szCs w:val="20"/>
          </w:rPr>
          <w:t xml:space="preserve"> </w:t>
        </w:r>
        <w:proofErr w:type="spellStart"/>
        <w:r>
          <w:rPr>
            <w:rFonts w:ascii="Arial" w:hAnsi="Arial" w:cs="Arial"/>
            <w:i/>
            <w:sz w:val="20"/>
            <w:szCs w:val="20"/>
          </w:rPr>
          <w:t>за</w:t>
        </w:r>
        <w:proofErr w:type="spellEnd"/>
        <w:r>
          <w:rPr>
            <w:rFonts w:ascii="Arial" w:hAnsi="Arial" w:cs="Arial"/>
            <w:i/>
            <w:sz w:val="20"/>
            <w:szCs w:val="20"/>
          </w:rPr>
          <w:t xml:space="preserve"> </w:t>
        </w:r>
        <w:proofErr w:type="spellStart"/>
        <w:r>
          <w:rPr>
            <w:rFonts w:ascii="Arial" w:hAnsi="Arial" w:cs="Arial"/>
            <w:i/>
            <w:sz w:val="20"/>
            <w:szCs w:val="20"/>
          </w:rPr>
          <w:t>спроведување</w:t>
        </w:r>
        <w:proofErr w:type="spellEnd"/>
        <w:r>
          <w:rPr>
            <w:rFonts w:ascii="Arial" w:hAnsi="Arial" w:cs="Arial"/>
            <w:i/>
            <w:sz w:val="20"/>
            <w:szCs w:val="20"/>
          </w:rPr>
          <w:t xml:space="preserve"> </w:t>
        </w:r>
        <w:proofErr w:type="spellStart"/>
        <w:r>
          <w:rPr>
            <w:rFonts w:ascii="Arial" w:hAnsi="Arial" w:cs="Arial"/>
            <w:i/>
            <w:sz w:val="20"/>
            <w:szCs w:val="20"/>
          </w:rPr>
          <w:t>на</w:t>
        </w:r>
        <w:proofErr w:type="spellEnd"/>
        <w:r>
          <w:rPr>
            <w:rFonts w:ascii="Arial" w:hAnsi="Arial" w:cs="Arial"/>
            <w:i/>
            <w:sz w:val="20"/>
            <w:szCs w:val="20"/>
          </w:rPr>
          <w:t xml:space="preserve"> ИПАРД </w:t>
        </w:r>
        <w:proofErr w:type="spellStart"/>
        <w:r>
          <w:rPr>
            <w:rFonts w:ascii="Arial" w:hAnsi="Arial" w:cs="Arial"/>
            <w:i/>
            <w:sz w:val="20"/>
            <w:szCs w:val="20"/>
          </w:rPr>
          <w:t>П</w:t>
        </w:r>
        <w:r w:rsidRPr="00B44400">
          <w:rPr>
            <w:rFonts w:ascii="Arial" w:hAnsi="Arial" w:cs="Arial"/>
            <w:i/>
            <w:sz w:val="20"/>
            <w:szCs w:val="20"/>
          </w:rPr>
          <w:t>рограмата</w:t>
        </w:r>
        <w:proofErr w:type="spellEnd"/>
        <w:r w:rsidRPr="00B44400">
          <w:rPr>
            <w:rFonts w:ascii="Arial" w:hAnsi="Arial" w:cs="Arial"/>
            <w:i/>
            <w:sz w:val="20"/>
            <w:szCs w:val="20"/>
          </w:rPr>
          <w:t xml:space="preserve"> 2014-2020 </w:t>
        </w:r>
        <w:proofErr w:type="spellStart"/>
        <w:r w:rsidRPr="00B44400">
          <w:rPr>
            <w:rFonts w:ascii="Arial" w:hAnsi="Arial" w:cs="Arial"/>
            <w:i/>
            <w:sz w:val="20"/>
            <w:szCs w:val="20"/>
          </w:rPr>
          <w:t>за</w:t>
        </w:r>
        <w:proofErr w:type="spellEnd"/>
        <w:r w:rsidRPr="00B44400">
          <w:rPr>
            <w:rFonts w:ascii="Arial" w:hAnsi="Arial" w:cs="Arial"/>
            <w:i/>
            <w:sz w:val="20"/>
            <w:szCs w:val="20"/>
          </w:rPr>
          <w:t xml:space="preserve"> 2018 </w:t>
        </w:r>
        <w:proofErr w:type="spellStart"/>
        <w:r w:rsidRPr="00B44400">
          <w:rPr>
            <w:rFonts w:ascii="Arial" w:hAnsi="Arial" w:cs="Arial"/>
            <w:i/>
            <w:sz w:val="20"/>
            <w:szCs w:val="20"/>
          </w:rPr>
          <w:t>година</w:t>
        </w:r>
        <w:proofErr w:type="spellEnd"/>
        <w:r w:rsidRPr="00B44400">
          <w:rPr>
            <w:rFonts w:ascii="Arial" w:hAnsi="Arial" w:cs="Arial"/>
            <w:i/>
            <w:sz w:val="20"/>
            <w:szCs w:val="20"/>
          </w:rPr>
          <w:t xml:space="preserve"> </w:t>
        </w:r>
      </w:p>
      <w:p w:rsidR="00964154" w:rsidRPr="0075536A" w:rsidRDefault="00964154" w:rsidP="003844E1">
        <w:pPr>
          <w:pStyle w:val="Header"/>
          <w:tabs>
            <w:tab w:val="left" w:pos="795"/>
            <w:tab w:val="right" w:pos="9026"/>
          </w:tabs>
          <w:rPr>
            <w:rFonts w:ascii="StobiSans Regular" w:hAnsi="StobiSans Regular"/>
            <w:sz w:val="20"/>
            <w:szCs w:val="20"/>
            <w:lang w:val="mk-MK"/>
          </w:rPr>
        </w:pPr>
        <w:r>
          <w:rPr>
            <w:rFonts w:ascii="StobiSans Regular" w:hAnsi="StobiSans Regular"/>
            <w:sz w:val="20"/>
            <w:szCs w:val="20"/>
          </w:rPr>
          <w:tab/>
        </w:r>
      </w:p>
    </w:sdtContent>
  </w:sdt>
  <w:p w:rsidR="00964154" w:rsidRPr="00567162" w:rsidRDefault="00964154" w:rsidP="00C11CAD">
    <w:pPr>
      <w:pStyle w:val="Header"/>
      <w:jc w:val="center"/>
      <w:rPr>
        <w:rFonts w:ascii="StobiSerif Regular" w:hAnsi="StobiSerif Regular"/>
        <w:sz w:val="16"/>
        <w:szCs w:val="16"/>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AD158D"/>
    <w:multiLevelType w:val="multilevel"/>
    <w:tmpl w:val="02D285C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8E2294"/>
    <w:multiLevelType w:val="hybridMultilevel"/>
    <w:tmpl w:val="76B4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A2CD0"/>
    <w:multiLevelType w:val="multilevel"/>
    <w:tmpl w:val="DDCA3856"/>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8A14FD"/>
    <w:multiLevelType w:val="hybridMultilevel"/>
    <w:tmpl w:val="3F38C586"/>
    <w:lvl w:ilvl="0" w:tplc="608A1DD8">
      <w:numFmt w:val="bullet"/>
      <w:lvlText w:val="-"/>
      <w:lvlJc w:val="left"/>
      <w:pPr>
        <w:ind w:left="720" w:hanging="360"/>
      </w:pPr>
      <w:rPr>
        <w:rFonts w:ascii="StobiSerifRegular" w:eastAsia="Times New Roman" w:hAnsi="StobiSerifRegular" w:cs="StobiSerif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01DCA"/>
    <w:multiLevelType w:val="hybridMultilevel"/>
    <w:tmpl w:val="9048BDFE"/>
    <w:lvl w:ilvl="0" w:tplc="4D9A8914">
      <w:start w:val="1"/>
      <w:numFmt w:val="decimal"/>
      <w:lvlText w:val="%1."/>
      <w:lvlJc w:val="left"/>
      <w:pPr>
        <w:ind w:left="720" w:hanging="360"/>
      </w:pPr>
      <w:rPr>
        <w:b/>
        <w: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0E922527"/>
    <w:multiLevelType w:val="hybridMultilevel"/>
    <w:tmpl w:val="7114AFC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100253B2"/>
    <w:multiLevelType w:val="hybridMultilevel"/>
    <w:tmpl w:val="5136F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13192"/>
    <w:multiLevelType w:val="multilevel"/>
    <w:tmpl w:val="14427BAA"/>
    <w:lvl w:ilvl="0">
      <w:start w:val="1"/>
      <w:numFmt w:val="decimal"/>
      <w:lvlText w:val="%1."/>
      <w:lvlJc w:val="left"/>
      <w:pPr>
        <w:tabs>
          <w:tab w:val="num" w:pos="720"/>
        </w:tabs>
        <w:ind w:left="720" w:hanging="360"/>
      </w:pPr>
      <w:rPr>
        <w:rFonts w:hint="default"/>
        <w:b/>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4362B3"/>
    <w:multiLevelType w:val="hybridMultilevel"/>
    <w:tmpl w:val="590A32BA"/>
    <w:lvl w:ilvl="0" w:tplc="02A61B7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44F34"/>
    <w:multiLevelType w:val="hybridMultilevel"/>
    <w:tmpl w:val="ACB66E78"/>
    <w:lvl w:ilvl="0" w:tplc="635426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33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D40D22"/>
    <w:multiLevelType w:val="hybridMultilevel"/>
    <w:tmpl w:val="1BD89F0E"/>
    <w:lvl w:ilvl="0" w:tplc="608A1DD8">
      <w:numFmt w:val="bullet"/>
      <w:lvlText w:val="-"/>
      <w:lvlJc w:val="left"/>
      <w:pPr>
        <w:ind w:left="720" w:hanging="360"/>
      </w:pPr>
      <w:rPr>
        <w:rFonts w:ascii="StobiSerifRegular" w:eastAsia="Times New Roman" w:hAnsi="StobiSerifRegular" w:cs="StobiSerif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23300E1D"/>
    <w:multiLevelType w:val="hybridMultilevel"/>
    <w:tmpl w:val="60D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22089"/>
    <w:multiLevelType w:val="hybridMultilevel"/>
    <w:tmpl w:val="F0DE1404"/>
    <w:lvl w:ilvl="0" w:tplc="D1042092">
      <w:start w:val="2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24BA3"/>
    <w:multiLevelType w:val="hybridMultilevel"/>
    <w:tmpl w:val="C27A7638"/>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7391D"/>
    <w:multiLevelType w:val="hybridMultilevel"/>
    <w:tmpl w:val="CA0E1E3C"/>
    <w:lvl w:ilvl="0" w:tplc="C704683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7E2"/>
    <w:multiLevelType w:val="hybridMultilevel"/>
    <w:tmpl w:val="8E50F4AC"/>
    <w:lvl w:ilvl="0" w:tplc="D0B4FFB6">
      <w:numFmt w:val="bullet"/>
      <w:lvlText w:val="-"/>
      <w:lvlJc w:val="left"/>
      <w:pPr>
        <w:ind w:left="72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D0B4FFB6">
      <w:numFmt w:val="bullet"/>
      <w:lvlText w:val="-"/>
      <w:lvlJc w:val="left"/>
      <w:pPr>
        <w:ind w:left="2880" w:hanging="360"/>
      </w:pPr>
      <w:rPr>
        <w:rFonts w:ascii="Arial" w:eastAsia="Times New Roman" w:hAnsi="Arial" w:cs="Arial" w:hint="default"/>
        <w:b w:val="0"/>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3F62489D"/>
    <w:multiLevelType w:val="hybridMultilevel"/>
    <w:tmpl w:val="68D4F746"/>
    <w:lvl w:ilvl="0" w:tplc="106C838E">
      <w:start w:val="1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42167618"/>
    <w:multiLevelType w:val="multilevel"/>
    <w:tmpl w:val="A2703780"/>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3264DE9"/>
    <w:multiLevelType w:val="hybridMultilevel"/>
    <w:tmpl w:val="342A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16BD7"/>
    <w:multiLevelType w:val="hybridMultilevel"/>
    <w:tmpl w:val="C3DEC00C"/>
    <w:lvl w:ilvl="0" w:tplc="608A1DD8">
      <w:numFmt w:val="bullet"/>
      <w:lvlText w:val="-"/>
      <w:lvlJc w:val="left"/>
      <w:pPr>
        <w:ind w:left="720" w:hanging="360"/>
      </w:pPr>
      <w:rPr>
        <w:rFonts w:ascii="StobiSerifRegular" w:eastAsia="Times New Roman" w:hAnsi="StobiSerifRegular" w:cs="StobiSerif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533B56FB"/>
    <w:multiLevelType w:val="hybridMultilevel"/>
    <w:tmpl w:val="32289466"/>
    <w:lvl w:ilvl="0" w:tplc="D0B4FFB6">
      <w:numFmt w:val="bullet"/>
      <w:lvlText w:val="-"/>
      <w:lvlJc w:val="left"/>
      <w:pPr>
        <w:ind w:left="72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56DA40D5"/>
    <w:multiLevelType w:val="hybridMultilevel"/>
    <w:tmpl w:val="D3F4DD10"/>
    <w:lvl w:ilvl="0" w:tplc="608A1DD8">
      <w:numFmt w:val="bullet"/>
      <w:lvlText w:val="-"/>
      <w:lvlJc w:val="left"/>
      <w:pPr>
        <w:ind w:left="720" w:hanging="360"/>
      </w:pPr>
      <w:rPr>
        <w:rFonts w:ascii="StobiSerifRegular" w:eastAsia="Times New Roman" w:hAnsi="StobiSerifRegular" w:cs="StobiSerifRegular"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4" w15:restartNumberingAfterBreak="0">
    <w:nsid w:val="5D426F5D"/>
    <w:multiLevelType w:val="multilevel"/>
    <w:tmpl w:val="2A8A6722"/>
    <w:lvl w:ilvl="0">
      <w:start w:val="3"/>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25" w15:restartNumberingAfterBreak="0">
    <w:nsid w:val="612B0A01"/>
    <w:multiLevelType w:val="multilevel"/>
    <w:tmpl w:val="B76AFD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2466A6C"/>
    <w:multiLevelType w:val="hybridMultilevel"/>
    <w:tmpl w:val="0E841C2A"/>
    <w:lvl w:ilvl="0" w:tplc="9B467BF4">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62F22342"/>
    <w:multiLevelType w:val="hybridMultilevel"/>
    <w:tmpl w:val="CD526802"/>
    <w:lvl w:ilvl="0" w:tplc="D0B4FFB6">
      <w:numFmt w:val="bullet"/>
      <w:lvlText w:val="-"/>
      <w:lvlJc w:val="left"/>
      <w:pPr>
        <w:ind w:left="72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634C1803"/>
    <w:multiLevelType w:val="hybridMultilevel"/>
    <w:tmpl w:val="BA967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04963"/>
    <w:multiLevelType w:val="hybridMultilevel"/>
    <w:tmpl w:val="234C5FF2"/>
    <w:lvl w:ilvl="0" w:tplc="D0B4FFB6">
      <w:numFmt w:val="bullet"/>
      <w:lvlText w:val="-"/>
      <w:lvlJc w:val="left"/>
      <w:pPr>
        <w:ind w:left="720" w:hanging="360"/>
      </w:pPr>
      <w:rPr>
        <w:rFonts w:ascii="Arial" w:eastAsia="Times New Roman" w:hAnsi="Arial" w:cs="Arial" w:hint="default"/>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15:restartNumberingAfterBreak="0">
    <w:nsid w:val="664E04EE"/>
    <w:multiLevelType w:val="multilevel"/>
    <w:tmpl w:val="5DBEAA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77C465E"/>
    <w:multiLevelType w:val="hybridMultilevel"/>
    <w:tmpl w:val="7F8E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D56E8"/>
    <w:multiLevelType w:val="hybridMultilevel"/>
    <w:tmpl w:val="760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44041"/>
    <w:multiLevelType w:val="hybridMultilevel"/>
    <w:tmpl w:val="8A76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32831"/>
    <w:multiLevelType w:val="hybridMultilevel"/>
    <w:tmpl w:val="1AE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904B42"/>
    <w:multiLevelType w:val="hybridMultilevel"/>
    <w:tmpl w:val="A98E307E"/>
    <w:lvl w:ilvl="0" w:tplc="CC4AD94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6416C"/>
    <w:multiLevelType w:val="hybridMultilevel"/>
    <w:tmpl w:val="F822BC56"/>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030B3"/>
    <w:multiLevelType w:val="hybridMultilevel"/>
    <w:tmpl w:val="24645DE2"/>
    <w:lvl w:ilvl="0" w:tplc="608A1DD8">
      <w:numFmt w:val="bullet"/>
      <w:lvlText w:val="-"/>
      <w:lvlJc w:val="left"/>
      <w:pPr>
        <w:ind w:left="720" w:hanging="360"/>
      </w:pPr>
      <w:rPr>
        <w:rFonts w:ascii="StobiSerifRegular" w:eastAsia="Times New Roman" w:hAnsi="StobiSerifRegular" w:cs="StobiSerifRegular"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8" w15:restartNumberingAfterBreak="0">
    <w:nsid w:val="785106D1"/>
    <w:multiLevelType w:val="hybridMultilevel"/>
    <w:tmpl w:val="E77AC09E"/>
    <w:lvl w:ilvl="0" w:tplc="9B467B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9B467BF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47748"/>
    <w:multiLevelType w:val="hybridMultilevel"/>
    <w:tmpl w:val="E2ACA62A"/>
    <w:lvl w:ilvl="0" w:tplc="9926F67E">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ACA3530">
      <w:numFmt w:val="bullet"/>
      <w:lvlText w:val="-"/>
      <w:lvlJc w:val="left"/>
      <w:pPr>
        <w:ind w:left="2340" w:hanging="360"/>
      </w:pPr>
      <w:rPr>
        <w:rFonts w:ascii="Arial" w:eastAsia="Calibr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867E1"/>
    <w:multiLevelType w:val="hybridMultilevel"/>
    <w:tmpl w:val="49CEFB72"/>
    <w:lvl w:ilvl="0" w:tplc="3640B160">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67753"/>
    <w:multiLevelType w:val="hybridMultilevel"/>
    <w:tmpl w:val="BCFCC9E4"/>
    <w:lvl w:ilvl="0" w:tplc="E242789A">
      <w:start w:val="1"/>
      <w:numFmt w:val="decimal"/>
      <w:lvlText w:val="%1."/>
      <w:lvlJc w:val="left"/>
      <w:pPr>
        <w:ind w:left="720" w:hanging="360"/>
      </w:pPr>
      <w:rPr>
        <w:b w:val="0"/>
        <w:i w:val="0"/>
        <w:strike w:val="0"/>
        <w:dstrike w:val="0"/>
        <w:u w:val="none" w:color="000000"/>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AD516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41FC0"/>
    <w:multiLevelType w:val="hybridMultilevel"/>
    <w:tmpl w:val="8E7474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4" w15:restartNumberingAfterBreak="0">
    <w:nsid w:val="7BFE0211"/>
    <w:multiLevelType w:val="hybridMultilevel"/>
    <w:tmpl w:val="E0F4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40"/>
  </w:num>
  <w:num w:numId="4">
    <w:abstractNumId w:val="16"/>
  </w:num>
  <w:num w:numId="5">
    <w:abstractNumId w:val="10"/>
  </w:num>
  <w:num w:numId="6">
    <w:abstractNumId w:val="30"/>
  </w:num>
  <w:num w:numId="7">
    <w:abstractNumId w:val="30"/>
  </w:num>
  <w:num w:numId="8">
    <w:abstractNumId w:val="30"/>
  </w:num>
  <w:num w:numId="9">
    <w:abstractNumId w:val="30"/>
  </w:num>
  <w:num w:numId="10">
    <w:abstractNumId w:val="30"/>
  </w:num>
  <w:num w:numId="11">
    <w:abstractNumId w:val="30"/>
  </w:num>
  <w:num w:numId="12">
    <w:abstractNumId w:val="39"/>
  </w:num>
  <w:num w:numId="13">
    <w:abstractNumId w:val="7"/>
  </w:num>
  <w:num w:numId="14">
    <w:abstractNumId w:val="19"/>
  </w:num>
  <w:num w:numId="15">
    <w:abstractNumId w:val="11"/>
  </w:num>
  <w:num w:numId="16">
    <w:abstractNumId w:val="36"/>
  </w:num>
  <w:num w:numId="17">
    <w:abstractNumId w:val="15"/>
  </w:num>
  <w:num w:numId="18">
    <w:abstractNumId w:val="9"/>
  </w:num>
  <w:num w:numId="19">
    <w:abstractNumId w:val="28"/>
  </w:num>
  <w:num w:numId="20">
    <w:abstractNumId w:val="42"/>
  </w:num>
  <w:num w:numId="21">
    <w:abstractNumId w:val="25"/>
  </w:num>
  <w:num w:numId="22">
    <w:abstractNumId w:val="20"/>
  </w:num>
  <w:num w:numId="23">
    <w:abstractNumId w:val="2"/>
  </w:num>
  <w:num w:numId="24">
    <w:abstractNumId w:val="34"/>
  </w:num>
  <w:num w:numId="25">
    <w:abstractNumId w:val="32"/>
  </w:num>
  <w:num w:numId="26">
    <w:abstractNumId w:val="18"/>
  </w:num>
  <w:num w:numId="27">
    <w:abstractNumId w:val="44"/>
  </w:num>
  <w:num w:numId="28">
    <w:abstractNumId w:val="13"/>
  </w:num>
  <w:num w:numId="29">
    <w:abstractNumId w:val="33"/>
  </w:num>
  <w:num w:numId="30">
    <w:abstractNumId w:val="31"/>
  </w:num>
  <w:num w:numId="31">
    <w:abstractNumId w:val="8"/>
  </w:num>
  <w:num w:numId="32">
    <w:abstractNumId w:val="4"/>
  </w:num>
  <w:num w:numId="33">
    <w:abstractNumId w:val="0"/>
  </w:num>
  <w:num w:numId="34">
    <w:abstractNumId w:val="3"/>
  </w:num>
  <w:num w:numId="35">
    <w:abstractNumId w:val="1"/>
  </w:num>
  <w:num w:numId="36">
    <w:abstractNumId w:val="24"/>
  </w:num>
  <w:num w:numId="37">
    <w:abstractNumId w:val="43"/>
  </w:num>
  <w:num w:numId="38">
    <w:abstractNumId w:val="12"/>
  </w:num>
  <w:num w:numId="39">
    <w:abstractNumId w:val="37"/>
  </w:num>
  <w:num w:numId="40">
    <w:abstractNumId w:val="5"/>
  </w:num>
  <w:num w:numId="41">
    <w:abstractNumId w:val="17"/>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6"/>
  </w:num>
  <w:num w:numId="45">
    <w:abstractNumId w:val="23"/>
  </w:num>
  <w:num w:numId="46">
    <w:abstractNumId w:val="26"/>
  </w:num>
  <w:num w:numId="47">
    <w:abstractNumId w:val="27"/>
  </w:num>
  <w:num w:numId="48">
    <w:abstractNumId w:val="22"/>
  </w:num>
  <w:num w:numId="49">
    <w:abstractNumId w:val="2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2C1"/>
    <w:rsid w:val="00012230"/>
    <w:rsid w:val="000272CC"/>
    <w:rsid w:val="000305EB"/>
    <w:rsid w:val="0003420F"/>
    <w:rsid w:val="000516D4"/>
    <w:rsid w:val="00053E84"/>
    <w:rsid w:val="00057F38"/>
    <w:rsid w:val="000724D6"/>
    <w:rsid w:val="00081A2E"/>
    <w:rsid w:val="00082052"/>
    <w:rsid w:val="00084171"/>
    <w:rsid w:val="00086036"/>
    <w:rsid w:val="000A6408"/>
    <w:rsid w:val="000B63DD"/>
    <w:rsid w:val="000C245A"/>
    <w:rsid w:val="000D64F7"/>
    <w:rsid w:val="000E151E"/>
    <w:rsid w:val="000E2117"/>
    <w:rsid w:val="000F66B9"/>
    <w:rsid w:val="00127934"/>
    <w:rsid w:val="00127A1E"/>
    <w:rsid w:val="001354B0"/>
    <w:rsid w:val="00140638"/>
    <w:rsid w:val="00143BB7"/>
    <w:rsid w:val="00147363"/>
    <w:rsid w:val="00151F85"/>
    <w:rsid w:val="001550D4"/>
    <w:rsid w:val="00161AC4"/>
    <w:rsid w:val="00167581"/>
    <w:rsid w:val="001703A0"/>
    <w:rsid w:val="00170BCA"/>
    <w:rsid w:val="0019387B"/>
    <w:rsid w:val="0019564C"/>
    <w:rsid w:val="001A4B25"/>
    <w:rsid w:val="001B1DF6"/>
    <w:rsid w:val="001B3542"/>
    <w:rsid w:val="001C2124"/>
    <w:rsid w:val="001C65F7"/>
    <w:rsid w:val="001D26AF"/>
    <w:rsid w:val="001D4C7A"/>
    <w:rsid w:val="001E62E1"/>
    <w:rsid w:val="001E6990"/>
    <w:rsid w:val="001F278C"/>
    <w:rsid w:val="00204619"/>
    <w:rsid w:val="00205E8D"/>
    <w:rsid w:val="002061F9"/>
    <w:rsid w:val="00206243"/>
    <w:rsid w:val="002074AA"/>
    <w:rsid w:val="002167B4"/>
    <w:rsid w:val="00226AAE"/>
    <w:rsid w:val="002537B0"/>
    <w:rsid w:val="0028010A"/>
    <w:rsid w:val="00280151"/>
    <w:rsid w:val="002A2185"/>
    <w:rsid w:val="002A27A2"/>
    <w:rsid w:val="002A375F"/>
    <w:rsid w:val="002B2470"/>
    <w:rsid w:val="002B392E"/>
    <w:rsid w:val="002B40B1"/>
    <w:rsid w:val="002B4FE8"/>
    <w:rsid w:val="002C1D8B"/>
    <w:rsid w:val="002D237A"/>
    <w:rsid w:val="002D5658"/>
    <w:rsid w:val="002E044F"/>
    <w:rsid w:val="002E45BA"/>
    <w:rsid w:val="00301514"/>
    <w:rsid w:val="00304271"/>
    <w:rsid w:val="00312107"/>
    <w:rsid w:val="003248DA"/>
    <w:rsid w:val="00340E69"/>
    <w:rsid w:val="00351465"/>
    <w:rsid w:val="00352154"/>
    <w:rsid w:val="003565CF"/>
    <w:rsid w:val="003617C1"/>
    <w:rsid w:val="00367A1B"/>
    <w:rsid w:val="0037189E"/>
    <w:rsid w:val="00373662"/>
    <w:rsid w:val="00375EE9"/>
    <w:rsid w:val="0038118D"/>
    <w:rsid w:val="0038361F"/>
    <w:rsid w:val="00383BF2"/>
    <w:rsid w:val="003844E1"/>
    <w:rsid w:val="00390BD0"/>
    <w:rsid w:val="003948DB"/>
    <w:rsid w:val="003A20B5"/>
    <w:rsid w:val="003A5193"/>
    <w:rsid w:val="003B345B"/>
    <w:rsid w:val="003B4FD2"/>
    <w:rsid w:val="003B6297"/>
    <w:rsid w:val="003B67A9"/>
    <w:rsid w:val="003C40BF"/>
    <w:rsid w:val="003C7FBE"/>
    <w:rsid w:val="003D01F7"/>
    <w:rsid w:val="003E2C25"/>
    <w:rsid w:val="003E73D8"/>
    <w:rsid w:val="003E74A3"/>
    <w:rsid w:val="00400A1B"/>
    <w:rsid w:val="00405540"/>
    <w:rsid w:val="00405E4D"/>
    <w:rsid w:val="00405F55"/>
    <w:rsid w:val="00410356"/>
    <w:rsid w:val="0041092E"/>
    <w:rsid w:val="004121CB"/>
    <w:rsid w:val="00413806"/>
    <w:rsid w:val="0042114C"/>
    <w:rsid w:val="004306E3"/>
    <w:rsid w:val="00431112"/>
    <w:rsid w:val="00443282"/>
    <w:rsid w:val="00445591"/>
    <w:rsid w:val="00446EB8"/>
    <w:rsid w:val="00446F4C"/>
    <w:rsid w:val="00453069"/>
    <w:rsid w:val="00465677"/>
    <w:rsid w:val="00471B11"/>
    <w:rsid w:val="00474225"/>
    <w:rsid w:val="00474786"/>
    <w:rsid w:val="004824DC"/>
    <w:rsid w:val="00482ED4"/>
    <w:rsid w:val="0048673D"/>
    <w:rsid w:val="0049089F"/>
    <w:rsid w:val="004917EE"/>
    <w:rsid w:val="004947C6"/>
    <w:rsid w:val="0049615F"/>
    <w:rsid w:val="004A11D3"/>
    <w:rsid w:val="004A1C14"/>
    <w:rsid w:val="004A1C9F"/>
    <w:rsid w:val="004A69B3"/>
    <w:rsid w:val="004B726C"/>
    <w:rsid w:val="004C5709"/>
    <w:rsid w:val="004C584E"/>
    <w:rsid w:val="004C78D4"/>
    <w:rsid w:val="004D7151"/>
    <w:rsid w:val="004E233C"/>
    <w:rsid w:val="004E2F0C"/>
    <w:rsid w:val="004E592B"/>
    <w:rsid w:val="004E6179"/>
    <w:rsid w:val="004F45B2"/>
    <w:rsid w:val="004F686E"/>
    <w:rsid w:val="0050096C"/>
    <w:rsid w:val="00503730"/>
    <w:rsid w:val="00513CD8"/>
    <w:rsid w:val="00513E4D"/>
    <w:rsid w:val="005330E1"/>
    <w:rsid w:val="005331F5"/>
    <w:rsid w:val="00536D49"/>
    <w:rsid w:val="00552733"/>
    <w:rsid w:val="00552C04"/>
    <w:rsid w:val="00560EEA"/>
    <w:rsid w:val="00567162"/>
    <w:rsid w:val="00571759"/>
    <w:rsid w:val="005920DA"/>
    <w:rsid w:val="005953AA"/>
    <w:rsid w:val="005A7450"/>
    <w:rsid w:val="005B0364"/>
    <w:rsid w:val="005B2F2E"/>
    <w:rsid w:val="005B4518"/>
    <w:rsid w:val="005B6F50"/>
    <w:rsid w:val="005C707B"/>
    <w:rsid w:val="005D3B56"/>
    <w:rsid w:val="005E0DF1"/>
    <w:rsid w:val="005F340C"/>
    <w:rsid w:val="005F4968"/>
    <w:rsid w:val="006043E3"/>
    <w:rsid w:val="006059EF"/>
    <w:rsid w:val="00605CF8"/>
    <w:rsid w:val="006074EF"/>
    <w:rsid w:val="00612590"/>
    <w:rsid w:val="00622CC3"/>
    <w:rsid w:val="00633B13"/>
    <w:rsid w:val="00640DFE"/>
    <w:rsid w:val="00645EA3"/>
    <w:rsid w:val="00661F10"/>
    <w:rsid w:val="00670500"/>
    <w:rsid w:val="00673F41"/>
    <w:rsid w:val="00693347"/>
    <w:rsid w:val="006953D3"/>
    <w:rsid w:val="006A0D7F"/>
    <w:rsid w:val="006A3397"/>
    <w:rsid w:val="006A4DE9"/>
    <w:rsid w:val="006A6591"/>
    <w:rsid w:val="006B01DB"/>
    <w:rsid w:val="006B581B"/>
    <w:rsid w:val="006C3CCE"/>
    <w:rsid w:val="006C3FFC"/>
    <w:rsid w:val="006D49B6"/>
    <w:rsid w:val="006E03A7"/>
    <w:rsid w:val="006E208F"/>
    <w:rsid w:val="006E320D"/>
    <w:rsid w:val="006E3C11"/>
    <w:rsid w:val="006E3DF0"/>
    <w:rsid w:val="006F23FF"/>
    <w:rsid w:val="006F46D6"/>
    <w:rsid w:val="006F7F17"/>
    <w:rsid w:val="007020BF"/>
    <w:rsid w:val="00723F73"/>
    <w:rsid w:val="00735CBA"/>
    <w:rsid w:val="00741EA7"/>
    <w:rsid w:val="0074711E"/>
    <w:rsid w:val="0075284D"/>
    <w:rsid w:val="0075536A"/>
    <w:rsid w:val="00762ECF"/>
    <w:rsid w:val="007647FC"/>
    <w:rsid w:val="00781F6B"/>
    <w:rsid w:val="00784307"/>
    <w:rsid w:val="007862AD"/>
    <w:rsid w:val="00787806"/>
    <w:rsid w:val="00795081"/>
    <w:rsid w:val="007A1126"/>
    <w:rsid w:val="007B02C6"/>
    <w:rsid w:val="007B49D4"/>
    <w:rsid w:val="007D07EA"/>
    <w:rsid w:val="007D1B12"/>
    <w:rsid w:val="007E088E"/>
    <w:rsid w:val="007E0CE6"/>
    <w:rsid w:val="007F28E5"/>
    <w:rsid w:val="007F6A40"/>
    <w:rsid w:val="00801A0E"/>
    <w:rsid w:val="00827055"/>
    <w:rsid w:val="00832DC3"/>
    <w:rsid w:val="00833C1B"/>
    <w:rsid w:val="00834A6B"/>
    <w:rsid w:val="008714F1"/>
    <w:rsid w:val="00873CFA"/>
    <w:rsid w:val="00873D6E"/>
    <w:rsid w:val="0087491F"/>
    <w:rsid w:val="00875779"/>
    <w:rsid w:val="00881B6B"/>
    <w:rsid w:val="0088241E"/>
    <w:rsid w:val="008904B7"/>
    <w:rsid w:val="008A175F"/>
    <w:rsid w:val="008A17A7"/>
    <w:rsid w:val="008A22EF"/>
    <w:rsid w:val="008A6C13"/>
    <w:rsid w:val="008B646C"/>
    <w:rsid w:val="008C50B8"/>
    <w:rsid w:val="008D1674"/>
    <w:rsid w:val="008D52C2"/>
    <w:rsid w:val="008E4F68"/>
    <w:rsid w:val="008E7AFF"/>
    <w:rsid w:val="008E7CDA"/>
    <w:rsid w:val="008F60D3"/>
    <w:rsid w:val="00910CA0"/>
    <w:rsid w:val="009205F7"/>
    <w:rsid w:val="009270EF"/>
    <w:rsid w:val="0095280D"/>
    <w:rsid w:val="00955868"/>
    <w:rsid w:val="0095620A"/>
    <w:rsid w:val="009571C1"/>
    <w:rsid w:val="00964154"/>
    <w:rsid w:val="009704A9"/>
    <w:rsid w:val="009763AD"/>
    <w:rsid w:val="00982BEC"/>
    <w:rsid w:val="0099323B"/>
    <w:rsid w:val="009A71E1"/>
    <w:rsid w:val="009B107B"/>
    <w:rsid w:val="009B6030"/>
    <w:rsid w:val="009B65D1"/>
    <w:rsid w:val="009C239D"/>
    <w:rsid w:val="009C3662"/>
    <w:rsid w:val="009D087E"/>
    <w:rsid w:val="009D167B"/>
    <w:rsid w:val="009D2837"/>
    <w:rsid w:val="009E1689"/>
    <w:rsid w:val="009E2883"/>
    <w:rsid w:val="009E4007"/>
    <w:rsid w:val="00A0070E"/>
    <w:rsid w:val="00A1472E"/>
    <w:rsid w:val="00A153A8"/>
    <w:rsid w:val="00A31A65"/>
    <w:rsid w:val="00A36718"/>
    <w:rsid w:val="00A37576"/>
    <w:rsid w:val="00A4728F"/>
    <w:rsid w:val="00A5465A"/>
    <w:rsid w:val="00A56613"/>
    <w:rsid w:val="00A57727"/>
    <w:rsid w:val="00A579C9"/>
    <w:rsid w:val="00A60A25"/>
    <w:rsid w:val="00A6220E"/>
    <w:rsid w:val="00A70F7B"/>
    <w:rsid w:val="00A733F7"/>
    <w:rsid w:val="00A75D23"/>
    <w:rsid w:val="00A76822"/>
    <w:rsid w:val="00A81D3C"/>
    <w:rsid w:val="00A82EA3"/>
    <w:rsid w:val="00A90067"/>
    <w:rsid w:val="00A918D8"/>
    <w:rsid w:val="00A929A6"/>
    <w:rsid w:val="00AA5D02"/>
    <w:rsid w:val="00AA6CCB"/>
    <w:rsid w:val="00AC2C69"/>
    <w:rsid w:val="00AC7E5B"/>
    <w:rsid w:val="00AD5130"/>
    <w:rsid w:val="00AD52C1"/>
    <w:rsid w:val="00AE370C"/>
    <w:rsid w:val="00AE3CE7"/>
    <w:rsid w:val="00AF503A"/>
    <w:rsid w:val="00B0390E"/>
    <w:rsid w:val="00B0401F"/>
    <w:rsid w:val="00B06AFA"/>
    <w:rsid w:val="00B13B67"/>
    <w:rsid w:val="00B176E4"/>
    <w:rsid w:val="00B21935"/>
    <w:rsid w:val="00B40AC6"/>
    <w:rsid w:val="00B43579"/>
    <w:rsid w:val="00B44400"/>
    <w:rsid w:val="00B45C92"/>
    <w:rsid w:val="00B572F3"/>
    <w:rsid w:val="00B63F44"/>
    <w:rsid w:val="00B71B24"/>
    <w:rsid w:val="00B73628"/>
    <w:rsid w:val="00B97786"/>
    <w:rsid w:val="00BA6418"/>
    <w:rsid w:val="00BB4C76"/>
    <w:rsid w:val="00BC1095"/>
    <w:rsid w:val="00BC5D60"/>
    <w:rsid w:val="00BD0938"/>
    <w:rsid w:val="00BD7D70"/>
    <w:rsid w:val="00BE4B79"/>
    <w:rsid w:val="00BF1E47"/>
    <w:rsid w:val="00BF7B9E"/>
    <w:rsid w:val="00C00C76"/>
    <w:rsid w:val="00C10921"/>
    <w:rsid w:val="00C11CAD"/>
    <w:rsid w:val="00C277D2"/>
    <w:rsid w:val="00C34D07"/>
    <w:rsid w:val="00C379C3"/>
    <w:rsid w:val="00C44834"/>
    <w:rsid w:val="00C51AF8"/>
    <w:rsid w:val="00C544DD"/>
    <w:rsid w:val="00C55681"/>
    <w:rsid w:val="00C72D5A"/>
    <w:rsid w:val="00C8048F"/>
    <w:rsid w:val="00C970DC"/>
    <w:rsid w:val="00CA1BD9"/>
    <w:rsid w:val="00CA50E5"/>
    <w:rsid w:val="00CB472A"/>
    <w:rsid w:val="00CC620D"/>
    <w:rsid w:val="00CC66BC"/>
    <w:rsid w:val="00CC7197"/>
    <w:rsid w:val="00CD2164"/>
    <w:rsid w:val="00CD3470"/>
    <w:rsid w:val="00CD5313"/>
    <w:rsid w:val="00CD7465"/>
    <w:rsid w:val="00CE334A"/>
    <w:rsid w:val="00CE51F5"/>
    <w:rsid w:val="00CE5D24"/>
    <w:rsid w:val="00CE7FB8"/>
    <w:rsid w:val="00CF587C"/>
    <w:rsid w:val="00D0104D"/>
    <w:rsid w:val="00D160D1"/>
    <w:rsid w:val="00D275D2"/>
    <w:rsid w:val="00D47648"/>
    <w:rsid w:val="00D50026"/>
    <w:rsid w:val="00D50CD7"/>
    <w:rsid w:val="00D55CAC"/>
    <w:rsid w:val="00D77685"/>
    <w:rsid w:val="00D80E30"/>
    <w:rsid w:val="00D9149B"/>
    <w:rsid w:val="00D97C2D"/>
    <w:rsid w:val="00DC1CB9"/>
    <w:rsid w:val="00DC22E2"/>
    <w:rsid w:val="00DC58D2"/>
    <w:rsid w:val="00DD1B8E"/>
    <w:rsid w:val="00DF41A7"/>
    <w:rsid w:val="00E037C3"/>
    <w:rsid w:val="00E1708B"/>
    <w:rsid w:val="00E201E6"/>
    <w:rsid w:val="00E210F3"/>
    <w:rsid w:val="00E30912"/>
    <w:rsid w:val="00E36785"/>
    <w:rsid w:val="00E40090"/>
    <w:rsid w:val="00E52F4F"/>
    <w:rsid w:val="00E55004"/>
    <w:rsid w:val="00E61540"/>
    <w:rsid w:val="00E64B1A"/>
    <w:rsid w:val="00E65E63"/>
    <w:rsid w:val="00E81B82"/>
    <w:rsid w:val="00E930CC"/>
    <w:rsid w:val="00EB40C6"/>
    <w:rsid w:val="00EB4C4E"/>
    <w:rsid w:val="00ED24B6"/>
    <w:rsid w:val="00ED3A2F"/>
    <w:rsid w:val="00EE4366"/>
    <w:rsid w:val="00EF7074"/>
    <w:rsid w:val="00F01896"/>
    <w:rsid w:val="00F16471"/>
    <w:rsid w:val="00F16F86"/>
    <w:rsid w:val="00F21FAD"/>
    <w:rsid w:val="00F235F7"/>
    <w:rsid w:val="00F52C00"/>
    <w:rsid w:val="00F5373B"/>
    <w:rsid w:val="00F5422E"/>
    <w:rsid w:val="00F675B9"/>
    <w:rsid w:val="00F736E8"/>
    <w:rsid w:val="00F772E5"/>
    <w:rsid w:val="00F9412C"/>
    <w:rsid w:val="00FA224E"/>
    <w:rsid w:val="00FA3DC6"/>
    <w:rsid w:val="00FB0186"/>
    <w:rsid w:val="00FC0912"/>
    <w:rsid w:val="00FC2EC4"/>
    <w:rsid w:val="00FC2EEA"/>
    <w:rsid w:val="00FC44F7"/>
    <w:rsid w:val="00FD3978"/>
    <w:rsid w:val="00FD6B0E"/>
    <w:rsid w:val="00FE64A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A25972C-A558-4E8E-8F5C-8E2D8A56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A7"/>
  </w:style>
  <w:style w:type="paragraph" w:styleId="Heading1">
    <w:name w:val="heading 1"/>
    <w:basedOn w:val="Normal"/>
    <w:next w:val="Normal"/>
    <w:link w:val="Heading1Char"/>
    <w:uiPriority w:val="9"/>
    <w:qFormat/>
    <w:rsid w:val="00BE4B79"/>
    <w:pPr>
      <w:keepNext/>
      <w:keepLines/>
      <w:numPr>
        <w:numId w:val="6"/>
      </w:numPr>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BE4B79"/>
    <w:pPr>
      <w:keepNext/>
      <w:keepLines/>
      <w:numPr>
        <w:ilvl w:val="1"/>
        <w:numId w:val="6"/>
      </w:numPr>
      <w:spacing w:before="40" w:after="0"/>
      <w:outlineLvl w:val="1"/>
    </w:pPr>
    <w:rPr>
      <w:rFonts w:ascii="Arial" w:eastAsiaTheme="majorEastAsia" w:hAnsi="Arial" w:cstheme="majorBidi"/>
      <w:b/>
      <w:szCs w:val="26"/>
    </w:rPr>
  </w:style>
  <w:style w:type="paragraph" w:styleId="Heading3">
    <w:name w:val="heading 3"/>
    <w:aliases w:val="Centered, Centered"/>
    <w:basedOn w:val="Normal"/>
    <w:next w:val="Normal"/>
    <w:link w:val="Heading3Char"/>
    <w:unhideWhenUsed/>
    <w:qFormat/>
    <w:rsid w:val="00E61540"/>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61540"/>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61540"/>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61540"/>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61540"/>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61540"/>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540"/>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86"/>
  </w:style>
  <w:style w:type="paragraph" w:styleId="Footer">
    <w:name w:val="footer"/>
    <w:basedOn w:val="Normal"/>
    <w:link w:val="FooterChar"/>
    <w:uiPriority w:val="99"/>
    <w:unhideWhenUsed/>
    <w:rsid w:val="00FB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86"/>
  </w:style>
  <w:style w:type="table" w:styleId="TableGrid">
    <w:name w:val="Table Grid"/>
    <w:basedOn w:val="TableNormal"/>
    <w:rsid w:val="00C11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7020BF"/>
    <w:pPr>
      <w:ind w:left="720"/>
      <w:contextualSpacing/>
    </w:pPr>
  </w:style>
  <w:style w:type="character" w:styleId="CommentReference">
    <w:name w:val="annotation reference"/>
    <w:basedOn w:val="DefaultParagraphFont"/>
    <w:uiPriority w:val="99"/>
    <w:semiHidden/>
    <w:unhideWhenUsed/>
    <w:rsid w:val="00A1472E"/>
    <w:rPr>
      <w:sz w:val="16"/>
      <w:szCs w:val="16"/>
    </w:rPr>
  </w:style>
  <w:style w:type="paragraph" w:styleId="CommentText">
    <w:name w:val="annotation text"/>
    <w:basedOn w:val="Normal"/>
    <w:link w:val="CommentTextChar"/>
    <w:uiPriority w:val="99"/>
    <w:unhideWhenUsed/>
    <w:rsid w:val="00A1472E"/>
    <w:pPr>
      <w:spacing w:line="240" w:lineRule="auto"/>
    </w:pPr>
    <w:rPr>
      <w:sz w:val="20"/>
      <w:szCs w:val="20"/>
    </w:rPr>
  </w:style>
  <w:style w:type="character" w:customStyle="1" w:styleId="CommentTextChar">
    <w:name w:val="Comment Text Char"/>
    <w:basedOn w:val="DefaultParagraphFont"/>
    <w:link w:val="CommentText"/>
    <w:uiPriority w:val="99"/>
    <w:rsid w:val="00A1472E"/>
    <w:rPr>
      <w:sz w:val="20"/>
      <w:szCs w:val="20"/>
    </w:rPr>
  </w:style>
  <w:style w:type="paragraph" w:styleId="CommentSubject">
    <w:name w:val="annotation subject"/>
    <w:basedOn w:val="CommentText"/>
    <w:next w:val="CommentText"/>
    <w:link w:val="CommentSubjectChar"/>
    <w:uiPriority w:val="99"/>
    <w:semiHidden/>
    <w:unhideWhenUsed/>
    <w:rsid w:val="00A1472E"/>
    <w:rPr>
      <w:b/>
      <w:bCs/>
    </w:rPr>
  </w:style>
  <w:style w:type="character" w:customStyle="1" w:styleId="CommentSubjectChar">
    <w:name w:val="Comment Subject Char"/>
    <w:basedOn w:val="CommentTextChar"/>
    <w:link w:val="CommentSubject"/>
    <w:uiPriority w:val="99"/>
    <w:semiHidden/>
    <w:rsid w:val="00A1472E"/>
    <w:rPr>
      <w:b/>
      <w:bCs/>
      <w:sz w:val="20"/>
      <w:szCs w:val="20"/>
    </w:rPr>
  </w:style>
  <w:style w:type="paragraph" w:styleId="Revision">
    <w:name w:val="Revision"/>
    <w:hidden/>
    <w:uiPriority w:val="99"/>
    <w:semiHidden/>
    <w:rsid w:val="00A1472E"/>
    <w:pPr>
      <w:spacing w:after="0" w:line="240" w:lineRule="auto"/>
    </w:pPr>
  </w:style>
  <w:style w:type="paragraph" w:styleId="BalloonText">
    <w:name w:val="Balloon Text"/>
    <w:basedOn w:val="Normal"/>
    <w:link w:val="BalloonTextChar"/>
    <w:uiPriority w:val="99"/>
    <w:semiHidden/>
    <w:unhideWhenUsed/>
    <w:rsid w:val="00A1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72E"/>
    <w:rPr>
      <w:rFonts w:ascii="Segoe UI" w:hAnsi="Segoe UI" w:cs="Segoe UI"/>
      <w:sz w:val="18"/>
      <w:szCs w:val="18"/>
    </w:rPr>
  </w:style>
  <w:style w:type="character" w:customStyle="1" w:styleId="ListParagraphChar">
    <w:name w:val="List Paragraph Char"/>
    <w:link w:val="ListParagraph"/>
    <w:uiPriority w:val="34"/>
    <w:locked/>
    <w:rsid w:val="009B107B"/>
  </w:style>
  <w:style w:type="character" w:customStyle="1" w:styleId="Heading1Char">
    <w:name w:val="Heading 1 Char"/>
    <w:basedOn w:val="DefaultParagraphFont"/>
    <w:link w:val="Heading1"/>
    <w:uiPriority w:val="9"/>
    <w:rsid w:val="00BE4B79"/>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BE4B79"/>
    <w:rPr>
      <w:rFonts w:ascii="Arial" w:eastAsiaTheme="majorEastAsia" w:hAnsi="Arial" w:cstheme="majorBidi"/>
      <w:b/>
      <w:szCs w:val="26"/>
    </w:rPr>
  </w:style>
  <w:style w:type="character" w:customStyle="1" w:styleId="Heading3Char">
    <w:name w:val="Heading 3 Char"/>
    <w:aliases w:val="Centered Char, Centered Char"/>
    <w:basedOn w:val="DefaultParagraphFont"/>
    <w:link w:val="Heading3"/>
    <w:rsid w:val="00E6154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615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6154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6154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615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615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54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61540"/>
    <w:pPr>
      <w:numPr>
        <w:numId w:val="0"/>
      </w:numPr>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61540"/>
    <w:pPr>
      <w:spacing w:after="100"/>
    </w:pPr>
  </w:style>
  <w:style w:type="paragraph" w:styleId="TOC2">
    <w:name w:val="toc 2"/>
    <w:basedOn w:val="Normal"/>
    <w:next w:val="Normal"/>
    <w:autoRedefine/>
    <w:uiPriority w:val="39"/>
    <w:unhideWhenUsed/>
    <w:rsid w:val="00E61540"/>
    <w:pPr>
      <w:spacing w:after="100"/>
      <w:ind w:left="220"/>
    </w:pPr>
  </w:style>
  <w:style w:type="character" w:styleId="Hyperlink">
    <w:name w:val="Hyperlink"/>
    <w:basedOn w:val="DefaultParagraphFont"/>
    <w:uiPriority w:val="99"/>
    <w:unhideWhenUsed/>
    <w:rsid w:val="00E61540"/>
    <w:rPr>
      <w:color w:val="0563C1" w:themeColor="hyperlink"/>
      <w:u w:val="single"/>
    </w:rPr>
  </w:style>
  <w:style w:type="paragraph" w:styleId="HTMLPreformatted">
    <w:name w:val="HTML Preformatted"/>
    <w:basedOn w:val="Normal"/>
    <w:link w:val="HTMLPreformattedChar"/>
    <w:uiPriority w:val="99"/>
    <w:unhideWhenUsed/>
    <w:rsid w:val="003D0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01F7"/>
    <w:rPr>
      <w:rFonts w:ascii="Courier New" w:eastAsia="Times New Roman" w:hAnsi="Courier New" w:cs="Courier New"/>
      <w:sz w:val="20"/>
      <w:szCs w:val="20"/>
    </w:rPr>
  </w:style>
  <w:style w:type="paragraph" w:customStyle="1" w:styleId="m343668044302477783m-3986873246552044066msolistparagraph">
    <w:name w:val="m_343668044302477783m-3986873246552044066msolistparagraph"/>
    <w:basedOn w:val="Normal"/>
    <w:rsid w:val="00410356"/>
    <w:pPr>
      <w:spacing w:before="100" w:beforeAutospacing="1" w:after="100" w:afterAutospacing="1" w:line="240" w:lineRule="auto"/>
    </w:pPr>
    <w:rPr>
      <w:rFonts w:ascii="Times New Roman" w:eastAsia="Calibri" w:hAnsi="Times New Roman" w:cs="Times New Roman"/>
      <w:sz w:val="24"/>
      <w:szCs w:val="24"/>
      <w:lang w:val="en-GB" w:eastAsia="en-GB"/>
    </w:rPr>
  </w:style>
  <w:style w:type="paragraph" w:styleId="FootnoteText">
    <w:name w:val="footnote text"/>
    <w:aliases w:val="single space,footnote text,Fußnote,Footnote,WB-Fußnotentext,WB-Fußnotentext Char Char,Fußnotentext Char,Footnote Text Char Char Char,Footnote Text Char Char,Fußnotentext arial,fn,Schriftart: 9 pt,Schriftart: 10 pt,Schriftart: 8 pt,Fußno,f"/>
    <w:basedOn w:val="Normal"/>
    <w:link w:val="FootnoteTextChar"/>
    <w:rsid w:val="00410356"/>
    <w:pPr>
      <w:spacing w:after="0" w:line="240" w:lineRule="auto"/>
    </w:pPr>
    <w:rPr>
      <w:rFonts w:ascii="Times New Roman" w:eastAsia="Times New Roman" w:hAnsi="Times New Roman" w:cs="Times New Roman"/>
      <w:sz w:val="20"/>
      <w:szCs w:val="20"/>
      <w:lang w:eastAsia="mk-MK"/>
    </w:rPr>
  </w:style>
  <w:style w:type="character" w:customStyle="1" w:styleId="FootnoteTextChar">
    <w:name w:val="Footnote Text Char"/>
    <w:aliases w:val="single space Char,footnote text Char,Fußnote Char,Footnote Char,WB-Fußnotentext Char,WB-Fußnotentext Char Char Char,Fußnotentext Char Char,Footnote Text Char Char Char Char,Footnote Text Char Char Char1,Fußnotentext arial Char,fn Char"/>
    <w:basedOn w:val="DefaultParagraphFont"/>
    <w:link w:val="FootnoteText"/>
    <w:rsid w:val="00410356"/>
    <w:rPr>
      <w:rFonts w:ascii="Times New Roman" w:eastAsia="Times New Roman" w:hAnsi="Times New Roman" w:cs="Times New Roman"/>
      <w:sz w:val="20"/>
      <w:szCs w:val="20"/>
      <w:lang w:eastAsia="mk-MK"/>
    </w:rPr>
  </w:style>
  <w:style w:type="character" w:styleId="FootnoteReference">
    <w:name w:val="footnote reference"/>
    <w:aliases w:val="ftref,BVI fnr,16 Point,Superscript 6 Point,Footnote Reference Number,Ref,de nota al pie,(NECG) Footnote Reference,Footnote number,SUPERS,Footnote symbol,Char1 Char Char Char Char, Char1 Char Char Char Char,Fußnotenzeichen DISS"/>
    <w:qFormat/>
    <w:rsid w:val="00410356"/>
    <w:rPr>
      <w:vertAlign w:val="superscript"/>
    </w:rPr>
  </w:style>
  <w:style w:type="character" w:customStyle="1" w:styleId="shorttext">
    <w:name w:val="short_text"/>
    <w:basedOn w:val="DefaultParagraphFont"/>
    <w:rsid w:val="00410356"/>
  </w:style>
  <w:style w:type="character" w:customStyle="1" w:styleId="Bodytext85pt">
    <w:name w:val="Body text + 8.5 pt"/>
    <w:basedOn w:val="DefaultParagraphFont"/>
    <w:rsid w:val="00410356"/>
    <w:rPr>
      <w:rFonts w:ascii="Times New Roman" w:eastAsia="Times New Roman" w:hAnsi="Times New Roman" w:cs="Times New Roman"/>
      <w:color w:val="000000"/>
      <w:spacing w:val="0"/>
      <w:w w:val="100"/>
      <w:position w:val="0"/>
      <w:sz w:val="17"/>
      <w:szCs w:val="17"/>
      <w:shd w:val="clear" w:color="auto" w:fill="FFFFFF"/>
      <w:lang w:val="mk-MK"/>
    </w:rPr>
  </w:style>
  <w:style w:type="paragraph" w:styleId="Caption">
    <w:name w:val="caption"/>
    <w:basedOn w:val="Normal"/>
    <w:next w:val="Normal"/>
    <w:uiPriority w:val="35"/>
    <w:unhideWhenUsed/>
    <w:qFormat/>
    <w:rsid w:val="00410356"/>
    <w:pPr>
      <w:spacing w:after="200" w:line="240" w:lineRule="auto"/>
    </w:pPr>
    <w:rPr>
      <w:i/>
      <w:iCs/>
      <w:color w:val="44546A" w:themeColor="text2"/>
      <w:sz w:val="18"/>
      <w:szCs w:val="18"/>
    </w:rPr>
  </w:style>
  <w:style w:type="paragraph" w:styleId="NormalWeb">
    <w:name w:val="Normal (Web)"/>
    <w:basedOn w:val="Normal"/>
    <w:uiPriority w:val="99"/>
    <w:rsid w:val="00410356"/>
    <w:pPr>
      <w:suppressAutoHyphens/>
      <w:spacing w:before="280" w:after="280" w:line="240" w:lineRule="auto"/>
    </w:pPr>
    <w:rPr>
      <w:rFonts w:ascii="Verdana" w:eastAsia="Times New Roman" w:hAnsi="Verdana" w:cs="Times New Roman"/>
      <w:color w:val="000000"/>
      <w:sz w:val="16"/>
      <w:szCs w:val="16"/>
      <w:lang w:val="en-GB" w:eastAsia="ar-SA"/>
    </w:rPr>
  </w:style>
  <w:style w:type="paragraph" w:customStyle="1" w:styleId="Text1">
    <w:name w:val="Text 1"/>
    <w:basedOn w:val="Normal"/>
    <w:link w:val="Text1Char"/>
    <w:rsid w:val="00410356"/>
    <w:pPr>
      <w:spacing w:after="120" w:line="240" w:lineRule="auto"/>
      <w:jc w:val="both"/>
    </w:pPr>
    <w:rPr>
      <w:rFonts w:ascii="Times New Roman" w:eastAsia="Times New Roman" w:hAnsi="Times New Roman" w:cs="Times New Roman"/>
      <w:szCs w:val="20"/>
      <w:lang w:val="en-GB"/>
    </w:rPr>
  </w:style>
  <w:style w:type="character" w:customStyle="1" w:styleId="Text1Char">
    <w:name w:val="Text 1 Char"/>
    <w:link w:val="Text1"/>
    <w:rsid w:val="00410356"/>
    <w:rPr>
      <w:rFonts w:ascii="Times New Roman" w:eastAsia="Times New Roman" w:hAnsi="Times New Roman" w:cs="Times New Roman"/>
      <w:szCs w:val="20"/>
      <w:lang w:val="en-GB"/>
    </w:rPr>
  </w:style>
  <w:style w:type="paragraph" w:styleId="TableofFigures">
    <w:name w:val="table of figures"/>
    <w:basedOn w:val="Normal"/>
    <w:next w:val="Normal"/>
    <w:uiPriority w:val="99"/>
    <w:unhideWhenUsed/>
    <w:rsid w:val="00410356"/>
    <w:pPr>
      <w:spacing w:after="0"/>
    </w:pPr>
  </w:style>
  <w:style w:type="paragraph" w:styleId="BodyText">
    <w:name w:val="Body Text"/>
    <w:basedOn w:val="Normal"/>
    <w:link w:val="BodyTextChar"/>
    <w:rsid w:val="00FC0912"/>
    <w:pPr>
      <w:widowControl w:val="0"/>
      <w:suppressAutoHyphens/>
      <w:spacing w:after="120" w:line="240" w:lineRule="auto"/>
    </w:pPr>
    <w:rPr>
      <w:rFonts w:ascii="Times New Roman" w:eastAsia="SimSun" w:hAnsi="Times New Roman" w:cs="Mangal"/>
      <w:kern w:val="1"/>
      <w:sz w:val="24"/>
      <w:szCs w:val="24"/>
      <w:lang w:val="mk-MK" w:eastAsia="zh-CN" w:bidi="hi-IN"/>
    </w:rPr>
  </w:style>
  <w:style w:type="character" w:customStyle="1" w:styleId="BodyTextChar">
    <w:name w:val="Body Text Char"/>
    <w:basedOn w:val="DefaultParagraphFont"/>
    <w:link w:val="BodyText"/>
    <w:rsid w:val="00FC0912"/>
    <w:rPr>
      <w:rFonts w:ascii="Times New Roman" w:eastAsia="SimSun" w:hAnsi="Times New Roman" w:cs="Mangal"/>
      <w:kern w:val="1"/>
      <w:sz w:val="24"/>
      <w:szCs w:val="24"/>
      <w:lang w:val="mk-MK" w:eastAsia="zh-CN" w:bidi="hi-IN"/>
    </w:rPr>
  </w:style>
  <w:style w:type="character" w:customStyle="1" w:styleId="tlid-translation">
    <w:name w:val="tlid-translation"/>
    <w:basedOn w:val="DefaultParagraphFont"/>
    <w:rsid w:val="00E5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0542">
      <w:bodyDiv w:val="1"/>
      <w:marLeft w:val="0"/>
      <w:marRight w:val="0"/>
      <w:marTop w:val="0"/>
      <w:marBottom w:val="0"/>
      <w:divBdr>
        <w:top w:val="none" w:sz="0" w:space="0" w:color="auto"/>
        <w:left w:val="none" w:sz="0" w:space="0" w:color="auto"/>
        <w:bottom w:val="none" w:sz="0" w:space="0" w:color="auto"/>
        <w:right w:val="none" w:sz="0" w:space="0" w:color="auto"/>
      </w:divBdr>
    </w:div>
    <w:div w:id="130489457">
      <w:bodyDiv w:val="1"/>
      <w:marLeft w:val="0"/>
      <w:marRight w:val="0"/>
      <w:marTop w:val="0"/>
      <w:marBottom w:val="0"/>
      <w:divBdr>
        <w:top w:val="none" w:sz="0" w:space="0" w:color="auto"/>
        <w:left w:val="none" w:sz="0" w:space="0" w:color="auto"/>
        <w:bottom w:val="none" w:sz="0" w:space="0" w:color="auto"/>
        <w:right w:val="none" w:sz="0" w:space="0" w:color="auto"/>
      </w:divBdr>
    </w:div>
    <w:div w:id="236941307">
      <w:bodyDiv w:val="1"/>
      <w:marLeft w:val="0"/>
      <w:marRight w:val="0"/>
      <w:marTop w:val="0"/>
      <w:marBottom w:val="0"/>
      <w:divBdr>
        <w:top w:val="none" w:sz="0" w:space="0" w:color="auto"/>
        <w:left w:val="none" w:sz="0" w:space="0" w:color="auto"/>
        <w:bottom w:val="none" w:sz="0" w:space="0" w:color="auto"/>
        <w:right w:val="none" w:sz="0" w:space="0" w:color="auto"/>
      </w:divBdr>
    </w:div>
    <w:div w:id="267734594">
      <w:bodyDiv w:val="1"/>
      <w:marLeft w:val="0"/>
      <w:marRight w:val="0"/>
      <w:marTop w:val="0"/>
      <w:marBottom w:val="0"/>
      <w:divBdr>
        <w:top w:val="none" w:sz="0" w:space="0" w:color="auto"/>
        <w:left w:val="none" w:sz="0" w:space="0" w:color="auto"/>
        <w:bottom w:val="none" w:sz="0" w:space="0" w:color="auto"/>
        <w:right w:val="none" w:sz="0" w:space="0" w:color="auto"/>
      </w:divBdr>
    </w:div>
    <w:div w:id="277025378">
      <w:bodyDiv w:val="1"/>
      <w:marLeft w:val="0"/>
      <w:marRight w:val="0"/>
      <w:marTop w:val="0"/>
      <w:marBottom w:val="0"/>
      <w:divBdr>
        <w:top w:val="none" w:sz="0" w:space="0" w:color="auto"/>
        <w:left w:val="none" w:sz="0" w:space="0" w:color="auto"/>
        <w:bottom w:val="none" w:sz="0" w:space="0" w:color="auto"/>
        <w:right w:val="none" w:sz="0" w:space="0" w:color="auto"/>
      </w:divBdr>
    </w:div>
    <w:div w:id="283121686">
      <w:bodyDiv w:val="1"/>
      <w:marLeft w:val="0"/>
      <w:marRight w:val="0"/>
      <w:marTop w:val="0"/>
      <w:marBottom w:val="0"/>
      <w:divBdr>
        <w:top w:val="none" w:sz="0" w:space="0" w:color="auto"/>
        <w:left w:val="none" w:sz="0" w:space="0" w:color="auto"/>
        <w:bottom w:val="none" w:sz="0" w:space="0" w:color="auto"/>
        <w:right w:val="none" w:sz="0" w:space="0" w:color="auto"/>
      </w:divBdr>
    </w:div>
    <w:div w:id="342241494">
      <w:bodyDiv w:val="1"/>
      <w:marLeft w:val="0"/>
      <w:marRight w:val="0"/>
      <w:marTop w:val="0"/>
      <w:marBottom w:val="0"/>
      <w:divBdr>
        <w:top w:val="none" w:sz="0" w:space="0" w:color="auto"/>
        <w:left w:val="none" w:sz="0" w:space="0" w:color="auto"/>
        <w:bottom w:val="none" w:sz="0" w:space="0" w:color="auto"/>
        <w:right w:val="none" w:sz="0" w:space="0" w:color="auto"/>
      </w:divBdr>
    </w:div>
    <w:div w:id="454181515">
      <w:bodyDiv w:val="1"/>
      <w:marLeft w:val="0"/>
      <w:marRight w:val="0"/>
      <w:marTop w:val="0"/>
      <w:marBottom w:val="0"/>
      <w:divBdr>
        <w:top w:val="none" w:sz="0" w:space="0" w:color="auto"/>
        <w:left w:val="none" w:sz="0" w:space="0" w:color="auto"/>
        <w:bottom w:val="none" w:sz="0" w:space="0" w:color="auto"/>
        <w:right w:val="none" w:sz="0" w:space="0" w:color="auto"/>
      </w:divBdr>
    </w:div>
    <w:div w:id="525414384">
      <w:bodyDiv w:val="1"/>
      <w:marLeft w:val="0"/>
      <w:marRight w:val="0"/>
      <w:marTop w:val="0"/>
      <w:marBottom w:val="0"/>
      <w:divBdr>
        <w:top w:val="none" w:sz="0" w:space="0" w:color="auto"/>
        <w:left w:val="none" w:sz="0" w:space="0" w:color="auto"/>
        <w:bottom w:val="none" w:sz="0" w:space="0" w:color="auto"/>
        <w:right w:val="none" w:sz="0" w:space="0" w:color="auto"/>
      </w:divBdr>
    </w:div>
    <w:div w:id="527916945">
      <w:bodyDiv w:val="1"/>
      <w:marLeft w:val="0"/>
      <w:marRight w:val="0"/>
      <w:marTop w:val="0"/>
      <w:marBottom w:val="0"/>
      <w:divBdr>
        <w:top w:val="none" w:sz="0" w:space="0" w:color="auto"/>
        <w:left w:val="none" w:sz="0" w:space="0" w:color="auto"/>
        <w:bottom w:val="none" w:sz="0" w:space="0" w:color="auto"/>
        <w:right w:val="none" w:sz="0" w:space="0" w:color="auto"/>
      </w:divBdr>
    </w:div>
    <w:div w:id="548876865">
      <w:bodyDiv w:val="1"/>
      <w:marLeft w:val="0"/>
      <w:marRight w:val="0"/>
      <w:marTop w:val="0"/>
      <w:marBottom w:val="0"/>
      <w:divBdr>
        <w:top w:val="none" w:sz="0" w:space="0" w:color="auto"/>
        <w:left w:val="none" w:sz="0" w:space="0" w:color="auto"/>
        <w:bottom w:val="none" w:sz="0" w:space="0" w:color="auto"/>
        <w:right w:val="none" w:sz="0" w:space="0" w:color="auto"/>
      </w:divBdr>
    </w:div>
    <w:div w:id="550046261">
      <w:bodyDiv w:val="1"/>
      <w:marLeft w:val="0"/>
      <w:marRight w:val="0"/>
      <w:marTop w:val="0"/>
      <w:marBottom w:val="0"/>
      <w:divBdr>
        <w:top w:val="none" w:sz="0" w:space="0" w:color="auto"/>
        <w:left w:val="none" w:sz="0" w:space="0" w:color="auto"/>
        <w:bottom w:val="none" w:sz="0" w:space="0" w:color="auto"/>
        <w:right w:val="none" w:sz="0" w:space="0" w:color="auto"/>
      </w:divBdr>
    </w:div>
    <w:div w:id="629632822">
      <w:bodyDiv w:val="1"/>
      <w:marLeft w:val="0"/>
      <w:marRight w:val="0"/>
      <w:marTop w:val="0"/>
      <w:marBottom w:val="0"/>
      <w:divBdr>
        <w:top w:val="none" w:sz="0" w:space="0" w:color="auto"/>
        <w:left w:val="none" w:sz="0" w:space="0" w:color="auto"/>
        <w:bottom w:val="none" w:sz="0" w:space="0" w:color="auto"/>
        <w:right w:val="none" w:sz="0" w:space="0" w:color="auto"/>
      </w:divBdr>
    </w:div>
    <w:div w:id="656151248">
      <w:bodyDiv w:val="1"/>
      <w:marLeft w:val="0"/>
      <w:marRight w:val="0"/>
      <w:marTop w:val="0"/>
      <w:marBottom w:val="0"/>
      <w:divBdr>
        <w:top w:val="none" w:sz="0" w:space="0" w:color="auto"/>
        <w:left w:val="none" w:sz="0" w:space="0" w:color="auto"/>
        <w:bottom w:val="none" w:sz="0" w:space="0" w:color="auto"/>
        <w:right w:val="none" w:sz="0" w:space="0" w:color="auto"/>
      </w:divBdr>
    </w:div>
    <w:div w:id="679740732">
      <w:bodyDiv w:val="1"/>
      <w:marLeft w:val="0"/>
      <w:marRight w:val="0"/>
      <w:marTop w:val="0"/>
      <w:marBottom w:val="0"/>
      <w:divBdr>
        <w:top w:val="none" w:sz="0" w:space="0" w:color="auto"/>
        <w:left w:val="none" w:sz="0" w:space="0" w:color="auto"/>
        <w:bottom w:val="none" w:sz="0" w:space="0" w:color="auto"/>
        <w:right w:val="none" w:sz="0" w:space="0" w:color="auto"/>
      </w:divBdr>
    </w:div>
    <w:div w:id="710225140">
      <w:bodyDiv w:val="1"/>
      <w:marLeft w:val="0"/>
      <w:marRight w:val="0"/>
      <w:marTop w:val="0"/>
      <w:marBottom w:val="0"/>
      <w:divBdr>
        <w:top w:val="none" w:sz="0" w:space="0" w:color="auto"/>
        <w:left w:val="none" w:sz="0" w:space="0" w:color="auto"/>
        <w:bottom w:val="none" w:sz="0" w:space="0" w:color="auto"/>
        <w:right w:val="none" w:sz="0" w:space="0" w:color="auto"/>
      </w:divBdr>
    </w:div>
    <w:div w:id="771781143">
      <w:bodyDiv w:val="1"/>
      <w:marLeft w:val="0"/>
      <w:marRight w:val="0"/>
      <w:marTop w:val="0"/>
      <w:marBottom w:val="0"/>
      <w:divBdr>
        <w:top w:val="none" w:sz="0" w:space="0" w:color="auto"/>
        <w:left w:val="none" w:sz="0" w:space="0" w:color="auto"/>
        <w:bottom w:val="none" w:sz="0" w:space="0" w:color="auto"/>
        <w:right w:val="none" w:sz="0" w:space="0" w:color="auto"/>
      </w:divBdr>
    </w:div>
    <w:div w:id="842160838">
      <w:bodyDiv w:val="1"/>
      <w:marLeft w:val="0"/>
      <w:marRight w:val="0"/>
      <w:marTop w:val="0"/>
      <w:marBottom w:val="0"/>
      <w:divBdr>
        <w:top w:val="none" w:sz="0" w:space="0" w:color="auto"/>
        <w:left w:val="none" w:sz="0" w:space="0" w:color="auto"/>
        <w:bottom w:val="none" w:sz="0" w:space="0" w:color="auto"/>
        <w:right w:val="none" w:sz="0" w:space="0" w:color="auto"/>
      </w:divBdr>
      <w:divsChild>
        <w:div w:id="960692375">
          <w:marLeft w:val="0"/>
          <w:marRight w:val="0"/>
          <w:marTop w:val="0"/>
          <w:marBottom w:val="0"/>
          <w:divBdr>
            <w:top w:val="none" w:sz="0" w:space="0" w:color="auto"/>
            <w:left w:val="none" w:sz="0" w:space="0" w:color="auto"/>
            <w:bottom w:val="none" w:sz="0" w:space="0" w:color="auto"/>
            <w:right w:val="none" w:sz="0" w:space="0" w:color="auto"/>
          </w:divBdr>
          <w:divsChild>
            <w:div w:id="1927491692">
              <w:marLeft w:val="0"/>
              <w:marRight w:val="0"/>
              <w:marTop w:val="0"/>
              <w:marBottom w:val="0"/>
              <w:divBdr>
                <w:top w:val="none" w:sz="0" w:space="0" w:color="auto"/>
                <w:left w:val="none" w:sz="0" w:space="0" w:color="auto"/>
                <w:bottom w:val="none" w:sz="0" w:space="0" w:color="auto"/>
                <w:right w:val="none" w:sz="0" w:space="0" w:color="auto"/>
              </w:divBdr>
              <w:divsChild>
                <w:div w:id="728843939">
                  <w:marLeft w:val="0"/>
                  <w:marRight w:val="0"/>
                  <w:marTop w:val="0"/>
                  <w:marBottom w:val="0"/>
                  <w:divBdr>
                    <w:top w:val="none" w:sz="0" w:space="0" w:color="auto"/>
                    <w:left w:val="none" w:sz="0" w:space="0" w:color="auto"/>
                    <w:bottom w:val="none" w:sz="0" w:space="0" w:color="auto"/>
                    <w:right w:val="none" w:sz="0" w:space="0" w:color="auto"/>
                  </w:divBdr>
                  <w:divsChild>
                    <w:div w:id="11034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3373">
          <w:marLeft w:val="0"/>
          <w:marRight w:val="0"/>
          <w:marTop w:val="0"/>
          <w:marBottom w:val="0"/>
          <w:divBdr>
            <w:top w:val="none" w:sz="0" w:space="0" w:color="auto"/>
            <w:left w:val="none" w:sz="0" w:space="0" w:color="auto"/>
            <w:bottom w:val="none" w:sz="0" w:space="0" w:color="auto"/>
            <w:right w:val="none" w:sz="0" w:space="0" w:color="auto"/>
          </w:divBdr>
          <w:divsChild>
            <w:div w:id="1134059943">
              <w:marLeft w:val="0"/>
              <w:marRight w:val="0"/>
              <w:marTop w:val="0"/>
              <w:marBottom w:val="0"/>
              <w:divBdr>
                <w:top w:val="none" w:sz="0" w:space="0" w:color="auto"/>
                <w:left w:val="none" w:sz="0" w:space="0" w:color="auto"/>
                <w:bottom w:val="none" w:sz="0" w:space="0" w:color="auto"/>
                <w:right w:val="none" w:sz="0" w:space="0" w:color="auto"/>
              </w:divBdr>
              <w:divsChild>
                <w:div w:id="523902750">
                  <w:marLeft w:val="0"/>
                  <w:marRight w:val="0"/>
                  <w:marTop w:val="0"/>
                  <w:marBottom w:val="0"/>
                  <w:divBdr>
                    <w:top w:val="none" w:sz="0" w:space="0" w:color="auto"/>
                    <w:left w:val="none" w:sz="0" w:space="0" w:color="auto"/>
                    <w:bottom w:val="none" w:sz="0" w:space="0" w:color="auto"/>
                    <w:right w:val="none" w:sz="0" w:space="0" w:color="auto"/>
                  </w:divBdr>
                  <w:divsChild>
                    <w:div w:id="91173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359">
          <w:marLeft w:val="0"/>
          <w:marRight w:val="0"/>
          <w:marTop w:val="0"/>
          <w:marBottom w:val="0"/>
          <w:divBdr>
            <w:top w:val="none" w:sz="0" w:space="0" w:color="auto"/>
            <w:left w:val="none" w:sz="0" w:space="0" w:color="auto"/>
            <w:bottom w:val="none" w:sz="0" w:space="0" w:color="auto"/>
            <w:right w:val="none" w:sz="0" w:space="0" w:color="auto"/>
          </w:divBdr>
          <w:divsChild>
            <w:div w:id="798914346">
              <w:marLeft w:val="0"/>
              <w:marRight w:val="0"/>
              <w:marTop w:val="0"/>
              <w:marBottom w:val="0"/>
              <w:divBdr>
                <w:top w:val="none" w:sz="0" w:space="0" w:color="auto"/>
                <w:left w:val="none" w:sz="0" w:space="0" w:color="auto"/>
                <w:bottom w:val="none" w:sz="0" w:space="0" w:color="auto"/>
                <w:right w:val="none" w:sz="0" w:space="0" w:color="auto"/>
              </w:divBdr>
            </w:div>
          </w:divsChild>
        </w:div>
        <w:div w:id="1187404905">
          <w:marLeft w:val="0"/>
          <w:marRight w:val="0"/>
          <w:marTop w:val="0"/>
          <w:marBottom w:val="0"/>
          <w:divBdr>
            <w:top w:val="none" w:sz="0" w:space="0" w:color="auto"/>
            <w:left w:val="none" w:sz="0" w:space="0" w:color="auto"/>
            <w:bottom w:val="none" w:sz="0" w:space="0" w:color="auto"/>
            <w:right w:val="none" w:sz="0" w:space="0" w:color="auto"/>
          </w:divBdr>
          <w:divsChild>
            <w:div w:id="2083527764">
              <w:marLeft w:val="0"/>
              <w:marRight w:val="0"/>
              <w:marTop w:val="0"/>
              <w:marBottom w:val="0"/>
              <w:divBdr>
                <w:top w:val="none" w:sz="0" w:space="0" w:color="auto"/>
                <w:left w:val="none" w:sz="0" w:space="0" w:color="auto"/>
                <w:bottom w:val="none" w:sz="0" w:space="0" w:color="auto"/>
                <w:right w:val="none" w:sz="0" w:space="0" w:color="auto"/>
              </w:divBdr>
            </w:div>
          </w:divsChild>
        </w:div>
        <w:div w:id="1249264915">
          <w:marLeft w:val="0"/>
          <w:marRight w:val="0"/>
          <w:marTop w:val="0"/>
          <w:marBottom w:val="0"/>
          <w:divBdr>
            <w:top w:val="none" w:sz="0" w:space="0" w:color="auto"/>
            <w:left w:val="none" w:sz="0" w:space="0" w:color="auto"/>
            <w:bottom w:val="none" w:sz="0" w:space="0" w:color="auto"/>
            <w:right w:val="none" w:sz="0" w:space="0" w:color="auto"/>
          </w:divBdr>
          <w:divsChild>
            <w:div w:id="1302074439">
              <w:marLeft w:val="0"/>
              <w:marRight w:val="0"/>
              <w:marTop w:val="0"/>
              <w:marBottom w:val="0"/>
              <w:divBdr>
                <w:top w:val="none" w:sz="0" w:space="0" w:color="auto"/>
                <w:left w:val="none" w:sz="0" w:space="0" w:color="auto"/>
                <w:bottom w:val="none" w:sz="0" w:space="0" w:color="auto"/>
                <w:right w:val="none" w:sz="0" w:space="0" w:color="auto"/>
              </w:divBdr>
            </w:div>
            <w:div w:id="1995447713">
              <w:marLeft w:val="0"/>
              <w:marRight w:val="0"/>
              <w:marTop w:val="0"/>
              <w:marBottom w:val="0"/>
              <w:divBdr>
                <w:top w:val="none" w:sz="0" w:space="0" w:color="auto"/>
                <w:left w:val="none" w:sz="0" w:space="0" w:color="auto"/>
                <w:bottom w:val="none" w:sz="0" w:space="0" w:color="auto"/>
                <w:right w:val="none" w:sz="0" w:space="0" w:color="auto"/>
              </w:divBdr>
            </w:div>
          </w:divsChild>
        </w:div>
        <w:div w:id="1213616922">
          <w:marLeft w:val="0"/>
          <w:marRight w:val="0"/>
          <w:marTop w:val="0"/>
          <w:marBottom w:val="0"/>
          <w:divBdr>
            <w:top w:val="none" w:sz="0" w:space="0" w:color="auto"/>
            <w:left w:val="none" w:sz="0" w:space="0" w:color="auto"/>
            <w:bottom w:val="none" w:sz="0" w:space="0" w:color="auto"/>
            <w:right w:val="none" w:sz="0" w:space="0" w:color="auto"/>
          </w:divBdr>
          <w:divsChild>
            <w:div w:id="1697270724">
              <w:marLeft w:val="0"/>
              <w:marRight w:val="0"/>
              <w:marTop w:val="0"/>
              <w:marBottom w:val="0"/>
              <w:divBdr>
                <w:top w:val="none" w:sz="0" w:space="0" w:color="auto"/>
                <w:left w:val="none" w:sz="0" w:space="0" w:color="auto"/>
                <w:bottom w:val="none" w:sz="0" w:space="0" w:color="auto"/>
                <w:right w:val="none" w:sz="0" w:space="0" w:color="auto"/>
              </w:divBdr>
              <w:divsChild>
                <w:div w:id="199392205">
                  <w:marLeft w:val="0"/>
                  <w:marRight w:val="0"/>
                  <w:marTop w:val="0"/>
                  <w:marBottom w:val="0"/>
                  <w:divBdr>
                    <w:top w:val="none" w:sz="0" w:space="0" w:color="auto"/>
                    <w:left w:val="none" w:sz="0" w:space="0" w:color="auto"/>
                    <w:bottom w:val="none" w:sz="0" w:space="0" w:color="auto"/>
                    <w:right w:val="none" w:sz="0" w:space="0" w:color="auto"/>
                  </w:divBdr>
                  <w:divsChild>
                    <w:div w:id="322588014">
                      <w:marLeft w:val="0"/>
                      <w:marRight w:val="0"/>
                      <w:marTop w:val="0"/>
                      <w:marBottom w:val="0"/>
                      <w:divBdr>
                        <w:top w:val="none" w:sz="0" w:space="0" w:color="auto"/>
                        <w:left w:val="none" w:sz="0" w:space="0" w:color="auto"/>
                        <w:bottom w:val="none" w:sz="0" w:space="0" w:color="auto"/>
                        <w:right w:val="none" w:sz="0" w:space="0" w:color="auto"/>
                      </w:divBdr>
                    </w:div>
                  </w:divsChild>
                </w:div>
                <w:div w:id="1593321517">
                  <w:marLeft w:val="0"/>
                  <w:marRight w:val="0"/>
                  <w:marTop w:val="0"/>
                  <w:marBottom w:val="0"/>
                  <w:divBdr>
                    <w:top w:val="none" w:sz="0" w:space="0" w:color="auto"/>
                    <w:left w:val="none" w:sz="0" w:space="0" w:color="auto"/>
                    <w:bottom w:val="none" w:sz="0" w:space="0" w:color="auto"/>
                    <w:right w:val="none" w:sz="0" w:space="0" w:color="auto"/>
                  </w:divBdr>
                  <w:divsChild>
                    <w:div w:id="712266146">
                      <w:marLeft w:val="0"/>
                      <w:marRight w:val="0"/>
                      <w:marTop w:val="0"/>
                      <w:marBottom w:val="0"/>
                      <w:divBdr>
                        <w:top w:val="none" w:sz="0" w:space="0" w:color="auto"/>
                        <w:left w:val="none" w:sz="0" w:space="0" w:color="auto"/>
                        <w:bottom w:val="none" w:sz="0" w:space="0" w:color="auto"/>
                        <w:right w:val="none" w:sz="0" w:space="0" w:color="auto"/>
                      </w:divBdr>
                      <w:divsChild>
                        <w:div w:id="799614055">
                          <w:marLeft w:val="0"/>
                          <w:marRight w:val="0"/>
                          <w:marTop w:val="0"/>
                          <w:marBottom w:val="0"/>
                          <w:divBdr>
                            <w:top w:val="none" w:sz="0" w:space="0" w:color="auto"/>
                            <w:left w:val="none" w:sz="0" w:space="0" w:color="auto"/>
                            <w:bottom w:val="none" w:sz="0" w:space="0" w:color="auto"/>
                            <w:right w:val="none" w:sz="0" w:space="0" w:color="auto"/>
                          </w:divBdr>
                          <w:divsChild>
                            <w:div w:id="865211391">
                              <w:marLeft w:val="0"/>
                              <w:marRight w:val="0"/>
                              <w:marTop w:val="0"/>
                              <w:marBottom w:val="0"/>
                              <w:divBdr>
                                <w:top w:val="none" w:sz="0" w:space="0" w:color="auto"/>
                                <w:left w:val="none" w:sz="0" w:space="0" w:color="auto"/>
                                <w:bottom w:val="none" w:sz="0" w:space="0" w:color="auto"/>
                                <w:right w:val="none" w:sz="0" w:space="0" w:color="auto"/>
                              </w:divBdr>
                              <w:divsChild>
                                <w:div w:id="5737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1794">
                          <w:marLeft w:val="0"/>
                          <w:marRight w:val="0"/>
                          <w:marTop w:val="0"/>
                          <w:marBottom w:val="0"/>
                          <w:divBdr>
                            <w:top w:val="none" w:sz="0" w:space="0" w:color="auto"/>
                            <w:left w:val="none" w:sz="0" w:space="0" w:color="auto"/>
                            <w:bottom w:val="none" w:sz="0" w:space="0" w:color="auto"/>
                            <w:right w:val="none" w:sz="0" w:space="0" w:color="auto"/>
                          </w:divBdr>
                          <w:divsChild>
                            <w:div w:id="756364586">
                              <w:marLeft w:val="0"/>
                              <w:marRight w:val="0"/>
                              <w:marTop w:val="0"/>
                              <w:marBottom w:val="0"/>
                              <w:divBdr>
                                <w:top w:val="none" w:sz="0" w:space="0" w:color="auto"/>
                                <w:left w:val="none" w:sz="0" w:space="0" w:color="auto"/>
                                <w:bottom w:val="none" w:sz="0" w:space="0" w:color="auto"/>
                                <w:right w:val="none" w:sz="0" w:space="0" w:color="auto"/>
                              </w:divBdr>
                              <w:divsChild>
                                <w:div w:id="1510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444">
                          <w:marLeft w:val="0"/>
                          <w:marRight w:val="0"/>
                          <w:marTop w:val="0"/>
                          <w:marBottom w:val="0"/>
                          <w:divBdr>
                            <w:top w:val="none" w:sz="0" w:space="0" w:color="auto"/>
                            <w:left w:val="none" w:sz="0" w:space="0" w:color="auto"/>
                            <w:bottom w:val="none" w:sz="0" w:space="0" w:color="auto"/>
                            <w:right w:val="none" w:sz="0" w:space="0" w:color="auto"/>
                          </w:divBdr>
                          <w:divsChild>
                            <w:div w:id="1107459838">
                              <w:marLeft w:val="0"/>
                              <w:marRight w:val="0"/>
                              <w:marTop w:val="0"/>
                              <w:marBottom w:val="0"/>
                              <w:divBdr>
                                <w:top w:val="none" w:sz="0" w:space="0" w:color="auto"/>
                                <w:left w:val="none" w:sz="0" w:space="0" w:color="auto"/>
                                <w:bottom w:val="none" w:sz="0" w:space="0" w:color="auto"/>
                                <w:right w:val="none" w:sz="0" w:space="0" w:color="auto"/>
                              </w:divBdr>
                              <w:divsChild>
                                <w:div w:id="16158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84606">
      <w:bodyDiv w:val="1"/>
      <w:marLeft w:val="0"/>
      <w:marRight w:val="0"/>
      <w:marTop w:val="0"/>
      <w:marBottom w:val="0"/>
      <w:divBdr>
        <w:top w:val="none" w:sz="0" w:space="0" w:color="auto"/>
        <w:left w:val="none" w:sz="0" w:space="0" w:color="auto"/>
        <w:bottom w:val="none" w:sz="0" w:space="0" w:color="auto"/>
        <w:right w:val="none" w:sz="0" w:space="0" w:color="auto"/>
      </w:divBdr>
    </w:div>
    <w:div w:id="892498696">
      <w:bodyDiv w:val="1"/>
      <w:marLeft w:val="0"/>
      <w:marRight w:val="0"/>
      <w:marTop w:val="0"/>
      <w:marBottom w:val="0"/>
      <w:divBdr>
        <w:top w:val="none" w:sz="0" w:space="0" w:color="auto"/>
        <w:left w:val="none" w:sz="0" w:space="0" w:color="auto"/>
        <w:bottom w:val="none" w:sz="0" w:space="0" w:color="auto"/>
        <w:right w:val="none" w:sz="0" w:space="0" w:color="auto"/>
      </w:divBdr>
    </w:div>
    <w:div w:id="907765767">
      <w:bodyDiv w:val="1"/>
      <w:marLeft w:val="0"/>
      <w:marRight w:val="0"/>
      <w:marTop w:val="0"/>
      <w:marBottom w:val="0"/>
      <w:divBdr>
        <w:top w:val="none" w:sz="0" w:space="0" w:color="auto"/>
        <w:left w:val="none" w:sz="0" w:space="0" w:color="auto"/>
        <w:bottom w:val="none" w:sz="0" w:space="0" w:color="auto"/>
        <w:right w:val="none" w:sz="0" w:space="0" w:color="auto"/>
      </w:divBdr>
    </w:div>
    <w:div w:id="912473610">
      <w:bodyDiv w:val="1"/>
      <w:marLeft w:val="0"/>
      <w:marRight w:val="0"/>
      <w:marTop w:val="0"/>
      <w:marBottom w:val="0"/>
      <w:divBdr>
        <w:top w:val="none" w:sz="0" w:space="0" w:color="auto"/>
        <w:left w:val="none" w:sz="0" w:space="0" w:color="auto"/>
        <w:bottom w:val="none" w:sz="0" w:space="0" w:color="auto"/>
        <w:right w:val="none" w:sz="0" w:space="0" w:color="auto"/>
      </w:divBdr>
    </w:div>
    <w:div w:id="995575408">
      <w:bodyDiv w:val="1"/>
      <w:marLeft w:val="0"/>
      <w:marRight w:val="0"/>
      <w:marTop w:val="0"/>
      <w:marBottom w:val="0"/>
      <w:divBdr>
        <w:top w:val="none" w:sz="0" w:space="0" w:color="auto"/>
        <w:left w:val="none" w:sz="0" w:space="0" w:color="auto"/>
        <w:bottom w:val="none" w:sz="0" w:space="0" w:color="auto"/>
        <w:right w:val="none" w:sz="0" w:space="0" w:color="auto"/>
      </w:divBdr>
      <w:divsChild>
        <w:div w:id="1094860005">
          <w:marLeft w:val="0"/>
          <w:marRight w:val="0"/>
          <w:marTop w:val="0"/>
          <w:marBottom w:val="0"/>
          <w:divBdr>
            <w:top w:val="none" w:sz="0" w:space="0" w:color="auto"/>
            <w:left w:val="none" w:sz="0" w:space="0" w:color="auto"/>
            <w:bottom w:val="none" w:sz="0" w:space="0" w:color="auto"/>
            <w:right w:val="none" w:sz="0" w:space="0" w:color="auto"/>
          </w:divBdr>
          <w:divsChild>
            <w:div w:id="106505570">
              <w:marLeft w:val="0"/>
              <w:marRight w:val="0"/>
              <w:marTop w:val="0"/>
              <w:marBottom w:val="0"/>
              <w:divBdr>
                <w:top w:val="none" w:sz="0" w:space="0" w:color="auto"/>
                <w:left w:val="none" w:sz="0" w:space="0" w:color="auto"/>
                <w:bottom w:val="none" w:sz="0" w:space="0" w:color="auto"/>
                <w:right w:val="none" w:sz="0" w:space="0" w:color="auto"/>
              </w:divBdr>
              <w:divsChild>
                <w:div w:id="11235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08795">
      <w:bodyDiv w:val="1"/>
      <w:marLeft w:val="0"/>
      <w:marRight w:val="0"/>
      <w:marTop w:val="0"/>
      <w:marBottom w:val="0"/>
      <w:divBdr>
        <w:top w:val="none" w:sz="0" w:space="0" w:color="auto"/>
        <w:left w:val="none" w:sz="0" w:space="0" w:color="auto"/>
        <w:bottom w:val="none" w:sz="0" w:space="0" w:color="auto"/>
        <w:right w:val="none" w:sz="0" w:space="0" w:color="auto"/>
      </w:divBdr>
    </w:div>
    <w:div w:id="1098451633">
      <w:bodyDiv w:val="1"/>
      <w:marLeft w:val="0"/>
      <w:marRight w:val="0"/>
      <w:marTop w:val="0"/>
      <w:marBottom w:val="0"/>
      <w:divBdr>
        <w:top w:val="none" w:sz="0" w:space="0" w:color="auto"/>
        <w:left w:val="none" w:sz="0" w:space="0" w:color="auto"/>
        <w:bottom w:val="none" w:sz="0" w:space="0" w:color="auto"/>
        <w:right w:val="none" w:sz="0" w:space="0" w:color="auto"/>
      </w:divBdr>
    </w:div>
    <w:div w:id="1101951958">
      <w:bodyDiv w:val="1"/>
      <w:marLeft w:val="0"/>
      <w:marRight w:val="0"/>
      <w:marTop w:val="0"/>
      <w:marBottom w:val="0"/>
      <w:divBdr>
        <w:top w:val="none" w:sz="0" w:space="0" w:color="auto"/>
        <w:left w:val="none" w:sz="0" w:space="0" w:color="auto"/>
        <w:bottom w:val="none" w:sz="0" w:space="0" w:color="auto"/>
        <w:right w:val="none" w:sz="0" w:space="0" w:color="auto"/>
      </w:divBdr>
    </w:div>
    <w:div w:id="1164279475">
      <w:bodyDiv w:val="1"/>
      <w:marLeft w:val="0"/>
      <w:marRight w:val="0"/>
      <w:marTop w:val="0"/>
      <w:marBottom w:val="0"/>
      <w:divBdr>
        <w:top w:val="none" w:sz="0" w:space="0" w:color="auto"/>
        <w:left w:val="none" w:sz="0" w:space="0" w:color="auto"/>
        <w:bottom w:val="none" w:sz="0" w:space="0" w:color="auto"/>
        <w:right w:val="none" w:sz="0" w:space="0" w:color="auto"/>
      </w:divBdr>
      <w:divsChild>
        <w:div w:id="1139036568">
          <w:marLeft w:val="0"/>
          <w:marRight w:val="0"/>
          <w:marTop w:val="0"/>
          <w:marBottom w:val="0"/>
          <w:divBdr>
            <w:top w:val="none" w:sz="0" w:space="0" w:color="auto"/>
            <w:left w:val="none" w:sz="0" w:space="0" w:color="auto"/>
            <w:bottom w:val="none" w:sz="0" w:space="0" w:color="auto"/>
            <w:right w:val="none" w:sz="0" w:space="0" w:color="auto"/>
          </w:divBdr>
          <w:divsChild>
            <w:div w:id="514810004">
              <w:marLeft w:val="0"/>
              <w:marRight w:val="0"/>
              <w:marTop w:val="0"/>
              <w:marBottom w:val="0"/>
              <w:divBdr>
                <w:top w:val="none" w:sz="0" w:space="0" w:color="auto"/>
                <w:left w:val="none" w:sz="0" w:space="0" w:color="auto"/>
                <w:bottom w:val="none" w:sz="0" w:space="0" w:color="auto"/>
                <w:right w:val="none" w:sz="0" w:space="0" w:color="auto"/>
              </w:divBdr>
              <w:divsChild>
                <w:div w:id="10785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431803">
      <w:bodyDiv w:val="1"/>
      <w:marLeft w:val="0"/>
      <w:marRight w:val="0"/>
      <w:marTop w:val="0"/>
      <w:marBottom w:val="0"/>
      <w:divBdr>
        <w:top w:val="none" w:sz="0" w:space="0" w:color="auto"/>
        <w:left w:val="none" w:sz="0" w:space="0" w:color="auto"/>
        <w:bottom w:val="none" w:sz="0" w:space="0" w:color="auto"/>
        <w:right w:val="none" w:sz="0" w:space="0" w:color="auto"/>
      </w:divBdr>
    </w:div>
    <w:div w:id="1292789342">
      <w:bodyDiv w:val="1"/>
      <w:marLeft w:val="0"/>
      <w:marRight w:val="0"/>
      <w:marTop w:val="0"/>
      <w:marBottom w:val="0"/>
      <w:divBdr>
        <w:top w:val="none" w:sz="0" w:space="0" w:color="auto"/>
        <w:left w:val="none" w:sz="0" w:space="0" w:color="auto"/>
        <w:bottom w:val="none" w:sz="0" w:space="0" w:color="auto"/>
        <w:right w:val="none" w:sz="0" w:space="0" w:color="auto"/>
      </w:divBdr>
      <w:divsChild>
        <w:div w:id="141776041">
          <w:marLeft w:val="0"/>
          <w:marRight w:val="0"/>
          <w:marTop w:val="0"/>
          <w:marBottom w:val="0"/>
          <w:divBdr>
            <w:top w:val="none" w:sz="0" w:space="0" w:color="auto"/>
            <w:left w:val="none" w:sz="0" w:space="0" w:color="auto"/>
            <w:bottom w:val="none" w:sz="0" w:space="0" w:color="auto"/>
            <w:right w:val="none" w:sz="0" w:space="0" w:color="auto"/>
          </w:divBdr>
        </w:div>
        <w:div w:id="2117095602">
          <w:marLeft w:val="0"/>
          <w:marRight w:val="0"/>
          <w:marTop w:val="0"/>
          <w:marBottom w:val="0"/>
          <w:divBdr>
            <w:top w:val="none" w:sz="0" w:space="0" w:color="auto"/>
            <w:left w:val="none" w:sz="0" w:space="0" w:color="auto"/>
            <w:bottom w:val="none" w:sz="0" w:space="0" w:color="auto"/>
            <w:right w:val="none" w:sz="0" w:space="0" w:color="auto"/>
          </w:divBdr>
        </w:div>
      </w:divsChild>
    </w:div>
    <w:div w:id="1392658647">
      <w:bodyDiv w:val="1"/>
      <w:marLeft w:val="0"/>
      <w:marRight w:val="0"/>
      <w:marTop w:val="0"/>
      <w:marBottom w:val="0"/>
      <w:divBdr>
        <w:top w:val="none" w:sz="0" w:space="0" w:color="auto"/>
        <w:left w:val="none" w:sz="0" w:space="0" w:color="auto"/>
        <w:bottom w:val="none" w:sz="0" w:space="0" w:color="auto"/>
        <w:right w:val="none" w:sz="0" w:space="0" w:color="auto"/>
      </w:divBdr>
    </w:div>
    <w:div w:id="1401754834">
      <w:bodyDiv w:val="1"/>
      <w:marLeft w:val="0"/>
      <w:marRight w:val="0"/>
      <w:marTop w:val="0"/>
      <w:marBottom w:val="0"/>
      <w:divBdr>
        <w:top w:val="none" w:sz="0" w:space="0" w:color="auto"/>
        <w:left w:val="none" w:sz="0" w:space="0" w:color="auto"/>
        <w:bottom w:val="none" w:sz="0" w:space="0" w:color="auto"/>
        <w:right w:val="none" w:sz="0" w:space="0" w:color="auto"/>
      </w:divBdr>
      <w:divsChild>
        <w:div w:id="89594245">
          <w:marLeft w:val="0"/>
          <w:marRight w:val="0"/>
          <w:marTop w:val="0"/>
          <w:marBottom w:val="0"/>
          <w:divBdr>
            <w:top w:val="none" w:sz="0" w:space="0" w:color="auto"/>
            <w:left w:val="none" w:sz="0" w:space="0" w:color="auto"/>
            <w:bottom w:val="none" w:sz="0" w:space="0" w:color="auto"/>
            <w:right w:val="none" w:sz="0" w:space="0" w:color="auto"/>
          </w:divBdr>
          <w:divsChild>
            <w:div w:id="914128258">
              <w:marLeft w:val="0"/>
              <w:marRight w:val="0"/>
              <w:marTop w:val="0"/>
              <w:marBottom w:val="0"/>
              <w:divBdr>
                <w:top w:val="none" w:sz="0" w:space="0" w:color="auto"/>
                <w:left w:val="none" w:sz="0" w:space="0" w:color="auto"/>
                <w:bottom w:val="none" w:sz="0" w:space="0" w:color="auto"/>
                <w:right w:val="none" w:sz="0" w:space="0" w:color="auto"/>
              </w:divBdr>
            </w:div>
          </w:divsChild>
        </w:div>
        <w:div w:id="1618827085">
          <w:marLeft w:val="0"/>
          <w:marRight w:val="0"/>
          <w:marTop w:val="0"/>
          <w:marBottom w:val="0"/>
          <w:divBdr>
            <w:top w:val="none" w:sz="0" w:space="0" w:color="auto"/>
            <w:left w:val="none" w:sz="0" w:space="0" w:color="auto"/>
            <w:bottom w:val="none" w:sz="0" w:space="0" w:color="auto"/>
            <w:right w:val="none" w:sz="0" w:space="0" w:color="auto"/>
          </w:divBdr>
          <w:divsChild>
            <w:div w:id="4323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250">
      <w:bodyDiv w:val="1"/>
      <w:marLeft w:val="0"/>
      <w:marRight w:val="0"/>
      <w:marTop w:val="0"/>
      <w:marBottom w:val="0"/>
      <w:divBdr>
        <w:top w:val="none" w:sz="0" w:space="0" w:color="auto"/>
        <w:left w:val="none" w:sz="0" w:space="0" w:color="auto"/>
        <w:bottom w:val="none" w:sz="0" w:space="0" w:color="auto"/>
        <w:right w:val="none" w:sz="0" w:space="0" w:color="auto"/>
      </w:divBdr>
    </w:div>
    <w:div w:id="1452548876">
      <w:bodyDiv w:val="1"/>
      <w:marLeft w:val="0"/>
      <w:marRight w:val="0"/>
      <w:marTop w:val="0"/>
      <w:marBottom w:val="0"/>
      <w:divBdr>
        <w:top w:val="none" w:sz="0" w:space="0" w:color="auto"/>
        <w:left w:val="none" w:sz="0" w:space="0" w:color="auto"/>
        <w:bottom w:val="none" w:sz="0" w:space="0" w:color="auto"/>
        <w:right w:val="none" w:sz="0" w:space="0" w:color="auto"/>
      </w:divBdr>
    </w:div>
    <w:div w:id="1671910567">
      <w:bodyDiv w:val="1"/>
      <w:marLeft w:val="0"/>
      <w:marRight w:val="0"/>
      <w:marTop w:val="0"/>
      <w:marBottom w:val="0"/>
      <w:divBdr>
        <w:top w:val="none" w:sz="0" w:space="0" w:color="auto"/>
        <w:left w:val="none" w:sz="0" w:space="0" w:color="auto"/>
        <w:bottom w:val="none" w:sz="0" w:space="0" w:color="auto"/>
        <w:right w:val="none" w:sz="0" w:space="0" w:color="auto"/>
      </w:divBdr>
    </w:div>
    <w:div w:id="1824153026">
      <w:bodyDiv w:val="1"/>
      <w:marLeft w:val="0"/>
      <w:marRight w:val="0"/>
      <w:marTop w:val="0"/>
      <w:marBottom w:val="0"/>
      <w:divBdr>
        <w:top w:val="none" w:sz="0" w:space="0" w:color="auto"/>
        <w:left w:val="none" w:sz="0" w:space="0" w:color="auto"/>
        <w:bottom w:val="none" w:sz="0" w:space="0" w:color="auto"/>
        <w:right w:val="none" w:sz="0" w:space="0" w:color="auto"/>
      </w:divBdr>
      <w:divsChild>
        <w:div w:id="1530995277">
          <w:marLeft w:val="0"/>
          <w:marRight w:val="0"/>
          <w:marTop w:val="0"/>
          <w:marBottom w:val="0"/>
          <w:divBdr>
            <w:top w:val="none" w:sz="0" w:space="0" w:color="auto"/>
            <w:left w:val="none" w:sz="0" w:space="0" w:color="auto"/>
            <w:bottom w:val="none" w:sz="0" w:space="0" w:color="auto"/>
            <w:right w:val="none" w:sz="0" w:space="0" w:color="auto"/>
          </w:divBdr>
          <w:divsChild>
            <w:div w:id="824929620">
              <w:marLeft w:val="0"/>
              <w:marRight w:val="0"/>
              <w:marTop w:val="0"/>
              <w:marBottom w:val="0"/>
              <w:divBdr>
                <w:top w:val="none" w:sz="0" w:space="0" w:color="auto"/>
                <w:left w:val="none" w:sz="0" w:space="0" w:color="auto"/>
                <w:bottom w:val="none" w:sz="0" w:space="0" w:color="auto"/>
                <w:right w:val="none" w:sz="0" w:space="0" w:color="auto"/>
              </w:divBdr>
              <w:divsChild>
                <w:div w:id="1610357195">
                  <w:marLeft w:val="0"/>
                  <w:marRight w:val="0"/>
                  <w:marTop w:val="0"/>
                  <w:marBottom w:val="0"/>
                  <w:divBdr>
                    <w:top w:val="none" w:sz="0" w:space="0" w:color="auto"/>
                    <w:left w:val="none" w:sz="0" w:space="0" w:color="auto"/>
                    <w:bottom w:val="none" w:sz="0" w:space="0" w:color="auto"/>
                    <w:right w:val="none" w:sz="0" w:space="0" w:color="auto"/>
                  </w:divBdr>
                </w:div>
                <w:div w:id="5288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51247">
      <w:bodyDiv w:val="1"/>
      <w:marLeft w:val="0"/>
      <w:marRight w:val="0"/>
      <w:marTop w:val="0"/>
      <w:marBottom w:val="0"/>
      <w:divBdr>
        <w:top w:val="none" w:sz="0" w:space="0" w:color="auto"/>
        <w:left w:val="none" w:sz="0" w:space="0" w:color="auto"/>
        <w:bottom w:val="none" w:sz="0" w:space="0" w:color="auto"/>
        <w:right w:val="none" w:sz="0" w:space="0" w:color="auto"/>
      </w:divBdr>
    </w:div>
    <w:div w:id="2061248449">
      <w:bodyDiv w:val="1"/>
      <w:marLeft w:val="0"/>
      <w:marRight w:val="0"/>
      <w:marTop w:val="0"/>
      <w:marBottom w:val="0"/>
      <w:divBdr>
        <w:top w:val="none" w:sz="0" w:space="0" w:color="auto"/>
        <w:left w:val="none" w:sz="0" w:space="0" w:color="auto"/>
        <w:bottom w:val="none" w:sz="0" w:space="0" w:color="auto"/>
        <w:right w:val="none" w:sz="0" w:space="0" w:color="auto"/>
      </w:divBdr>
    </w:div>
    <w:div w:id="2107996816">
      <w:bodyDiv w:val="1"/>
      <w:marLeft w:val="0"/>
      <w:marRight w:val="0"/>
      <w:marTop w:val="0"/>
      <w:marBottom w:val="0"/>
      <w:divBdr>
        <w:top w:val="none" w:sz="0" w:space="0" w:color="auto"/>
        <w:left w:val="none" w:sz="0" w:space="0" w:color="auto"/>
        <w:bottom w:val="none" w:sz="0" w:space="0" w:color="auto"/>
        <w:right w:val="none" w:sz="0" w:space="0" w:color="auto"/>
      </w:divBdr>
    </w:div>
    <w:div w:id="2126540848">
      <w:bodyDiv w:val="1"/>
      <w:marLeft w:val="0"/>
      <w:marRight w:val="0"/>
      <w:marTop w:val="0"/>
      <w:marBottom w:val="0"/>
      <w:divBdr>
        <w:top w:val="none" w:sz="0" w:space="0" w:color="auto"/>
        <w:left w:val="none" w:sz="0" w:space="0" w:color="auto"/>
        <w:bottom w:val="none" w:sz="0" w:space="0" w:color="auto"/>
        <w:right w:val="none" w:sz="0" w:space="0" w:color="auto"/>
      </w:divBdr>
      <w:divsChild>
        <w:div w:id="617831678">
          <w:marLeft w:val="0"/>
          <w:marRight w:val="0"/>
          <w:marTop w:val="0"/>
          <w:marBottom w:val="0"/>
          <w:divBdr>
            <w:top w:val="none" w:sz="0" w:space="0" w:color="auto"/>
            <w:left w:val="none" w:sz="0" w:space="0" w:color="auto"/>
            <w:bottom w:val="none" w:sz="0" w:space="0" w:color="auto"/>
            <w:right w:val="none" w:sz="0" w:space="0" w:color="auto"/>
          </w:divBdr>
        </w:div>
        <w:div w:id="28049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900BF-72D9-45BE-AA70-8E4D8A37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13192</Words>
  <Characters>75198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 Трошански</dc:creator>
  <cp:lastModifiedBy>Kalina</cp:lastModifiedBy>
  <cp:revision>8</cp:revision>
  <cp:lastPrinted>2019-01-18T13:54:00Z</cp:lastPrinted>
  <dcterms:created xsi:type="dcterms:W3CDTF">2019-05-17T16:33:00Z</dcterms:created>
  <dcterms:modified xsi:type="dcterms:W3CDTF">2019-05-18T08:33:00Z</dcterms:modified>
</cp:coreProperties>
</file>