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236" w:rsidRPr="009C5096" w:rsidRDefault="0064141F" w:rsidP="00F5748D">
      <w:pPr>
        <w:pStyle w:val="ListNumberLevel2"/>
        <w:numPr>
          <w:ilvl w:val="0"/>
          <w:numId w:val="0"/>
        </w:numPr>
        <w:spacing w:before="240" w:after="0"/>
        <w:jc w:val="center"/>
        <w:rPr>
          <w:rFonts w:ascii="StobiSerif Regular" w:hAnsi="StobiSerif Regular" w:cs="Arial"/>
          <w:b/>
          <w:lang w:val="en-US"/>
        </w:rPr>
      </w:pPr>
      <w:r w:rsidRPr="009C5096">
        <w:rPr>
          <w:rFonts w:ascii="StobiSerif Regular" w:hAnsi="StobiSerif Regular" w:cs="Arial"/>
          <w:noProof/>
          <w:lang w:val="en-US" w:eastAsia="en-US"/>
        </w:rPr>
        <w:drawing>
          <wp:inline distT="0" distB="0" distL="0" distR="0" wp14:anchorId="695E1FB8" wp14:editId="5AF3CA81">
            <wp:extent cx="80962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695325"/>
                    </a:xfrm>
                    <a:prstGeom prst="rect">
                      <a:avLst/>
                    </a:prstGeom>
                    <a:noFill/>
                    <a:ln w="9525">
                      <a:noFill/>
                      <a:miter lim="800000"/>
                      <a:headEnd/>
                      <a:tailEnd/>
                    </a:ln>
                  </pic:spPr>
                </pic:pic>
              </a:graphicData>
            </a:graphic>
          </wp:inline>
        </w:drawing>
      </w:r>
    </w:p>
    <w:p w:rsidR="00277236" w:rsidRPr="009C5096" w:rsidRDefault="00D94ABB" w:rsidP="00277236">
      <w:pPr>
        <w:pStyle w:val="Header"/>
        <w:jc w:val="center"/>
        <w:rPr>
          <w:rFonts w:ascii="Arial" w:hAnsi="Arial" w:cs="Arial"/>
          <w:b/>
          <w:sz w:val="22"/>
          <w:szCs w:val="22"/>
          <w:lang w:val="en-US"/>
        </w:rPr>
      </w:pPr>
      <w:r w:rsidRPr="009C5096">
        <w:rPr>
          <w:rFonts w:ascii="Arial" w:hAnsi="Arial" w:cs="Arial"/>
          <w:b/>
          <w:sz w:val="22"/>
          <w:szCs w:val="22"/>
          <w:lang w:val="en-US"/>
        </w:rPr>
        <w:t>MINISTRY OF AGRICULTURE, FORESTRY AND WATER ECONOMY</w:t>
      </w:r>
      <w:r w:rsidR="00277236" w:rsidRPr="009C5096">
        <w:rPr>
          <w:rFonts w:ascii="Arial" w:hAnsi="Arial" w:cs="Arial"/>
          <w:b/>
          <w:sz w:val="22"/>
          <w:szCs w:val="22"/>
          <w:lang w:val="en-US"/>
        </w:rPr>
        <w:t xml:space="preserve"> </w:t>
      </w:r>
    </w:p>
    <w:p w:rsidR="00277236" w:rsidRPr="009C5096" w:rsidRDefault="00676E5A" w:rsidP="00277236">
      <w:pPr>
        <w:pStyle w:val="Header"/>
        <w:jc w:val="center"/>
        <w:rPr>
          <w:rFonts w:ascii="Arial" w:hAnsi="Arial" w:cs="Arial"/>
          <w:b/>
          <w:sz w:val="22"/>
          <w:szCs w:val="22"/>
          <w:lang w:val="en-US"/>
        </w:rPr>
      </w:pPr>
      <w:r w:rsidRPr="009C5096">
        <w:rPr>
          <w:rFonts w:ascii="Arial" w:hAnsi="Arial" w:cs="Arial"/>
          <w:b/>
          <w:sz w:val="22"/>
          <w:szCs w:val="22"/>
          <w:lang w:val="en-US"/>
        </w:rPr>
        <w:t xml:space="preserve">IPARD </w:t>
      </w:r>
      <w:r w:rsidR="00D94ABB" w:rsidRPr="009C5096">
        <w:rPr>
          <w:rFonts w:ascii="Arial" w:hAnsi="Arial" w:cs="Arial"/>
          <w:b/>
          <w:sz w:val="22"/>
          <w:szCs w:val="22"/>
          <w:lang w:val="en-US"/>
        </w:rPr>
        <w:t>MANAGING AUTHORITY</w:t>
      </w:r>
    </w:p>
    <w:p w:rsidR="00277236" w:rsidRPr="009C5096" w:rsidRDefault="00277236" w:rsidP="00277236">
      <w:pPr>
        <w:spacing w:before="120"/>
        <w:ind w:left="357"/>
        <w:jc w:val="center"/>
        <w:rPr>
          <w:rFonts w:ascii="StobiSans Regular" w:hAnsi="StobiSans Regular" w:cs="Arial"/>
          <w:b/>
          <w:sz w:val="28"/>
          <w:szCs w:val="28"/>
          <w:lang w:eastAsia="en-GB"/>
        </w:rPr>
      </w:pPr>
    </w:p>
    <w:p w:rsidR="00277236" w:rsidRPr="009C5096" w:rsidRDefault="00277236" w:rsidP="00277236">
      <w:pPr>
        <w:spacing w:before="120"/>
        <w:ind w:left="357"/>
        <w:jc w:val="center"/>
        <w:rPr>
          <w:rFonts w:ascii="StobiSans Regular" w:hAnsi="StobiSans Regular" w:cs="Arial"/>
          <w:b/>
          <w:sz w:val="28"/>
          <w:szCs w:val="28"/>
          <w:lang w:eastAsia="en-GB"/>
        </w:rPr>
      </w:pPr>
    </w:p>
    <w:p w:rsidR="00277236" w:rsidRPr="009C5096" w:rsidRDefault="00277236" w:rsidP="00277236">
      <w:pPr>
        <w:spacing w:before="120"/>
        <w:ind w:left="357"/>
        <w:jc w:val="center"/>
        <w:rPr>
          <w:rFonts w:ascii="StobiSans Regular" w:hAnsi="StobiSans Regular" w:cs="Arial"/>
          <w:b/>
          <w:sz w:val="28"/>
          <w:szCs w:val="28"/>
          <w:lang w:eastAsia="en-GB"/>
        </w:rPr>
      </w:pPr>
    </w:p>
    <w:p w:rsidR="00643ED7" w:rsidRPr="009C5096" w:rsidRDefault="00643ED7" w:rsidP="00643ED7">
      <w:pPr>
        <w:spacing w:before="120"/>
        <w:jc w:val="center"/>
        <w:rPr>
          <w:rFonts w:ascii="StobiSans Regular" w:hAnsi="StobiSans Regular" w:cs="Arial"/>
          <w:b/>
          <w:sz w:val="28"/>
          <w:szCs w:val="28"/>
          <w:lang w:eastAsia="en-GB"/>
        </w:rPr>
      </w:pPr>
    </w:p>
    <w:p w:rsidR="00643ED7" w:rsidRPr="009C5096" w:rsidRDefault="00643ED7" w:rsidP="00643ED7">
      <w:pPr>
        <w:spacing w:before="120"/>
        <w:jc w:val="center"/>
        <w:rPr>
          <w:rFonts w:ascii="Arial" w:hAnsi="Arial" w:cs="Arial"/>
          <w:b/>
          <w:sz w:val="28"/>
          <w:szCs w:val="28"/>
          <w:lang w:eastAsia="en-GB"/>
        </w:rPr>
      </w:pPr>
    </w:p>
    <w:p w:rsidR="00643ED7" w:rsidRPr="009C5096" w:rsidRDefault="00643ED7" w:rsidP="00643ED7">
      <w:pPr>
        <w:spacing w:before="120"/>
        <w:jc w:val="center"/>
        <w:rPr>
          <w:rFonts w:ascii="Arial" w:hAnsi="Arial" w:cs="Arial"/>
          <w:b/>
          <w:sz w:val="28"/>
          <w:szCs w:val="28"/>
          <w:lang w:eastAsia="en-GB"/>
        </w:rPr>
      </w:pPr>
    </w:p>
    <w:p w:rsidR="00643ED7" w:rsidRPr="009C5096" w:rsidRDefault="00643ED7" w:rsidP="00643ED7">
      <w:pPr>
        <w:spacing w:before="120"/>
        <w:jc w:val="center"/>
        <w:rPr>
          <w:rFonts w:ascii="Arial" w:hAnsi="Arial" w:cs="Arial"/>
          <w:b/>
          <w:sz w:val="28"/>
          <w:szCs w:val="28"/>
          <w:lang w:eastAsia="en-GB"/>
        </w:rPr>
      </w:pPr>
    </w:p>
    <w:p w:rsidR="00643ED7" w:rsidRPr="009C5096" w:rsidRDefault="00643ED7" w:rsidP="00450D86">
      <w:pPr>
        <w:jc w:val="center"/>
        <w:rPr>
          <w:rFonts w:ascii="Arial" w:hAnsi="Arial" w:cs="Arial"/>
          <w:b/>
          <w:sz w:val="28"/>
          <w:szCs w:val="28"/>
          <w:lang w:eastAsia="en-GB"/>
        </w:rPr>
      </w:pPr>
      <w:r w:rsidRPr="009C5096">
        <w:rPr>
          <w:rFonts w:ascii="Arial" w:hAnsi="Arial" w:cs="Arial"/>
          <w:b/>
          <w:sz w:val="28"/>
          <w:szCs w:val="28"/>
          <w:lang w:eastAsia="en-GB"/>
        </w:rPr>
        <w:t xml:space="preserve">ANNUAL REPORT ON THE IMPLEMENTATION OF THE </w:t>
      </w:r>
    </w:p>
    <w:p w:rsidR="00643ED7" w:rsidRDefault="00643ED7" w:rsidP="00450D86">
      <w:pPr>
        <w:jc w:val="center"/>
        <w:rPr>
          <w:rFonts w:ascii="Arial" w:hAnsi="Arial" w:cs="Arial"/>
          <w:b/>
          <w:sz w:val="28"/>
          <w:szCs w:val="28"/>
          <w:lang w:eastAsia="en-GB"/>
        </w:rPr>
      </w:pPr>
      <w:r w:rsidRPr="009C5096">
        <w:rPr>
          <w:rFonts w:ascii="Arial" w:hAnsi="Arial" w:cs="Arial"/>
          <w:b/>
          <w:sz w:val="28"/>
          <w:szCs w:val="28"/>
          <w:lang w:eastAsia="en-GB"/>
        </w:rPr>
        <w:t xml:space="preserve">IPARD </w:t>
      </w:r>
      <w:r w:rsidR="0064141F" w:rsidRPr="009C5096">
        <w:rPr>
          <w:rFonts w:ascii="Arial" w:hAnsi="Arial" w:cs="Arial"/>
          <w:b/>
          <w:sz w:val="28"/>
          <w:szCs w:val="28"/>
          <w:lang w:eastAsia="en-GB"/>
        </w:rPr>
        <w:t xml:space="preserve">2014-2020 </w:t>
      </w:r>
      <w:r w:rsidRPr="009C5096">
        <w:rPr>
          <w:rFonts w:ascii="Arial" w:hAnsi="Arial" w:cs="Arial"/>
          <w:b/>
          <w:sz w:val="28"/>
          <w:szCs w:val="28"/>
          <w:lang w:eastAsia="en-GB"/>
        </w:rPr>
        <w:t>PROGRAMME FOR 2018</w:t>
      </w:r>
    </w:p>
    <w:p w:rsidR="00450D86" w:rsidRPr="009C5096" w:rsidRDefault="00450D86" w:rsidP="00450D86">
      <w:pPr>
        <w:jc w:val="center"/>
        <w:rPr>
          <w:rFonts w:ascii="Arial" w:hAnsi="Arial" w:cs="Arial"/>
          <w:b/>
          <w:sz w:val="28"/>
          <w:szCs w:val="28"/>
          <w:lang w:eastAsia="en-GB"/>
        </w:rPr>
      </w:pPr>
    </w:p>
    <w:p w:rsidR="003136C5" w:rsidRPr="009C5096" w:rsidRDefault="003136C5" w:rsidP="003136C5">
      <w:pPr>
        <w:jc w:val="center"/>
        <w:rPr>
          <w:rFonts w:ascii="Arial" w:hAnsi="Arial" w:cs="Arial"/>
          <w:sz w:val="28"/>
          <w:szCs w:val="28"/>
        </w:rPr>
      </w:pPr>
      <w:r w:rsidRPr="009C5096">
        <w:rPr>
          <w:rFonts w:ascii="Arial" w:hAnsi="Arial" w:cs="Arial"/>
          <w:sz w:val="28"/>
          <w:szCs w:val="28"/>
        </w:rPr>
        <w:t xml:space="preserve">(according </w:t>
      </w:r>
      <w:r w:rsidR="00612896" w:rsidRPr="009C5096">
        <w:rPr>
          <w:rFonts w:ascii="Arial" w:hAnsi="Arial" w:cs="Arial"/>
          <w:sz w:val="28"/>
          <w:szCs w:val="28"/>
        </w:rPr>
        <w:t xml:space="preserve">to </w:t>
      </w:r>
      <w:r w:rsidRPr="009C5096">
        <w:rPr>
          <w:rFonts w:ascii="Arial" w:hAnsi="Arial" w:cs="Arial"/>
          <w:sz w:val="28"/>
          <w:szCs w:val="28"/>
        </w:rPr>
        <w:t>Article 59 of the Sectoral Agreement)</w:t>
      </w:r>
    </w:p>
    <w:p w:rsidR="003136C5" w:rsidRPr="009C5096" w:rsidRDefault="003136C5" w:rsidP="003136C5">
      <w:pPr>
        <w:jc w:val="center"/>
        <w:rPr>
          <w:rFonts w:ascii="Arial" w:hAnsi="Arial" w:cs="Arial"/>
          <w:sz w:val="28"/>
          <w:szCs w:val="28"/>
        </w:rPr>
      </w:pPr>
    </w:p>
    <w:p w:rsidR="003136C5" w:rsidRPr="009C5096" w:rsidRDefault="003136C5" w:rsidP="003136C5">
      <w:pPr>
        <w:jc w:val="center"/>
        <w:rPr>
          <w:rFonts w:ascii="Arial" w:hAnsi="Arial" w:cs="Arial"/>
          <w:sz w:val="28"/>
          <w:szCs w:val="28"/>
        </w:rPr>
      </w:pPr>
    </w:p>
    <w:p w:rsidR="00277236" w:rsidRPr="009C5096" w:rsidRDefault="00277236" w:rsidP="00277236">
      <w:pPr>
        <w:spacing w:before="120"/>
        <w:ind w:left="357"/>
        <w:jc w:val="center"/>
        <w:rPr>
          <w:rFonts w:ascii="StobiSerif Regular" w:hAnsi="StobiSerif Regular" w:cs="Arial"/>
          <w:b/>
          <w:sz w:val="22"/>
          <w:szCs w:val="22"/>
          <w:lang w:eastAsia="en-GB"/>
        </w:rPr>
      </w:pPr>
    </w:p>
    <w:p w:rsidR="00277236" w:rsidRPr="009C5096" w:rsidRDefault="00277236" w:rsidP="00277236">
      <w:pPr>
        <w:jc w:val="center"/>
        <w:rPr>
          <w:rFonts w:ascii="Arial" w:hAnsi="Arial"/>
          <w:b/>
          <w:bCs/>
        </w:rPr>
      </w:pPr>
    </w:p>
    <w:p w:rsidR="00277236" w:rsidRPr="009C5096" w:rsidRDefault="00277236" w:rsidP="00277236">
      <w:pPr>
        <w:jc w:val="center"/>
        <w:rPr>
          <w:rFonts w:ascii="Arial" w:hAnsi="Arial"/>
          <w:b/>
          <w:bCs/>
        </w:rPr>
      </w:pPr>
    </w:p>
    <w:p w:rsidR="00277236" w:rsidRPr="009C5096" w:rsidRDefault="00277236" w:rsidP="00277236">
      <w:pPr>
        <w:jc w:val="center"/>
        <w:rPr>
          <w:rFonts w:ascii="Arial" w:hAnsi="Arial"/>
          <w:b/>
          <w:bCs/>
        </w:rPr>
      </w:pPr>
    </w:p>
    <w:p w:rsidR="00277236" w:rsidRPr="009C5096" w:rsidRDefault="00277236" w:rsidP="00277236">
      <w:pPr>
        <w:jc w:val="center"/>
        <w:rPr>
          <w:rFonts w:ascii="Arial" w:hAnsi="Arial"/>
          <w:b/>
          <w:bCs/>
        </w:rPr>
      </w:pPr>
    </w:p>
    <w:p w:rsidR="00277236" w:rsidRPr="009C5096" w:rsidRDefault="00277236" w:rsidP="00277236">
      <w:pPr>
        <w:jc w:val="center"/>
        <w:rPr>
          <w:rFonts w:ascii="Arial" w:hAnsi="Arial"/>
          <w:b/>
          <w:bCs/>
        </w:rPr>
      </w:pPr>
    </w:p>
    <w:p w:rsidR="00277236" w:rsidRPr="009C5096" w:rsidRDefault="00277236" w:rsidP="00277236">
      <w:pPr>
        <w:jc w:val="center"/>
        <w:rPr>
          <w:rFonts w:ascii="Arial" w:hAnsi="Arial"/>
          <w:b/>
          <w:bCs/>
        </w:rPr>
      </w:pPr>
    </w:p>
    <w:p w:rsidR="00277236" w:rsidRPr="009C5096" w:rsidRDefault="00277236" w:rsidP="00277236">
      <w:pPr>
        <w:jc w:val="center"/>
        <w:rPr>
          <w:rFonts w:ascii="Arial" w:hAnsi="Arial"/>
          <w:b/>
          <w:bCs/>
        </w:rPr>
      </w:pPr>
    </w:p>
    <w:p w:rsidR="00277236" w:rsidRPr="009C5096" w:rsidRDefault="00277236" w:rsidP="00277236">
      <w:pPr>
        <w:jc w:val="center"/>
        <w:rPr>
          <w:rFonts w:ascii="Arial" w:hAnsi="Arial"/>
          <w:b/>
          <w:bCs/>
        </w:rPr>
      </w:pPr>
    </w:p>
    <w:p w:rsidR="00277236" w:rsidRPr="009C5096" w:rsidRDefault="00277236" w:rsidP="00277236">
      <w:pPr>
        <w:jc w:val="center"/>
        <w:rPr>
          <w:rFonts w:ascii="Arial" w:hAnsi="Arial"/>
          <w:b/>
          <w:bCs/>
        </w:rPr>
      </w:pPr>
    </w:p>
    <w:p w:rsidR="00277236" w:rsidRPr="009C5096" w:rsidRDefault="00277236" w:rsidP="00277236">
      <w:pPr>
        <w:jc w:val="center"/>
        <w:rPr>
          <w:rFonts w:ascii="Arial" w:hAnsi="Arial"/>
          <w:b/>
          <w:bCs/>
        </w:rPr>
      </w:pPr>
    </w:p>
    <w:p w:rsidR="00277236" w:rsidRPr="009C5096" w:rsidRDefault="00277236" w:rsidP="005B6436">
      <w:pPr>
        <w:rPr>
          <w:rFonts w:ascii="Arial" w:hAnsi="Arial"/>
          <w:b/>
          <w:bCs/>
          <w:sz w:val="28"/>
          <w:szCs w:val="28"/>
        </w:rPr>
      </w:pPr>
    </w:p>
    <w:p w:rsidR="00277236" w:rsidRDefault="00277236" w:rsidP="00277236">
      <w:pPr>
        <w:jc w:val="center"/>
        <w:rPr>
          <w:rFonts w:ascii="Arial" w:hAnsi="Arial" w:cs="Arial"/>
          <w:b/>
          <w:bCs/>
          <w:sz w:val="28"/>
          <w:szCs w:val="28"/>
        </w:rPr>
      </w:pPr>
    </w:p>
    <w:p w:rsidR="00AC0013" w:rsidRPr="009C5096" w:rsidRDefault="00AC0013" w:rsidP="00277236">
      <w:pPr>
        <w:jc w:val="center"/>
        <w:rPr>
          <w:rFonts w:ascii="Arial" w:hAnsi="Arial" w:cs="Arial"/>
          <w:b/>
          <w:bCs/>
          <w:sz w:val="28"/>
          <w:szCs w:val="28"/>
        </w:rPr>
      </w:pPr>
    </w:p>
    <w:p w:rsidR="00277236" w:rsidRPr="00AC0013" w:rsidRDefault="00FB0448" w:rsidP="00277236">
      <w:pPr>
        <w:jc w:val="center"/>
        <w:rPr>
          <w:rFonts w:ascii="Arial" w:hAnsi="Arial" w:cs="Arial"/>
          <w:b/>
          <w:bCs/>
          <w:szCs w:val="28"/>
        </w:rPr>
      </w:pPr>
      <w:r w:rsidRPr="00AC0013">
        <w:rPr>
          <w:rFonts w:ascii="Arial" w:hAnsi="Arial" w:cs="Arial"/>
          <w:b/>
          <w:bCs/>
          <w:szCs w:val="28"/>
        </w:rPr>
        <w:t>Mаy</w:t>
      </w:r>
      <w:r w:rsidR="00643ED7" w:rsidRPr="00AC0013">
        <w:rPr>
          <w:rFonts w:ascii="Arial" w:hAnsi="Arial" w:cs="Arial"/>
          <w:b/>
          <w:bCs/>
          <w:szCs w:val="28"/>
        </w:rPr>
        <w:t>, 2019</w:t>
      </w:r>
    </w:p>
    <w:p w:rsidR="00277236" w:rsidRPr="009C5096" w:rsidRDefault="00277236" w:rsidP="00277236">
      <w:pPr>
        <w:jc w:val="center"/>
        <w:rPr>
          <w:rFonts w:ascii="Arial" w:hAnsi="Arial" w:cs="Arial"/>
          <w:b/>
          <w:bCs/>
          <w:sz w:val="28"/>
          <w:szCs w:val="28"/>
        </w:rPr>
      </w:pPr>
    </w:p>
    <w:p w:rsidR="00C15A12" w:rsidRPr="009C5096" w:rsidRDefault="00097EED" w:rsidP="00097EED">
      <w:pPr>
        <w:pStyle w:val="ListNumberLevel2"/>
        <w:numPr>
          <w:ilvl w:val="0"/>
          <w:numId w:val="0"/>
        </w:numPr>
        <w:tabs>
          <w:tab w:val="left" w:pos="6105"/>
        </w:tabs>
        <w:spacing w:before="240" w:after="0"/>
        <w:jc w:val="left"/>
        <w:rPr>
          <w:rFonts w:ascii="StobiSerif Regular" w:hAnsi="StobiSerif Regular" w:cs="Arial"/>
          <w:b/>
          <w:sz w:val="22"/>
          <w:szCs w:val="22"/>
          <w:lang w:val="en-US" w:eastAsia="en-GB"/>
        </w:rPr>
      </w:pPr>
      <w:r>
        <w:rPr>
          <w:rFonts w:ascii="StobiSerif Regular" w:hAnsi="StobiSerif Regular" w:cs="Arial"/>
          <w:b/>
          <w:sz w:val="22"/>
          <w:szCs w:val="22"/>
          <w:lang w:val="en-US" w:eastAsia="en-GB"/>
        </w:rPr>
        <w:tab/>
      </w:r>
    </w:p>
    <w:p w:rsidR="00C15A12" w:rsidRPr="009C5096" w:rsidRDefault="00C15A12" w:rsidP="009F2F7B">
      <w:pPr>
        <w:pStyle w:val="ListNumberLevel2"/>
        <w:numPr>
          <w:ilvl w:val="0"/>
          <w:numId w:val="0"/>
        </w:numPr>
        <w:spacing w:before="240" w:after="0"/>
        <w:jc w:val="center"/>
        <w:rPr>
          <w:rFonts w:ascii="StobiSerif Regular" w:hAnsi="StobiSerif Regular" w:cs="Arial"/>
          <w:b/>
          <w:sz w:val="22"/>
          <w:szCs w:val="22"/>
          <w:lang w:val="en-US" w:eastAsia="en-GB"/>
        </w:rPr>
      </w:pPr>
    </w:p>
    <w:p w:rsidR="00612896" w:rsidRPr="009C5096" w:rsidRDefault="005B6436" w:rsidP="005B6436">
      <w:pPr>
        <w:spacing w:before="120"/>
        <w:ind w:left="714"/>
        <w:outlineLvl w:val="0"/>
        <w:rPr>
          <w:rFonts w:ascii="StobiSerif Regular" w:hAnsi="StobiSerif Regular"/>
          <w:bCs/>
          <w:sz w:val="22"/>
          <w:szCs w:val="22"/>
        </w:rPr>
      </w:pPr>
      <w:r w:rsidRPr="009C5096">
        <w:rPr>
          <w:rFonts w:ascii="StobiSerif Regular" w:hAnsi="StobiSerif Regular"/>
          <w:bCs/>
          <w:sz w:val="22"/>
          <w:szCs w:val="22"/>
        </w:rPr>
        <w:t xml:space="preserve"> </w:t>
      </w:r>
    </w:p>
    <w:p w:rsidR="00612896" w:rsidRPr="009C5096" w:rsidRDefault="00612896">
      <w:pPr>
        <w:rPr>
          <w:rFonts w:ascii="StobiSerif Regular" w:hAnsi="StobiSerif Regular"/>
          <w:bCs/>
          <w:sz w:val="22"/>
          <w:szCs w:val="22"/>
        </w:rPr>
      </w:pPr>
      <w:r w:rsidRPr="009C5096">
        <w:rPr>
          <w:rFonts w:ascii="StobiSerif Regular" w:hAnsi="StobiSerif Regular"/>
          <w:bCs/>
          <w:sz w:val="22"/>
          <w:szCs w:val="22"/>
        </w:rPr>
        <w:br w:type="page"/>
      </w:r>
    </w:p>
    <w:p w:rsidR="003136C5" w:rsidRPr="009C5096" w:rsidRDefault="003136C5" w:rsidP="003136C5">
      <w:pPr>
        <w:jc w:val="center"/>
        <w:rPr>
          <w:rFonts w:ascii="Arial" w:hAnsi="Arial" w:cs="Arial"/>
          <w:sz w:val="28"/>
          <w:szCs w:val="28"/>
        </w:rPr>
      </w:pPr>
    </w:p>
    <w:sdt>
      <w:sdtPr>
        <w:rPr>
          <w:rFonts w:ascii="Arial" w:eastAsiaTheme="minorHAnsi" w:hAnsi="Arial" w:cs="Arial"/>
          <w:color w:val="auto"/>
          <w:sz w:val="22"/>
          <w:szCs w:val="22"/>
        </w:rPr>
        <w:id w:val="1574472247"/>
        <w:docPartObj>
          <w:docPartGallery w:val="Table of Contents"/>
          <w:docPartUnique/>
        </w:docPartObj>
      </w:sdtPr>
      <w:sdtEndPr>
        <w:rPr>
          <w:rFonts w:eastAsia="Times New Roman"/>
          <w:b/>
          <w:bCs/>
          <w:sz w:val="24"/>
          <w:szCs w:val="24"/>
        </w:rPr>
      </w:sdtEndPr>
      <w:sdtContent>
        <w:p w:rsidR="003136C5" w:rsidRPr="009C5096" w:rsidRDefault="003136C5" w:rsidP="003136C5">
          <w:pPr>
            <w:pStyle w:val="TOCHeading"/>
            <w:rPr>
              <w:rFonts w:ascii="Arial" w:hAnsi="Arial" w:cs="Arial"/>
              <w:color w:val="auto"/>
              <w:sz w:val="22"/>
              <w:szCs w:val="22"/>
            </w:rPr>
          </w:pPr>
          <w:r w:rsidRPr="009C5096">
            <w:rPr>
              <w:rFonts w:ascii="Arial" w:hAnsi="Arial" w:cs="Arial"/>
              <w:color w:val="auto"/>
              <w:sz w:val="24"/>
              <w:szCs w:val="24"/>
            </w:rPr>
            <w:t>Contents:</w:t>
          </w:r>
        </w:p>
        <w:p w:rsidR="003136C5" w:rsidRPr="009C5096" w:rsidRDefault="003136C5">
          <w:pPr>
            <w:pStyle w:val="TOC1"/>
            <w:rPr>
              <w:rFonts w:asciiTheme="minorHAnsi" w:eastAsiaTheme="minorEastAsia" w:hAnsiTheme="minorHAnsi" w:cstheme="minorBidi"/>
              <w:sz w:val="22"/>
              <w:szCs w:val="22"/>
            </w:rPr>
          </w:pPr>
          <w:r w:rsidRPr="009C5096">
            <w:rPr>
              <w:rFonts w:ascii="Arial" w:hAnsi="Arial" w:cs="Arial"/>
              <w:bCs/>
            </w:rPr>
            <w:fldChar w:fldCharType="begin"/>
          </w:r>
          <w:r w:rsidRPr="009C5096">
            <w:rPr>
              <w:rFonts w:ascii="Arial" w:hAnsi="Arial" w:cs="Arial"/>
              <w:bCs/>
            </w:rPr>
            <w:instrText xml:space="preserve"> TOC \o "1-3" \h \z \u </w:instrText>
          </w:r>
          <w:r w:rsidRPr="009C5096">
            <w:rPr>
              <w:rFonts w:ascii="Arial" w:hAnsi="Arial" w:cs="Arial"/>
              <w:bCs/>
            </w:rPr>
            <w:fldChar w:fldCharType="separate"/>
          </w:r>
          <w:hyperlink w:anchor="_Toc8649799" w:history="1">
            <w:r w:rsidRPr="009C5096">
              <w:rPr>
                <w:rStyle w:val="Hyperlink"/>
                <w:rFonts w:ascii="StobiSerif Regular" w:hAnsi="StobiSerif Regular" w:cs="Arial"/>
              </w:rPr>
              <w:t>1.</w:t>
            </w:r>
            <w:r w:rsidRPr="009C5096">
              <w:rPr>
                <w:rFonts w:asciiTheme="minorHAnsi" w:eastAsiaTheme="minorEastAsia" w:hAnsiTheme="minorHAnsi" w:cstheme="minorBidi"/>
                <w:sz w:val="22"/>
                <w:szCs w:val="22"/>
              </w:rPr>
              <w:tab/>
            </w:r>
            <w:r w:rsidRPr="009C5096">
              <w:rPr>
                <w:rStyle w:val="Hyperlink"/>
                <w:rFonts w:ascii="Arial" w:hAnsi="Arial" w:cs="Arial"/>
              </w:rPr>
              <w:t>Preface</w:t>
            </w:r>
            <w:r w:rsidRPr="009C5096">
              <w:rPr>
                <w:webHidden/>
              </w:rPr>
              <w:tab/>
            </w:r>
            <w:r w:rsidRPr="009C5096">
              <w:rPr>
                <w:webHidden/>
              </w:rPr>
              <w:fldChar w:fldCharType="begin"/>
            </w:r>
            <w:r w:rsidRPr="009C5096">
              <w:rPr>
                <w:webHidden/>
              </w:rPr>
              <w:instrText xml:space="preserve"> PAGEREF _Toc8649799 \h </w:instrText>
            </w:r>
            <w:r w:rsidRPr="009C5096">
              <w:rPr>
                <w:webHidden/>
              </w:rPr>
            </w:r>
            <w:r w:rsidRPr="009C5096">
              <w:rPr>
                <w:webHidden/>
              </w:rPr>
              <w:fldChar w:fldCharType="separate"/>
            </w:r>
            <w:r w:rsidRPr="009C5096">
              <w:rPr>
                <w:webHidden/>
              </w:rPr>
              <w:t>3</w:t>
            </w:r>
            <w:r w:rsidRPr="009C5096">
              <w:rPr>
                <w:webHidden/>
              </w:rPr>
              <w:fldChar w:fldCharType="end"/>
            </w:r>
          </w:hyperlink>
        </w:p>
        <w:p w:rsidR="003136C5" w:rsidRPr="009C5096" w:rsidRDefault="00E270F3">
          <w:pPr>
            <w:pStyle w:val="TOC1"/>
            <w:rPr>
              <w:rFonts w:asciiTheme="minorHAnsi" w:eastAsiaTheme="minorEastAsia" w:hAnsiTheme="minorHAnsi" w:cstheme="minorBidi"/>
              <w:sz w:val="22"/>
              <w:szCs w:val="22"/>
            </w:rPr>
          </w:pPr>
          <w:hyperlink w:anchor="_Toc8649800" w:history="1">
            <w:r w:rsidR="003136C5" w:rsidRPr="009C5096">
              <w:rPr>
                <w:rStyle w:val="Hyperlink"/>
                <w:rFonts w:ascii="StobiSerif Regular" w:hAnsi="StobiSerif Regular" w:cs="Arial"/>
              </w:rPr>
              <w:t>2.</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 xml:space="preserve">Change in </w:t>
            </w:r>
            <w:r w:rsidR="00612896" w:rsidRPr="009C5096">
              <w:rPr>
                <w:rStyle w:val="Hyperlink"/>
                <w:rFonts w:ascii="Arial" w:hAnsi="Arial" w:cs="Arial"/>
              </w:rPr>
              <w:t xml:space="preserve">the </w:t>
            </w:r>
            <w:r w:rsidR="003136C5" w:rsidRPr="009C5096">
              <w:rPr>
                <w:rStyle w:val="Hyperlink"/>
                <w:rFonts w:ascii="Arial" w:hAnsi="Arial" w:cs="Arial"/>
              </w:rPr>
              <w:t>general conditions of relevance to the implementation of the IPARD II programme</w:t>
            </w:r>
            <w:r w:rsidR="003136C5" w:rsidRPr="009C5096">
              <w:rPr>
                <w:webHidden/>
              </w:rPr>
              <w:tab/>
            </w:r>
            <w:r w:rsidR="003136C5" w:rsidRPr="009C5096">
              <w:rPr>
                <w:webHidden/>
              </w:rPr>
              <w:fldChar w:fldCharType="begin"/>
            </w:r>
            <w:r w:rsidR="003136C5" w:rsidRPr="009C5096">
              <w:rPr>
                <w:webHidden/>
              </w:rPr>
              <w:instrText xml:space="preserve"> PAGEREF _Toc8649800 \h </w:instrText>
            </w:r>
            <w:r w:rsidR="003136C5" w:rsidRPr="009C5096">
              <w:rPr>
                <w:webHidden/>
              </w:rPr>
            </w:r>
            <w:r w:rsidR="003136C5" w:rsidRPr="009C5096">
              <w:rPr>
                <w:webHidden/>
              </w:rPr>
              <w:fldChar w:fldCharType="separate"/>
            </w:r>
            <w:r w:rsidR="003136C5" w:rsidRPr="009C5096">
              <w:rPr>
                <w:webHidden/>
              </w:rPr>
              <w:t>4</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01" w:history="1">
            <w:r w:rsidR="003136C5" w:rsidRPr="009C5096">
              <w:rPr>
                <w:rStyle w:val="Hyperlink"/>
                <w:rFonts w:ascii="Arial" w:hAnsi="Arial" w:cs="Arial"/>
              </w:rPr>
              <w:t>2.1.</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Political and institutional framework</w:t>
            </w:r>
            <w:r w:rsidR="003136C5" w:rsidRPr="009C5096">
              <w:rPr>
                <w:webHidden/>
              </w:rPr>
              <w:tab/>
            </w:r>
            <w:r w:rsidR="003136C5" w:rsidRPr="009C5096">
              <w:rPr>
                <w:webHidden/>
              </w:rPr>
              <w:fldChar w:fldCharType="begin"/>
            </w:r>
            <w:r w:rsidR="003136C5" w:rsidRPr="009C5096">
              <w:rPr>
                <w:webHidden/>
              </w:rPr>
              <w:instrText xml:space="preserve"> PAGEREF _Toc8649801 \h </w:instrText>
            </w:r>
            <w:r w:rsidR="003136C5" w:rsidRPr="009C5096">
              <w:rPr>
                <w:webHidden/>
              </w:rPr>
            </w:r>
            <w:r w:rsidR="003136C5" w:rsidRPr="009C5096">
              <w:rPr>
                <w:webHidden/>
              </w:rPr>
              <w:fldChar w:fldCharType="separate"/>
            </w:r>
            <w:r w:rsidR="003136C5" w:rsidRPr="009C5096">
              <w:rPr>
                <w:webHidden/>
              </w:rPr>
              <w:t>4</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02" w:history="1">
            <w:r w:rsidR="003136C5" w:rsidRPr="009C5096">
              <w:rPr>
                <w:rStyle w:val="Hyperlink"/>
                <w:rFonts w:ascii="Arial" w:hAnsi="Arial" w:cs="Arial"/>
              </w:rPr>
              <w:t>2.2.</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Macroeconomic situation</w:t>
            </w:r>
            <w:r w:rsidR="003136C5" w:rsidRPr="009C5096">
              <w:rPr>
                <w:webHidden/>
              </w:rPr>
              <w:tab/>
            </w:r>
            <w:r w:rsidR="003136C5" w:rsidRPr="009C5096">
              <w:rPr>
                <w:webHidden/>
              </w:rPr>
              <w:fldChar w:fldCharType="begin"/>
            </w:r>
            <w:r w:rsidR="003136C5" w:rsidRPr="009C5096">
              <w:rPr>
                <w:webHidden/>
              </w:rPr>
              <w:instrText xml:space="preserve"> PAGEREF _Toc8649802 \h </w:instrText>
            </w:r>
            <w:r w:rsidR="003136C5" w:rsidRPr="009C5096">
              <w:rPr>
                <w:webHidden/>
              </w:rPr>
            </w:r>
            <w:r w:rsidR="003136C5" w:rsidRPr="009C5096">
              <w:rPr>
                <w:webHidden/>
              </w:rPr>
              <w:fldChar w:fldCharType="separate"/>
            </w:r>
            <w:r w:rsidR="003136C5" w:rsidRPr="009C5096">
              <w:rPr>
                <w:webHidden/>
              </w:rPr>
              <w:t>4</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03" w:history="1">
            <w:r w:rsidR="003136C5" w:rsidRPr="009C5096">
              <w:rPr>
                <w:rStyle w:val="Hyperlink"/>
                <w:rFonts w:ascii="Arial" w:hAnsi="Arial" w:cs="Arial"/>
              </w:rPr>
              <w:t>2.3.</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Demographic situation</w:t>
            </w:r>
            <w:r w:rsidR="003136C5" w:rsidRPr="009C5096">
              <w:rPr>
                <w:webHidden/>
              </w:rPr>
              <w:tab/>
            </w:r>
            <w:r w:rsidR="003136C5" w:rsidRPr="009C5096">
              <w:rPr>
                <w:webHidden/>
              </w:rPr>
              <w:fldChar w:fldCharType="begin"/>
            </w:r>
            <w:r w:rsidR="003136C5" w:rsidRPr="009C5096">
              <w:rPr>
                <w:webHidden/>
              </w:rPr>
              <w:instrText xml:space="preserve"> PAGEREF _Toc8649803 \h </w:instrText>
            </w:r>
            <w:r w:rsidR="003136C5" w:rsidRPr="009C5096">
              <w:rPr>
                <w:webHidden/>
              </w:rPr>
            </w:r>
            <w:r w:rsidR="003136C5" w:rsidRPr="009C5096">
              <w:rPr>
                <w:webHidden/>
              </w:rPr>
              <w:fldChar w:fldCharType="separate"/>
            </w:r>
            <w:r w:rsidR="003136C5" w:rsidRPr="009C5096">
              <w:rPr>
                <w:webHidden/>
              </w:rPr>
              <w:t>5</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04" w:history="1">
            <w:r w:rsidR="003136C5" w:rsidRPr="009C5096">
              <w:rPr>
                <w:rStyle w:val="Hyperlink"/>
                <w:rFonts w:ascii="Arial" w:hAnsi="Arial" w:cs="Arial"/>
              </w:rPr>
              <w:t>2.4.</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Agricultur</w:t>
            </w:r>
            <w:r w:rsidR="00612896" w:rsidRPr="009C5096">
              <w:rPr>
                <w:rStyle w:val="Hyperlink"/>
                <w:rFonts w:ascii="Arial" w:hAnsi="Arial" w:cs="Arial"/>
              </w:rPr>
              <w:t>al</w:t>
            </w:r>
            <w:r w:rsidR="003136C5" w:rsidRPr="009C5096">
              <w:rPr>
                <w:rStyle w:val="Hyperlink"/>
                <w:rFonts w:ascii="Arial" w:hAnsi="Arial" w:cs="Arial"/>
              </w:rPr>
              <w:t xml:space="preserve"> production and economy</w:t>
            </w:r>
            <w:r w:rsidR="003136C5" w:rsidRPr="009C5096">
              <w:rPr>
                <w:webHidden/>
              </w:rPr>
              <w:tab/>
            </w:r>
            <w:r w:rsidR="003136C5" w:rsidRPr="009C5096">
              <w:rPr>
                <w:webHidden/>
              </w:rPr>
              <w:fldChar w:fldCharType="begin"/>
            </w:r>
            <w:r w:rsidR="003136C5" w:rsidRPr="009C5096">
              <w:rPr>
                <w:webHidden/>
              </w:rPr>
              <w:instrText xml:space="preserve"> PAGEREF _Toc8649804 \h </w:instrText>
            </w:r>
            <w:r w:rsidR="003136C5" w:rsidRPr="009C5096">
              <w:rPr>
                <w:webHidden/>
              </w:rPr>
            </w:r>
            <w:r w:rsidR="003136C5" w:rsidRPr="009C5096">
              <w:rPr>
                <w:webHidden/>
              </w:rPr>
              <w:fldChar w:fldCharType="separate"/>
            </w:r>
            <w:r w:rsidR="003136C5" w:rsidRPr="009C5096">
              <w:rPr>
                <w:webHidden/>
              </w:rPr>
              <w:t>5</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05" w:history="1">
            <w:r w:rsidR="003136C5" w:rsidRPr="009C5096">
              <w:rPr>
                <w:rStyle w:val="Hyperlink"/>
                <w:rFonts w:ascii="Arial" w:hAnsi="Arial" w:cs="Arial"/>
              </w:rPr>
              <w:t>2.5.</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Changes in national and sectoral policies</w:t>
            </w:r>
            <w:r w:rsidR="003136C5" w:rsidRPr="009C5096">
              <w:rPr>
                <w:webHidden/>
              </w:rPr>
              <w:tab/>
            </w:r>
            <w:r w:rsidR="003136C5" w:rsidRPr="009C5096">
              <w:rPr>
                <w:webHidden/>
              </w:rPr>
              <w:fldChar w:fldCharType="begin"/>
            </w:r>
            <w:r w:rsidR="003136C5" w:rsidRPr="009C5096">
              <w:rPr>
                <w:webHidden/>
              </w:rPr>
              <w:instrText xml:space="preserve"> PAGEREF _Toc8649805 \h </w:instrText>
            </w:r>
            <w:r w:rsidR="003136C5" w:rsidRPr="009C5096">
              <w:rPr>
                <w:webHidden/>
              </w:rPr>
            </w:r>
            <w:r w:rsidR="003136C5" w:rsidRPr="009C5096">
              <w:rPr>
                <w:webHidden/>
              </w:rPr>
              <w:fldChar w:fldCharType="separate"/>
            </w:r>
            <w:r w:rsidR="003136C5" w:rsidRPr="009C5096">
              <w:rPr>
                <w:webHidden/>
              </w:rPr>
              <w:t>9</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06" w:history="1">
            <w:r w:rsidR="003136C5" w:rsidRPr="009C5096">
              <w:rPr>
                <w:rStyle w:val="Hyperlink"/>
                <w:rFonts w:ascii="Arial" w:hAnsi="Arial" w:cs="Arial"/>
              </w:rPr>
              <w:t>2.6.</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National support schemes</w:t>
            </w:r>
            <w:r w:rsidR="003136C5" w:rsidRPr="009C5096">
              <w:rPr>
                <w:webHidden/>
              </w:rPr>
              <w:tab/>
            </w:r>
            <w:r w:rsidR="003136C5" w:rsidRPr="009C5096">
              <w:rPr>
                <w:webHidden/>
              </w:rPr>
              <w:fldChar w:fldCharType="begin"/>
            </w:r>
            <w:r w:rsidR="003136C5" w:rsidRPr="009C5096">
              <w:rPr>
                <w:webHidden/>
              </w:rPr>
              <w:instrText xml:space="preserve"> PAGEREF _Toc8649806 \h </w:instrText>
            </w:r>
            <w:r w:rsidR="003136C5" w:rsidRPr="009C5096">
              <w:rPr>
                <w:webHidden/>
              </w:rPr>
            </w:r>
            <w:r w:rsidR="003136C5" w:rsidRPr="009C5096">
              <w:rPr>
                <w:webHidden/>
              </w:rPr>
              <w:fldChar w:fldCharType="separate"/>
            </w:r>
            <w:r w:rsidR="003136C5" w:rsidRPr="009C5096">
              <w:rPr>
                <w:webHidden/>
              </w:rPr>
              <w:t>9</w:t>
            </w:r>
            <w:r w:rsidR="003136C5" w:rsidRPr="009C5096">
              <w:rPr>
                <w:webHidden/>
              </w:rPr>
              <w:fldChar w:fldCharType="end"/>
            </w:r>
          </w:hyperlink>
        </w:p>
        <w:p w:rsidR="003136C5" w:rsidRPr="009C5096" w:rsidRDefault="00E270F3">
          <w:pPr>
            <w:pStyle w:val="TOC1"/>
            <w:rPr>
              <w:rFonts w:asciiTheme="minorHAnsi" w:eastAsiaTheme="minorEastAsia" w:hAnsiTheme="minorHAnsi" w:cstheme="minorBidi"/>
              <w:sz w:val="22"/>
              <w:szCs w:val="22"/>
            </w:rPr>
          </w:pPr>
          <w:hyperlink w:anchor="_Toc8649807" w:history="1">
            <w:r w:rsidR="003136C5" w:rsidRPr="009C5096">
              <w:rPr>
                <w:rStyle w:val="Hyperlink"/>
                <w:rFonts w:ascii="StobiSerif Regular" w:hAnsi="StobiSerif Regular" w:cs="Arial"/>
              </w:rPr>
              <w:t>3.</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Assessment of the progress in the implementation of objectives, priorities, measures and group of investments</w:t>
            </w:r>
            <w:r w:rsidR="003136C5" w:rsidRPr="009C5096">
              <w:rPr>
                <w:webHidden/>
              </w:rPr>
              <w:tab/>
            </w:r>
            <w:r w:rsidR="003136C5" w:rsidRPr="009C5096">
              <w:rPr>
                <w:webHidden/>
              </w:rPr>
              <w:fldChar w:fldCharType="begin"/>
            </w:r>
            <w:r w:rsidR="003136C5" w:rsidRPr="009C5096">
              <w:rPr>
                <w:webHidden/>
              </w:rPr>
              <w:instrText xml:space="preserve"> PAGEREF _Toc8649807 \h </w:instrText>
            </w:r>
            <w:r w:rsidR="003136C5" w:rsidRPr="009C5096">
              <w:rPr>
                <w:webHidden/>
              </w:rPr>
            </w:r>
            <w:r w:rsidR="003136C5" w:rsidRPr="009C5096">
              <w:rPr>
                <w:webHidden/>
              </w:rPr>
              <w:fldChar w:fldCharType="separate"/>
            </w:r>
            <w:r w:rsidR="003136C5" w:rsidRPr="009C5096">
              <w:rPr>
                <w:webHidden/>
              </w:rPr>
              <w:t>11</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09" w:history="1">
            <w:r w:rsidR="003136C5" w:rsidRPr="009C5096">
              <w:rPr>
                <w:rStyle w:val="Hyperlink"/>
                <w:rFonts w:ascii="Arial" w:hAnsi="Arial" w:cs="Arial"/>
              </w:rPr>
              <w:t>3.1.</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Summary of the strategic framework of the IPARD Programme 2014-2020</w:t>
            </w:r>
            <w:r w:rsidR="003136C5" w:rsidRPr="009C5096">
              <w:rPr>
                <w:webHidden/>
              </w:rPr>
              <w:tab/>
            </w:r>
            <w:r w:rsidR="003136C5" w:rsidRPr="009C5096">
              <w:rPr>
                <w:webHidden/>
              </w:rPr>
              <w:fldChar w:fldCharType="begin"/>
            </w:r>
            <w:r w:rsidR="003136C5" w:rsidRPr="009C5096">
              <w:rPr>
                <w:webHidden/>
              </w:rPr>
              <w:instrText xml:space="preserve"> PAGEREF _Toc8649809 \h </w:instrText>
            </w:r>
            <w:r w:rsidR="003136C5" w:rsidRPr="009C5096">
              <w:rPr>
                <w:webHidden/>
              </w:rPr>
            </w:r>
            <w:r w:rsidR="003136C5" w:rsidRPr="009C5096">
              <w:rPr>
                <w:webHidden/>
              </w:rPr>
              <w:fldChar w:fldCharType="separate"/>
            </w:r>
            <w:r w:rsidR="003136C5" w:rsidRPr="009C5096">
              <w:rPr>
                <w:webHidden/>
              </w:rPr>
              <w:t>11</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10" w:history="1">
            <w:r w:rsidR="003136C5" w:rsidRPr="009C5096">
              <w:rPr>
                <w:rStyle w:val="Hyperlink"/>
                <w:rFonts w:ascii="Arial" w:hAnsi="Arial" w:cs="Arial"/>
              </w:rPr>
              <w:t>3.2.</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Analysis on progress in implementation by measure</w:t>
            </w:r>
            <w:r w:rsidR="003136C5" w:rsidRPr="009C5096">
              <w:rPr>
                <w:webHidden/>
              </w:rPr>
              <w:tab/>
            </w:r>
            <w:r w:rsidR="003136C5" w:rsidRPr="009C5096">
              <w:rPr>
                <w:webHidden/>
              </w:rPr>
              <w:fldChar w:fldCharType="begin"/>
            </w:r>
            <w:r w:rsidR="003136C5" w:rsidRPr="009C5096">
              <w:rPr>
                <w:webHidden/>
              </w:rPr>
              <w:instrText xml:space="preserve"> PAGEREF _Toc8649810 \h </w:instrText>
            </w:r>
            <w:r w:rsidR="003136C5" w:rsidRPr="009C5096">
              <w:rPr>
                <w:webHidden/>
              </w:rPr>
            </w:r>
            <w:r w:rsidR="003136C5" w:rsidRPr="009C5096">
              <w:rPr>
                <w:webHidden/>
              </w:rPr>
              <w:fldChar w:fldCharType="separate"/>
            </w:r>
            <w:r w:rsidR="003136C5" w:rsidRPr="009C5096">
              <w:rPr>
                <w:webHidden/>
              </w:rPr>
              <w:t>11</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11" w:history="1">
            <w:r w:rsidR="003136C5" w:rsidRPr="009C5096">
              <w:rPr>
                <w:rStyle w:val="Hyperlink"/>
                <w:rFonts w:ascii="Arial" w:hAnsi="Arial" w:cs="Arial"/>
              </w:rPr>
              <w:t>3.3.</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Measure 1 – Investments in physical assets of agricultural holdings</w:t>
            </w:r>
            <w:r w:rsidR="003136C5" w:rsidRPr="009C5096">
              <w:rPr>
                <w:webHidden/>
              </w:rPr>
              <w:tab/>
            </w:r>
            <w:r w:rsidR="003136C5" w:rsidRPr="009C5096">
              <w:rPr>
                <w:webHidden/>
              </w:rPr>
              <w:fldChar w:fldCharType="begin"/>
            </w:r>
            <w:r w:rsidR="003136C5" w:rsidRPr="009C5096">
              <w:rPr>
                <w:webHidden/>
              </w:rPr>
              <w:instrText xml:space="preserve"> PAGEREF _Toc8649811 \h </w:instrText>
            </w:r>
            <w:r w:rsidR="003136C5" w:rsidRPr="009C5096">
              <w:rPr>
                <w:webHidden/>
              </w:rPr>
            </w:r>
            <w:r w:rsidR="003136C5" w:rsidRPr="009C5096">
              <w:rPr>
                <w:webHidden/>
              </w:rPr>
              <w:fldChar w:fldCharType="separate"/>
            </w:r>
            <w:r w:rsidR="003136C5" w:rsidRPr="009C5096">
              <w:rPr>
                <w:webHidden/>
              </w:rPr>
              <w:t>12</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12" w:history="1">
            <w:r w:rsidR="003136C5" w:rsidRPr="009C5096">
              <w:rPr>
                <w:rStyle w:val="Hyperlink"/>
                <w:rFonts w:ascii="Arial" w:hAnsi="Arial" w:cs="Arial"/>
              </w:rPr>
              <w:t>3.4.</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Measure 3 – Investments in physical assets concerning processing and marketing of agricultural and fishery products</w:t>
            </w:r>
            <w:r w:rsidR="003136C5" w:rsidRPr="009C5096">
              <w:rPr>
                <w:webHidden/>
              </w:rPr>
              <w:tab/>
            </w:r>
            <w:r w:rsidR="003136C5" w:rsidRPr="009C5096">
              <w:rPr>
                <w:webHidden/>
              </w:rPr>
              <w:fldChar w:fldCharType="begin"/>
            </w:r>
            <w:r w:rsidR="003136C5" w:rsidRPr="009C5096">
              <w:rPr>
                <w:webHidden/>
              </w:rPr>
              <w:instrText xml:space="preserve"> PAGEREF _Toc8649812 \h </w:instrText>
            </w:r>
            <w:r w:rsidR="003136C5" w:rsidRPr="009C5096">
              <w:rPr>
                <w:webHidden/>
              </w:rPr>
            </w:r>
            <w:r w:rsidR="003136C5" w:rsidRPr="009C5096">
              <w:rPr>
                <w:webHidden/>
              </w:rPr>
              <w:fldChar w:fldCharType="separate"/>
            </w:r>
            <w:r w:rsidR="003136C5" w:rsidRPr="009C5096">
              <w:rPr>
                <w:webHidden/>
              </w:rPr>
              <w:t>15</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13" w:history="1">
            <w:r w:rsidR="003136C5" w:rsidRPr="009C5096">
              <w:rPr>
                <w:rStyle w:val="Hyperlink"/>
                <w:rFonts w:ascii="Arial" w:hAnsi="Arial" w:cs="Arial"/>
              </w:rPr>
              <w:t>3.5.</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 xml:space="preserve">Measure 7 </w:t>
            </w:r>
            <w:r w:rsidR="00612896" w:rsidRPr="009C5096">
              <w:rPr>
                <w:rStyle w:val="Hyperlink"/>
                <w:rFonts w:ascii="Arial" w:hAnsi="Arial" w:cs="Arial"/>
              </w:rPr>
              <w:t>–</w:t>
            </w:r>
            <w:r w:rsidR="003136C5" w:rsidRPr="009C5096">
              <w:rPr>
                <w:rStyle w:val="Hyperlink"/>
                <w:rFonts w:ascii="Arial" w:hAnsi="Arial" w:cs="Arial"/>
              </w:rPr>
              <w:t xml:space="preserve"> Farm diversification and business development</w:t>
            </w:r>
            <w:r w:rsidR="003136C5" w:rsidRPr="009C5096">
              <w:rPr>
                <w:webHidden/>
              </w:rPr>
              <w:tab/>
            </w:r>
            <w:r w:rsidR="003136C5" w:rsidRPr="009C5096">
              <w:rPr>
                <w:webHidden/>
              </w:rPr>
              <w:fldChar w:fldCharType="begin"/>
            </w:r>
            <w:r w:rsidR="003136C5" w:rsidRPr="009C5096">
              <w:rPr>
                <w:webHidden/>
              </w:rPr>
              <w:instrText xml:space="preserve"> PAGEREF _Toc8649813 \h </w:instrText>
            </w:r>
            <w:r w:rsidR="003136C5" w:rsidRPr="009C5096">
              <w:rPr>
                <w:webHidden/>
              </w:rPr>
            </w:r>
            <w:r w:rsidR="003136C5" w:rsidRPr="009C5096">
              <w:rPr>
                <w:webHidden/>
              </w:rPr>
              <w:fldChar w:fldCharType="separate"/>
            </w:r>
            <w:r w:rsidR="003136C5" w:rsidRPr="009C5096">
              <w:rPr>
                <w:webHidden/>
              </w:rPr>
              <w:t>16</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14" w:history="1">
            <w:r w:rsidR="003136C5" w:rsidRPr="009C5096">
              <w:rPr>
                <w:rStyle w:val="Hyperlink"/>
                <w:rFonts w:ascii="Arial" w:hAnsi="Arial" w:cs="Arial"/>
              </w:rPr>
              <w:t>3.6.</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Geographical analysis of IPARD Programme implementation</w:t>
            </w:r>
            <w:r w:rsidR="003136C5" w:rsidRPr="009C5096">
              <w:rPr>
                <w:webHidden/>
              </w:rPr>
              <w:tab/>
            </w:r>
            <w:r w:rsidR="003136C5" w:rsidRPr="009C5096">
              <w:rPr>
                <w:webHidden/>
              </w:rPr>
              <w:fldChar w:fldCharType="begin"/>
            </w:r>
            <w:r w:rsidR="003136C5" w:rsidRPr="009C5096">
              <w:rPr>
                <w:webHidden/>
              </w:rPr>
              <w:instrText xml:space="preserve"> PAGEREF _Toc8649814 \h </w:instrText>
            </w:r>
            <w:r w:rsidR="003136C5" w:rsidRPr="009C5096">
              <w:rPr>
                <w:webHidden/>
              </w:rPr>
            </w:r>
            <w:r w:rsidR="003136C5" w:rsidRPr="009C5096">
              <w:rPr>
                <w:webHidden/>
              </w:rPr>
              <w:fldChar w:fldCharType="separate"/>
            </w:r>
            <w:r w:rsidR="003136C5" w:rsidRPr="009C5096">
              <w:rPr>
                <w:webHidden/>
              </w:rPr>
              <w:t>19</w:t>
            </w:r>
            <w:r w:rsidR="003136C5" w:rsidRPr="009C5096">
              <w:rPr>
                <w:webHidden/>
              </w:rPr>
              <w:fldChar w:fldCharType="end"/>
            </w:r>
          </w:hyperlink>
        </w:p>
        <w:p w:rsidR="003136C5" w:rsidRPr="009C5096" w:rsidRDefault="00E270F3">
          <w:pPr>
            <w:pStyle w:val="TOC1"/>
            <w:rPr>
              <w:rFonts w:asciiTheme="minorHAnsi" w:eastAsiaTheme="minorEastAsia" w:hAnsiTheme="minorHAnsi" w:cstheme="minorBidi"/>
              <w:sz w:val="22"/>
              <w:szCs w:val="22"/>
            </w:rPr>
          </w:pPr>
          <w:hyperlink w:anchor="_Toc8649815" w:history="1">
            <w:r w:rsidR="003136C5" w:rsidRPr="009C5096">
              <w:rPr>
                <w:rStyle w:val="Hyperlink"/>
                <w:rFonts w:ascii="StobiSerif Regular" w:hAnsi="StobiSerif Regular" w:cs="Arial"/>
              </w:rPr>
              <w:t>4.</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Actions undertaken for improvement of quality and efficiency of IPARD implementation</w:t>
            </w:r>
            <w:r w:rsidR="003136C5" w:rsidRPr="009C5096">
              <w:rPr>
                <w:webHidden/>
              </w:rPr>
              <w:tab/>
            </w:r>
            <w:r w:rsidR="003136C5" w:rsidRPr="009C5096">
              <w:rPr>
                <w:webHidden/>
              </w:rPr>
              <w:fldChar w:fldCharType="begin"/>
            </w:r>
            <w:r w:rsidR="003136C5" w:rsidRPr="009C5096">
              <w:rPr>
                <w:webHidden/>
              </w:rPr>
              <w:instrText xml:space="preserve"> PAGEREF _Toc8649815 \h </w:instrText>
            </w:r>
            <w:r w:rsidR="003136C5" w:rsidRPr="009C5096">
              <w:rPr>
                <w:webHidden/>
              </w:rPr>
            </w:r>
            <w:r w:rsidR="003136C5" w:rsidRPr="009C5096">
              <w:rPr>
                <w:webHidden/>
              </w:rPr>
              <w:fldChar w:fldCharType="separate"/>
            </w:r>
            <w:r w:rsidR="003136C5" w:rsidRPr="009C5096">
              <w:rPr>
                <w:webHidden/>
              </w:rPr>
              <w:t>21</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17" w:history="1">
            <w:r w:rsidR="003136C5" w:rsidRPr="009C5096">
              <w:rPr>
                <w:rStyle w:val="Hyperlink"/>
                <w:rFonts w:ascii="Arial" w:hAnsi="Arial" w:cs="Arial"/>
              </w:rPr>
              <w:t>4.1.</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 xml:space="preserve">Activities undertaken by </w:t>
            </w:r>
            <w:r w:rsidR="00612896" w:rsidRPr="009C5096">
              <w:rPr>
                <w:rStyle w:val="Hyperlink"/>
                <w:rFonts w:ascii="Arial" w:hAnsi="Arial" w:cs="Arial"/>
              </w:rPr>
              <w:t xml:space="preserve">the </w:t>
            </w:r>
            <w:r w:rsidR="003136C5" w:rsidRPr="009C5096">
              <w:rPr>
                <w:rStyle w:val="Hyperlink"/>
                <w:rFonts w:ascii="Arial" w:hAnsi="Arial" w:cs="Arial"/>
              </w:rPr>
              <w:t>Managing Authority</w:t>
            </w:r>
            <w:r w:rsidR="003136C5" w:rsidRPr="009C5096">
              <w:rPr>
                <w:webHidden/>
              </w:rPr>
              <w:tab/>
            </w:r>
            <w:r w:rsidR="003136C5" w:rsidRPr="009C5096">
              <w:rPr>
                <w:webHidden/>
              </w:rPr>
              <w:fldChar w:fldCharType="begin"/>
            </w:r>
            <w:r w:rsidR="003136C5" w:rsidRPr="009C5096">
              <w:rPr>
                <w:webHidden/>
              </w:rPr>
              <w:instrText xml:space="preserve"> PAGEREF _Toc8649817 \h </w:instrText>
            </w:r>
            <w:r w:rsidR="003136C5" w:rsidRPr="009C5096">
              <w:rPr>
                <w:webHidden/>
              </w:rPr>
            </w:r>
            <w:r w:rsidR="003136C5" w:rsidRPr="009C5096">
              <w:rPr>
                <w:webHidden/>
              </w:rPr>
              <w:fldChar w:fldCharType="separate"/>
            </w:r>
            <w:r w:rsidR="003136C5" w:rsidRPr="009C5096">
              <w:rPr>
                <w:webHidden/>
              </w:rPr>
              <w:t>21</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18" w:history="1">
            <w:r w:rsidR="003136C5" w:rsidRPr="009C5096">
              <w:rPr>
                <w:rStyle w:val="Hyperlink"/>
                <w:rFonts w:ascii="Arial" w:hAnsi="Arial" w:cs="Arial"/>
              </w:rPr>
              <w:t>4.2.</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Activities undertaken by NAO and NF</w:t>
            </w:r>
            <w:r w:rsidR="003136C5" w:rsidRPr="009C5096">
              <w:rPr>
                <w:webHidden/>
              </w:rPr>
              <w:tab/>
            </w:r>
            <w:r w:rsidR="003136C5" w:rsidRPr="009C5096">
              <w:rPr>
                <w:webHidden/>
              </w:rPr>
              <w:fldChar w:fldCharType="begin"/>
            </w:r>
            <w:r w:rsidR="003136C5" w:rsidRPr="009C5096">
              <w:rPr>
                <w:webHidden/>
              </w:rPr>
              <w:instrText xml:space="preserve"> PAGEREF _Toc8649818 \h </w:instrText>
            </w:r>
            <w:r w:rsidR="003136C5" w:rsidRPr="009C5096">
              <w:rPr>
                <w:webHidden/>
              </w:rPr>
            </w:r>
            <w:r w:rsidR="003136C5" w:rsidRPr="009C5096">
              <w:rPr>
                <w:webHidden/>
              </w:rPr>
              <w:fldChar w:fldCharType="separate"/>
            </w:r>
            <w:r w:rsidR="003136C5" w:rsidRPr="009C5096">
              <w:rPr>
                <w:webHidden/>
              </w:rPr>
              <w:t>21</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19" w:history="1">
            <w:r w:rsidR="003136C5" w:rsidRPr="009C5096">
              <w:rPr>
                <w:rStyle w:val="Hyperlink"/>
                <w:rFonts w:ascii="Arial" w:hAnsi="Arial" w:cs="Arial"/>
              </w:rPr>
              <w:t>4.3.</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 xml:space="preserve">Activities undertaken by </w:t>
            </w:r>
            <w:r w:rsidR="00612896" w:rsidRPr="009C5096">
              <w:rPr>
                <w:rStyle w:val="Hyperlink"/>
                <w:rFonts w:ascii="Arial" w:hAnsi="Arial" w:cs="Arial"/>
              </w:rPr>
              <w:t xml:space="preserve">the </w:t>
            </w:r>
            <w:r w:rsidR="003136C5" w:rsidRPr="009C5096">
              <w:rPr>
                <w:rStyle w:val="Hyperlink"/>
                <w:rFonts w:ascii="Arial" w:hAnsi="Arial" w:cs="Arial"/>
              </w:rPr>
              <w:t>IPARD Agency</w:t>
            </w:r>
            <w:r w:rsidR="003136C5" w:rsidRPr="009C5096">
              <w:rPr>
                <w:webHidden/>
              </w:rPr>
              <w:tab/>
            </w:r>
            <w:r w:rsidR="003136C5" w:rsidRPr="009C5096">
              <w:rPr>
                <w:webHidden/>
              </w:rPr>
              <w:fldChar w:fldCharType="begin"/>
            </w:r>
            <w:r w:rsidR="003136C5" w:rsidRPr="009C5096">
              <w:rPr>
                <w:webHidden/>
              </w:rPr>
              <w:instrText xml:space="preserve"> PAGEREF _Toc8649819 \h </w:instrText>
            </w:r>
            <w:r w:rsidR="003136C5" w:rsidRPr="009C5096">
              <w:rPr>
                <w:webHidden/>
              </w:rPr>
            </w:r>
            <w:r w:rsidR="003136C5" w:rsidRPr="009C5096">
              <w:rPr>
                <w:webHidden/>
              </w:rPr>
              <w:fldChar w:fldCharType="separate"/>
            </w:r>
            <w:r w:rsidR="003136C5" w:rsidRPr="009C5096">
              <w:rPr>
                <w:webHidden/>
              </w:rPr>
              <w:t>28</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20" w:history="1">
            <w:r w:rsidR="003136C5" w:rsidRPr="009C5096">
              <w:rPr>
                <w:rStyle w:val="Hyperlink"/>
                <w:rFonts w:ascii="Arial" w:hAnsi="Arial" w:cs="Arial"/>
              </w:rPr>
              <w:t>4.4.</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Report on the work of the IPARD Monitoring Committee</w:t>
            </w:r>
            <w:r w:rsidR="003136C5" w:rsidRPr="009C5096">
              <w:rPr>
                <w:webHidden/>
              </w:rPr>
              <w:tab/>
            </w:r>
            <w:r w:rsidR="003136C5" w:rsidRPr="009C5096">
              <w:rPr>
                <w:webHidden/>
              </w:rPr>
              <w:fldChar w:fldCharType="begin"/>
            </w:r>
            <w:r w:rsidR="003136C5" w:rsidRPr="009C5096">
              <w:rPr>
                <w:webHidden/>
              </w:rPr>
              <w:instrText xml:space="preserve"> PAGEREF _Toc8649820 \h </w:instrText>
            </w:r>
            <w:r w:rsidR="003136C5" w:rsidRPr="009C5096">
              <w:rPr>
                <w:webHidden/>
              </w:rPr>
            </w:r>
            <w:r w:rsidR="003136C5" w:rsidRPr="009C5096">
              <w:rPr>
                <w:webHidden/>
              </w:rPr>
              <w:fldChar w:fldCharType="separate"/>
            </w:r>
            <w:r w:rsidR="003136C5" w:rsidRPr="009C5096">
              <w:rPr>
                <w:webHidden/>
              </w:rPr>
              <w:t>31</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21" w:history="1">
            <w:r w:rsidR="003136C5" w:rsidRPr="009C5096">
              <w:rPr>
                <w:rStyle w:val="Hyperlink"/>
                <w:rFonts w:ascii="Arial" w:hAnsi="Arial" w:cs="Arial"/>
              </w:rPr>
              <w:t>4.5.</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Evaluation of the IPARD Programme</w:t>
            </w:r>
            <w:r w:rsidR="003136C5" w:rsidRPr="009C5096">
              <w:rPr>
                <w:webHidden/>
              </w:rPr>
              <w:tab/>
            </w:r>
            <w:r w:rsidR="003136C5" w:rsidRPr="009C5096">
              <w:rPr>
                <w:webHidden/>
              </w:rPr>
              <w:fldChar w:fldCharType="begin"/>
            </w:r>
            <w:r w:rsidR="003136C5" w:rsidRPr="009C5096">
              <w:rPr>
                <w:webHidden/>
              </w:rPr>
              <w:instrText xml:space="preserve"> PAGEREF _Toc8649821 \h </w:instrText>
            </w:r>
            <w:r w:rsidR="003136C5" w:rsidRPr="009C5096">
              <w:rPr>
                <w:webHidden/>
              </w:rPr>
            </w:r>
            <w:r w:rsidR="003136C5" w:rsidRPr="009C5096">
              <w:rPr>
                <w:webHidden/>
              </w:rPr>
              <w:fldChar w:fldCharType="separate"/>
            </w:r>
            <w:r w:rsidR="003136C5" w:rsidRPr="009C5096">
              <w:rPr>
                <w:webHidden/>
              </w:rPr>
              <w:t>31</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22" w:history="1">
            <w:r w:rsidR="003136C5" w:rsidRPr="009C5096">
              <w:rPr>
                <w:rStyle w:val="Hyperlink"/>
                <w:rFonts w:ascii="Arial" w:hAnsi="Arial" w:cs="Arial"/>
              </w:rPr>
              <w:t>4.6.</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The use of Technical Assistance</w:t>
            </w:r>
            <w:r w:rsidR="003136C5" w:rsidRPr="009C5096">
              <w:rPr>
                <w:webHidden/>
              </w:rPr>
              <w:tab/>
            </w:r>
            <w:r w:rsidR="003136C5" w:rsidRPr="009C5096">
              <w:rPr>
                <w:webHidden/>
              </w:rPr>
              <w:fldChar w:fldCharType="begin"/>
            </w:r>
            <w:r w:rsidR="003136C5" w:rsidRPr="009C5096">
              <w:rPr>
                <w:webHidden/>
              </w:rPr>
              <w:instrText xml:space="preserve"> PAGEREF _Toc8649822 \h </w:instrText>
            </w:r>
            <w:r w:rsidR="003136C5" w:rsidRPr="009C5096">
              <w:rPr>
                <w:webHidden/>
              </w:rPr>
            </w:r>
            <w:r w:rsidR="003136C5" w:rsidRPr="009C5096">
              <w:rPr>
                <w:webHidden/>
              </w:rPr>
              <w:fldChar w:fldCharType="separate"/>
            </w:r>
            <w:r w:rsidR="003136C5" w:rsidRPr="009C5096">
              <w:rPr>
                <w:webHidden/>
              </w:rPr>
              <w:t>33</w:t>
            </w:r>
            <w:r w:rsidR="003136C5" w:rsidRPr="009C5096">
              <w:rPr>
                <w:webHidden/>
              </w:rPr>
              <w:fldChar w:fldCharType="end"/>
            </w:r>
          </w:hyperlink>
        </w:p>
        <w:p w:rsidR="003136C5" w:rsidRPr="009C5096" w:rsidRDefault="00E270F3">
          <w:pPr>
            <w:pStyle w:val="TOC2"/>
            <w:tabs>
              <w:tab w:val="left" w:pos="1100"/>
            </w:tabs>
            <w:rPr>
              <w:rFonts w:asciiTheme="minorHAnsi" w:eastAsiaTheme="minorEastAsia" w:hAnsiTheme="minorHAnsi" w:cstheme="minorBidi"/>
              <w:sz w:val="22"/>
              <w:szCs w:val="22"/>
            </w:rPr>
          </w:pPr>
          <w:hyperlink w:anchor="_Toc8649823" w:history="1">
            <w:r w:rsidR="003136C5" w:rsidRPr="009C5096">
              <w:rPr>
                <w:rStyle w:val="Hyperlink"/>
                <w:rFonts w:ascii="Arial" w:hAnsi="Arial" w:cs="Arial"/>
              </w:rPr>
              <w:t>4.7.</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Implementation of the Communication Plan</w:t>
            </w:r>
            <w:r w:rsidR="003136C5" w:rsidRPr="009C5096">
              <w:rPr>
                <w:webHidden/>
              </w:rPr>
              <w:tab/>
            </w:r>
            <w:r w:rsidR="003136C5" w:rsidRPr="009C5096">
              <w:rPr>
                <w:webHidden/>
              </w:rPr>
              <w:fldChar w:fldCharType="begin"/>
            </w:r>
            <w:r w:rsidR="003136C5" w:rsidRPr="009C5096">
              <w:rPr>
                <w:webHidden/>
              </w:rPr>
              <w:instrText xml:space="preserve"> PAGEREF _Toc8649823 \h </w:instrText>
            </w:r>
            <w:r w:rsidR="003136C5" w:rsidRPr="009C5096">
              <w:rPr>
                <w:webHidden/>
              </w:rPr>
            </w:r>
            <w:r w:rsidR="003136C5" w:rsidRPr="009C5096">
              <w:rPr>
                <w:webHidden/>
              </w:rPr>
              <w:fldChar w:fldCharType="separate"/>
            </w:r>
            <w:r w:rsidR="003136C5" w:rsidRPr="009C5096">
              <w:rPr>
                <w:webHidden/>
              </w:rPr>
              <w:t>33</w:t>
            </w:r>
            <w:r w:rsidR="003136C5" w:rsidRPr="009C5096">
              <w:rPr>
                <w:webHidden/>
              </w:rPr>
              <w:fldChar w:fldCharType="end"/>
            </w:r>
          </w:hyperlink>
        </w:p>
        <w:p w:rsidR="003136C5" w:rsidRPr="009C5096" w:rsidRDefault="00E270F3">
          <w:pPr>
            <w:pStyle w:val="TOC1"/>
            <w:rPr>
              <w:rFonts w:asciiTheme="minorHAnsi" w:eastAsiaTheme="minorEastAsia" w:hAnsiTheme="minorHAnsi" w:cstheme="minorBidi"/>
              <w:sz w:val="22"/>
              <w:szCs w:val="22"/>
            </w:rPr>
          </w:pPr>
          <w:hyperlink w:anchor="_Toc8649824" w:history="1">
            <w:r w:rsidR="003136C5" w:rsidRPr="009C5096">
              <w:rPr>
                <w:rStyle w:val="Hyperlink"/>
                <w:rFonts w:ascii="StobiSerif Regular" w:hAnsi="StobiSerif Regular" w:cs="Arial"/>
              </w:rPr>
              <w:t>5.</w:t>
            </w:r>
            <w:r w:rsidR="003136C5" w:rsidRPr="009C5096">
              <w:rPr>
                <w:rFonts w:asciiTheme="minorHAnsi" w:eastAsiaTheme="minorEastAsia" w:hAnsiTheme="minorHAnsi" w:cstheme="minorBidi"/>
                <w:sz w:val="22"/>
                <w:szCs w:val="22"/>
              </w:rPr>
              <w:tab/>
            </w:r>
            <w:r w:rsidR="003136C5" w:rsidRPr="009C5096">
              <w:rPr>
                <w:rStyle w:val="Hyperlink"/>
                <w:rFonts w:ascii="Arial" w:hAnsi="Arial" w:cs="Arial"/>
              </w:rPr>
              <w:t>Coordination of IPARD funds with national funding, other IPA components, IFI’s and donor support</w:t>
            </w:r>
            <w:r w:rsidR="003136C5" w:rsidRPr="009C5096">
              <w:rPr>
                <w:webHidden/>
              </w:rPr>
              <w:tab/>
            </w:r>
            <w:r w:rsidR="003136C5" w:rsidRPr="009C5096">
              <w:rPr>
                <w:webHidden/>
              </w:rPr>
              <w:fldChar w:fldCharType="begin"/>
            </w:r>
            <w:r w:rsidR="003136C5" w:rsidRPr="009C5096">
              <w:rPr>
                <w:webHidden/>
              </w:rPr>
              <w:instrText xml:space="preserve"> PAGEREF _Toc8649824 \h </w:instrText>
            </w:r>
            <w:r w:rsidR="003136C5" w:rsidRPr="009C5096">
              <w:rPr>
                <w:webHidden/>
              </w:rPr>
            </w:r>
            <w:r w:rsidR="003136C5" w:rsidRPr="009C5096">
              <w:rPr>
                <w:webHidden/>
              </w:rPr>
              <w:fldChar w:fldCharType="separate"/>
            </w:r>
            <w:r w:rsidR="003136C5" w:rsidRPr="009C5096">
              <w:rPr>
                <w:webHidden/>
              </w:rPr>
              <w:t>36</w:t>
            </w:r>
            <w:r w:rsidR="003136C5" w:rsidRPr="009C5096">
              <w:rPr>
                <w:webHidden/>
              </w:rPr>
              <w:fldChar w:fldCharType="end"/>
            </w:r>
          </w:hyperlink>
        </w:p>
        <w:p w:rsidR="003136C5" w:rsidRPr="009C5096" w:rsidRDefault="003136C5" w:rsidP="003136C5">
          <w:pPr>
            <w:rPr>
              <w:rFonts w:ascii="Arial" w:hAnsi="Arial" w:cs="Arial"/>
              <w:b/>
              <w:bCs/>
            </w:rPr>
          </w:pPr>
          <w:r w:rsidRPr="009C5096">
            <w:rPr>
              <w:rFonts w:ascii="Arial" w:hAnsi="Arial" w:cs="Arial"/>
              <w:bCs/>
            </w:rPr>
            <w:fldChar w:fldCharType="end"/>
          </w:r>
        </w:p>
      </w:sdtContent>
    </w:sdt>
    <w:p w:rsidR="003136C5" w:rsidRPr="009C5096" w:rsidRDefault="003136C5">
      <w:pPr>
        <w:rPr>
          <w:rFonts w:ascii="Arial" w:hAnsi="Arial" w:cs="Arial"/>
        </w:rPr>
      </w:pPr>
      <w:r w:rsidRPr="009C5096">
        <w:rPr>
          <w:rFonts w:ascii="Arial" w:hAnsi="Arial" w:cs="Arial"/>
        </w:rPr>
        <w:br w:type="page"/>
      </w:r>
    </w:p>
    <w:p w:rsidR="003136C5" w:rsidRPr="009C5096" w:rsidRDefault="003136C5" w:rsidP="003136C5">
      <w:pPr>
        <w:pStyle w:val="TableofFigures"/>
        <w:tabs>
          <w:tab w:val="right" w:leader="dot" w:pos="9350"/>
        </w:tabs>
        <w:rPr>
          <w:rFonts w:ascii="Arial" w:hAnsi="Arial" w:cs="Arial"/>
        </w:rPr>
      </w:pPr>
      <w:r w:rsidRPr="009C5096">
        <w:rPr>
          <w:rFonts w:ascii="Arial" w:hAnsi="Arial" w:cs="Arial"/>
        </w:rPr>
        <w:lastRenderedPageBreak/>
        <w:t>List of tables:</w:t>
      </w:r>
    </w:p>
    <w:p w:rsidR="003136C5" w:rsidRPr="009C5096" w:rsidRDefault="003136C5" w:rsidP="003136C5">
      <w:pPr>
        <w:pStyle w:val="TableofFigures"/>
        <w:tabs>
          <w:tab w:val="right" w:leader="dot" w:pos="9350"/>
        </w:tabs>
        <w:rPr>
          <w:rFonts w:ascii="Arial" w:eastAsiaTheme="minorEastAsia" w:hAnsi="Arial" w:cs="Arial"/>
        </w:rPr>
      </w:pPr>
      <w:r w:rsidRPr="009C5096">
        <w:rPr>
          <w:rFonts w:ascii="Arial" w:hAnsi="Arial" w:cs="Arial"/>
        </w:rPr>
        <w:fldChar w:fldCharType="begin"/>
      </w:r>
      <w:r w:rsidRPr="009C5096">
        <w:rPr>
          <w:rFonts w:ascii="Arial" w:hAnsi="Arial" w:cs="Arial"/>
        </w:rPr>
        <w:instrText xml:space="preserve"> TOC \h \z \c "Table" </w:instrText>
      </w:r>
      <w:r w:rsidRPr="009C5096">
        <w:rPr>
          <w:rFonts w:ascii="Arial" w:hAnsi="Arial" w:cs="Arial"/>
        </w:rPr>
        <w:fldChar w:fldCharType="separate"/>
      </w:r>
      <w:hyperlink w:anchor="_Toc6902267" w:history="1">
        <w:r w:rsidRPr="009C5096">
          <w:rPr>
            <w:rStyle w:val="Hyperlink"/>
            <w:rFonts w:ascii="Arial" w:hAnsi="Arial" w:cs="Arial"/>
          </w:rPr>
          <w:t>Table 1: Main macroeconomic indicators</w:t>
        </w:r>
        <w:r w:rsidRPr="009C5096">
          <w:rPr>
            <w:rFonts w:ascii="Arial" w:hAnsi="Arial" w:cs="Arial"/>
            <w:webHidden/>
          </w:rPr>
          <w:tab/>
        </w:r>
        <w:r w:rsidRPr="009C5096">
          <w:rPr>
            <w:rFonts w:ascii="Arial" w:hAnsi="Arial" w:cs="Arial"/>
            <w:webHidden/>
          </w:rPr>
          <w:fldChar w:fldCharType="begin"/>
        </w:r>
        <w:r w:rsidRPr="009C5096">
          <w:rPr>
            <w:rFonts w:ascii="Arial" w:hAnsi="Arial" w:cs="Arial"/>
            <w:webHidden/>
          </w:rPr>
          <w:instrText xml:space="preserve"> PAGEREF _Toc6902267 \h </w:instrText>
        </w:r>
        <w:r w:rsidRPr="009C5096">
          <w:rPr>
            <w:rFonts w:ascii="Arial" w:hAnsi="Arial" w:cs="Arial"/>
            <w:webHidden/>
          </w:rPr>
        </w:r>
        <w:r w:rsidRPr="009C5096">
          <w:rPr>
            <w:rFonts w:ascii="Arial" w:hAnsi="Arial" w:cs="Arial"/>
            <w:webHidden/>
          </w:rPr>
          <w:fldChar w:fldCharType="separate"/>
        </w:r>
        <w:r w:rsidRPr="009C5096">
          <w:rPr>
            <w:rFonts w:ascii="Arial" w:hAnsi="Arial" w:cs="Arial"/>
            <w:webHidden/>
          </w:rPr>
          <w:t>5</w:t>
        </w:r>
        <w:r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68" w:history="1">
        <w:r w:rsidR="003136C5" w:rsidRPr="009C5096">
          <w:rPr>
            <w:rStyle w:val="Hyperlink"/>
            <w:rFonts w:ascii="Arial" w:hAnsi="Arial" w:cs="Arial"/>
          </w:rPr>
          <w:t>Table 2: Agricultural areas by category of use in 000 hectares</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_Toc6902268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7</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69" w:history="1">
        <w:r w:rsidR="003136C5" w:rsidRPr="009C5096">
          <w:rPr>
            <w:rStyle w:val="Hyperlink"/>
            <w:rFonts w:ascii="Arial" w:hAnsi="Arial" w:cs="Arial"/>
          </w:rPr>
          <w:t>Table 3: Average net salary by employee in €</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_Toc6902269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9</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70" w:history="1">
        <w:r w:rsidR="003136C5" w:rsidRPr="009C5096">
          <w:rPr>
            <w:rStyle w:val="Hyperlink"/>
            <w:rFonts w:ascii="Arial" w:hAnsi="Arial" w:cs="Arial"/>
          </w:rPr>
          <w:t>Table 4: Employees in agriculture, forestry and fisheries</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_Toc6902270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9</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71" w:history="1">
        <w:r w:rsidR="003136C5" w:rsidRPr="009C5096">
          <w:rPr>
            <w:rStyle w:val="Hyperlink"/>
            <w:rFonts w:ascii="Arial" w:hAnsi="Arial" w:cs="Arial"/>
          </w:rPr>
          <w:t>Table 5: Total trade and trade with agricultural and fishery products 2014-2018 (in million €)</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_Toc6902271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9</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72" w:history="1">
        <w:r w:rsidR="003136C5" w:rsidRPr="009C5096">
          <w:rPr>
            <w:rStyle w:val="Hyperlink"/>
            <w:rFonts w:ascii="Arial" w:hAnsi="Arial" w:cs="Arial"/>
          </w:rPr>
          <w:t>Table 6: Amounts of support (in €) by the Programme for direct payments</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_Toc6902272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12</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73" w:history="1">
        <w:r w:rsidR="003136C5" w:rsidRPr="009C5096">
          <w:rPr>
            <w:rStyle w:val="Hyperlink"/>
            <w:rFonts w:ascii="Arial" w:hAnsi="Arial" w:cs="Arial"/>
          </w:rPr>
          <w:t>Table 7: Amounts of support (in €) by the Programme for rural development</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_Toc6902273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12</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74" w:history="1">
        <w:r w:rsidR="003136C5" w:rsidRPr="009C5096">
          <w:rPr>
            <w:rStyle w:val="Hyperlink"/>
            <w:rFonts w:ascii="Arial" w:hAnsi="Arial" w:cs="Arial"/>
          </w:rPr>
          <w:t>Table 8: Budget of EU Contribution by measure 2014-2020, in €</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_Toc6902274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13</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75" w:history="1">
        <w:r w:rsidR="003136C5" w:rsidRPr="009C5096">
          <w:rPr>
            <w:rStyle w:val="Hyperlink"/>
            <w:rFonts w:ascii="Arial" w:hAnsi="Arial" w:cs="Arial"/>
          </w:rPr>
          <w:t>Table 9: Overview of implementation of IPARD per public calls in €</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_Toc6902275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14</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76" w:history="1">
        <w:r w:rsidR="003136C5" w:rsidRPr="009C5096">
          <w:rPr>
            <w:rStyle w:val="Hyperlink"/>
            <w:rFonts w:ascii="Arial" w:hAnsi="Arial" w:cs="Arial"/>
          </w:rPr>
          <w:t>Table 10: Indicators on quality of implementation</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_Toc6902276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14</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77" w:history="1">
        <w:r w:rsidR="003136C5" w:rsidRPr="009C5096">
          <w:rPr>
            <w:rStyle w:val="Hyperlink"/>
            <w:rFonts w:ascii="Arial" w:hAnsi="Arial" w:cs="Arial"/>
          </w:rPr>
          <w:t>Table 11: Overview of objectives fulfilment by applications in Measure 1</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_Toc6902277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15</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78" w:history="1">
        <w:r w:rsidR="003136C5" w:rsidRPr="009C5096">
          <w:rPr>
            <w:rStyle w:val="Hyperlink"/>
            <w:rFonts w:ascii="Arial" w:hAnsi="Arial" w:cs="Arial"/>
          </w:rPr>
          <w:t>Table 12: Review of applications per priority sectors in Measure 1</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_Toc6902278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16</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79" w:history="1">
        <w:r w:rsidR="003136C5" w:rsidRPr="009C5096">
          <w:rPr>
            <w:rStyle w:val="Hyperlink"/>
            <w:rFonts w:ascii="Arial" w:hAnsi="Arial" w:cs="Arial"/>
          </w:rPr>
          <w:t>Table 13: Overview of objectives fulfilment by applications in Measure 3</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_Toc6902279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18</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80" w:history="1">
        <w:r w:rsidR="003136C5" w:rsidRPr="009C5096">
          <w:rPr>
            <w:rStyle w:val="Hyperlink"/>
            <w:rFonts w:ascii="Arial" w:hAnsi="Arial" w:cs="Arial"/>
          </w:rPr>
          <w:t>Table 14: Review of applications per priority sectors in Measure 3</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_Toc6902280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19</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81" w:history="1">
        <w:r w:rsidR="003136C5" w:rsidRPr="009C5096">
          <w:rPr>
            <w:rStyle w:val="Hyperlink"/>
            <w:rFonts w:ascii="Arial" w:hAnsi="Arial" w:cs="Arial"/>
          </w:rPr>
          <w:t>Table 15: Overview of objectives fulfilment by applications in Measure 7</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_Toc6902281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20</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82" w:history="1">
        <w:r w:rsidR="003136C5" w:rsidRPr="009C5096">
          <w:rPr>
            <w:rStyle w:val="Hyperlink"/>
            <w:rFonts w:ascii="Arial" w:hAnsi="Arial" w:cs="Arial"/>
          </w:rPr>
          <w:t>Table 16: Review of applications per priority sectors in Measure 7</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_Toc6902282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21</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2283" w:history="1">
        <w:r w:rsidR="003136C5" w:rsidRPr="009C5096">
          <w:rPr>
            <w:rStyle w:val="Hyperlink"/>
            <w:rFonts w:ascii="Arial" w:hAnsi="Arial" w:cs="Arial"/>
          </w:rPr>
          <w:t>Table 17: Review of applications per Municipalties</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_Toc6902283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23</w:t>
        </w:r>
        <w:r w:rsidR="003136C5" w:rsidRPr="009C5096">
          <w:rPr>
            <w:rFonts w:ascii="Arial" w:hAnsi="Arial" w:cs="Arial"/>
            <w:webHidden/>
          </w:rPr>
          <w:fldChar w:fldCharType="end"/>
        </w:r>
      </w:hyperlink>
    </w:p>
    <w:p w:rsidR="003136C5" w:rsidRPr="009C5096" w:rsidRDefault="003136C5" w:rsidP="003136C5">
      <w:pPr>
        <w:rPr>
          <w:rFonts w:ascii="Arial" w:hAnsi="Arial" w:cs="Arial"/>
        </w:rPr>
      </w:pPr>
      <w:r w:rsidRPr="009C5096">
        <w:rPr>
          <w:rFonts w:ascii="Arial" w:hAnsi="Arial" w:cs="Arial"/>
        </w:rPr>
        <w:fldChar w:fldCharType="end"/>
      </w:r>
    </w:p>
    <w:p w:rsidR="003136C5" w:rsidRPr="009C5096" w:rsidRDefault="003136C5" w:rsidP="003136C5">
      <w:pPr>
        <w:rPr>
          <w:rFonts w:ascii="Arial" w:hAnsi="Arial" w:cs="Arial"/>
        </w:rPr>
      </w:pPr>
      <w:r w:rsidRPr="009C5096">
        <w:rPr>
          <w:rFonts w:ascii="Arial" w:hAnsi="Arial" w:cs="Arial"/>
        </w:rPr>
        <w:t>List of figures:</w:t>
      </w:r>
    </w:p>
    <w:p w:rsidR="003136C5" w:rsidRPr="009C5096" w:rsidRDefault="003136C5" w:rsidP="003136C5">
      <w:pPr>
        <w:pStyle w:val="TableofFigures"/>
        <w:tabs>
          <w:tab w:val="right" w:leader="dot" w:pos="9350"/>
        </w:tabs>
        <w:rPr>
          <w:rFonts w:ascii="Arial" w:eastAsiaTheme="minorEastAsia" w:hAnsi="Arial" w:cs="Arial"/>
        </w:rPr>
      </w:pPr>
      <w:r w:rsidRPr="009C5096">
        <w:rPr>
          <w:rFonts w:ascii="Arial" w:hAnsi="Arial" w:cs="Arial"/>
        </w:rPr>
        <w:fldChar w:fldCharType="begin"/>
      </w:r>
      <w:r w:rsidRPr="009C5096">
        <w:rPr>
          <w:rFonts w:ascii="Arial" w:hAnsi="Arial" w:cs="Arial"/>
        </w:rPr>
        <w:instrText xml:space="preserve"> TOC \h \z \c "Figure" </w:instrText>
      </w:r>
      <w:r w:rsidRPr="009C5096">
        <w:rPr>
          <w:rFonts w:ascii="Arial" w:hAnsi="Arial" w:cs="Arial"/>
        </w:rPr>
        <w:fldChar w:fldCharType="separate"/>
      </w:r>
      <w:hyperlink w:anchor="_Toc6903701" w:history="1">
        <w:r w:rsidRPr="009C5096">
          <w:rPr>
            <w:rStyle w:val="Hyperlink"/>
            <w:rFonts w:ascii="Arial" w:hAnsi="Arial" w:cs="Arial"/>
          </w:rPr>
          <w:t>Figure 1:</w:t>
        </w:r>
        <w:r w:rsidRPr="009C5096">
          <w:rPr>
            <w:rStyle w:val="Hyperlink"/>
            <w:rFonts w:ascii="Arial" w:eastAsia="Calibri" w:hAnsi="Arial" w:cs="Arial"/>
            <w:lang w:eastAsia="en-GB"/>
          </w:rPr>
          <w:t xml:space="preserve"> Structure of total population by age groups, 2015</w:t>
        </w:r>
        <w:r w:rsidRPr="009C5096">
          <w:rPr>
            <w:rFonts w:ascii="Arial" w:hAnsi="Arial" w:cs="Arial"/>
            <w:webHidden/>
          </w:rPr>
          <w:tab/>
        </w:r>
        <w:r w:rsidRPr="009C5096">
          <w:rPr>
            <w:rFonts w:ascii="Arial" w:hAnsi="Arial" w:cs="Arial"/>
            <w:webHidden/>
          </w:rPr>
          <w:fldChar w:fldCharType="begin"/>
        </w:r>
        <w:r w:rsidRPr="009C5096">
          <w:rPr>
            <w:rFonts w:ascii="Arial" w:hAnsi="Arial" w:cs="Arial"/>
            <w:webHidden/>
          </w:rPr>
          <w:instrText xml:space="preserve"> PAGEREF _Toc6903701 \h </w:instrText>
        </w:r>
        <w:r w:rsidRPr="009C5096">
          <w:rPr>
            <w:rFonts w:ascii="Arial" w:hAnsi="Arial" w:cs="Arial"/>
            <w:webHidden/>
          </w:rPr>
        </w:r>
        <w:r w:rsidRPr="009C5096">
          <w:rPr>
            <w:rFonts w:ascii="Arial" w:hAnsi="Arial" w:cs="Arial"/>
            <w:webHidden/>
          </w:rPr>
          <w:fldChar w:fldCharType="separate"/>
        </w:r>
        <w:r w:rsidRPr="009C5096">
          <w:rPr>
            <w:rFonts w:ascii="Arial" w:hAnsi="Arial" w:cs="Arial"/>
            <w:webHidden/>
          </w:rPr>
          <w:t>7</w:t>
        </w:r>
        <w:r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3702" w:history="1">
        <w:r w:rsidR="003136C5" w:rsidRPr="009C5096">
          <w:rPr>
            <w:rStyle w:val="Hyperlink"/>
            <w:rFonts w:ascii="Arial" w:hAnsi="Arial" w:cs="Arial"/>
          </w:rPr>
          <w:t>Figure 2:</w:t>
        </w:r>
        <w:r w:rsidR="003136C5" w:rsidRPr="009C5096">
          <w:rPr>
            <w:rStyle w:val="Hyperlink"/>
            <w:rFonts w:ascii="Arial" w:eastAsia="Calibri" w:hAnsi="Arial" w:cs="Arial"/>
            <w:lang w:eastAsia="en-GB"/>
          </w:rPr>
          <w:t xml:space="preserve"> Development of Macedonian agricultural trade (in million €), 2014-2018 period</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_Toc6903702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10</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3703" w:history="1">
        <w:r w:rsidR="003136C5" w:rsidRPr="009C5096">
          <w:rPr>
            <w:rStyle w:val="Hyperlink"/>
            <w:rFonts w:ascii="Arial" w:hAnsi="Arial" w:cs="Arial"/>
          </w:rPr>
          <w:t>Figure 3: Review of applications per value of investments in Measure 1</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_Toc6903703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15</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3704" w:history="1">
        <w:r w:rsidR="003136C5" w:rsidRPr="009C5096">
          <w:rPr>
            <w:rStyle w:val="Hyperlink"/>
            <w:rFonts w:ascii="Arial" w:hAnsi="Arial" w:cs="Arial"/>
          </w:rPr>
          <w:t>Figure 4: Review of applications per production culture in Measure 1</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_Toc6903704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16</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3705" w:history="1">
        <w:r w:rsidR="003136C5" w:rsidRPr="009C5096">
          <w:rPr>
            <w:rStyle w:val="Hyperlink"/>
            <w:rFonts w:ascii="Arial" w:hAnsi="Arial" w:cs="Arial"/>
          </w:rPr>
          <w:t>Figure 5: Review of applications per type of investment in Measure 1</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_Toc6903705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17</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3706" w:history="1">
        <w:r w:rsidR="003136C5" w:rsidRPr="009C5096">
          <w:rPr>
            <w:rStyle w:val="Hyperlink"/>
            <w:rFonts w:ascii="Arial" w:hAnsi="Arial" w:cs="Arial"/>
          </w:rPr>
          <w:t>Figure 6: Review of applications per value of investments in Measure 3</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_Toc6903706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18</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3707" w:history="1">
        <w:r w:rsidR="003136C5" w:rsidRPr="009C5096">
          <w:rPr>
            <w:rStyle w:val="Hyperlink"/>
            <w:rFonts w:ascii="Arial" w:hAnsi="Arial" w:cs="Arial"/>
          </w:rPr>
          <w:t>Figure 7: Review of applications per type of investment in Measure 3</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_Toc6903707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19</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3708" w:history="1">
        <w:r w:rsidR="003136C5" w:rsidRPr="009C5096">
          <w:rPr>
            <w:rStyle w:val="Hyperlink"/>
            <w:rFonts w:ascii="Arial" w:hAnsi="Arial" w:cs="Arial"/>
          </w:rPr>
          <w:t>Figure 8: Review of applications per value of investments in Measure 7</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_Toc6903708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20</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3709" w:history="1">
        <w:r w:rsidR="003136C5" w:rsidRPr="009C5096">
          <w:rPr>
            <w:rStyle w:val="Hyperlink"/>
            <w:rFonts w:ascii="Arial" w:hAnsi="Arial" w:cs="Arial"/>
          </w:rPr>
          <w:t>Figure 9: Review of applications per type of investment in Measure 7</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_Toc6903709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21</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3710" w:history="1">
        <w:r w:rsidR="003136C5" w:rsidRPr="009C5096">
          <w:rPr>
            <w:rStyle w:val="Hyperlink"/>
            <w:rFonts w:ascii="Arial" w:hAnsi="Arial" w:cs="Arial"/>
          </w:rPr>
          <w:t>Figure 10: Review of the applications by statistical regions</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_Toc6903710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22</w:t>
        </w:r>
        <w:r w:rsidR="003136C5" w:rsidRPr="009C5096">
          <w:rPr>
            <w:rFonts w:ascii="Arial" w:hAnsi="Arial" w:cs="Arial"/>
            <w:webHidden/>
          </w:rPr>
          <w:fldChar w:fldCharType="end"/>
        </w:r>
      </w:hyperlink>
    </w:p>
    <w:p w:rsidR="003136C5" w:rsidRPr="009C5096" w:rsidRDefault="00E270F3" w:rsidP="003136C5">
      <w:pPr>
        <w:pStyle w:val="TableofFigures"/>
        <w:tabs>
          <w:tab w:val="right" w:leader="dot" w:pos="9350"/>
        </w:tabs>
        <w:rPr>
          <w:rFonts w:ascii="Arial" w:eastAsiaTheme="minorEastAsia" w:hAnsi="Arial" w:cs="Arial"/>
        </w:rPr>
      </w:pPr>
      <w:hyperlink w:anchor="_Toc6903711" w:history="1">
        <w:r w:rsidR="003136C5" w:rsidRPr="009C5096">
          <w:rPr>
            <w:rStyle w:val="Hyperlink"/>
            <w:rFonts w:ascii="Arial" w:hAnsi="Arial" w:cs="Arial"/>
          </w:rPr>
          <w:t>Figure 11: Review of the total public expenditure by statistical regions</w:t>
        </w:r>
        <w:r w:rsidR="003136C5" w:rsidRPr="009C5096">
          <w:rPr>
            <w:rFonts w:ascii="Arial" w:hAnsi="Arial" w:cs="Arial"/>
            <w:webHidden/>
          </w:rPr>
          <w:tab/>
        </w:r>
        <w:r w:rsidR="003136C5" w:rsidRPr="009C5096">
          <w:rPr>
            <w:rFonts w:ascii="Arial" w:hAnsi="Arial" w:cs="Arial"/>
            <w:webHidden/>
          </w:rPr>
          <w:fldChar w:fldCharType="begin"/>
        </w:r>
        <w:r w:rsidR="003136C5" w:rsidRPr="009C5096">
          <w:rPr>
            <w:rFonts w:ascii="Arial" w:hAnsi="Arial" w:cs="Arial"/>
            <w:webHidden/>
          </w:rPr>
          <w:instrText xml:space="preserve"> PAGEREF _Toc6903711 \h </w:instrText>
        </w:r>
        <w:r w:rsidR="003136C5" w:rsidRPr="009C5096">
          <w:rPr>
            <w:rFonts w:ascii="Arial" w:hAnsi="Arial" w:cs="Arial"/>
            <w:webHidden/>
          </w:rPr>
        </w:r>
        <w:r w:rsidR="003136C5" w:rsidRPr="009C5096">
          <w:rPr>
            <w:rFonts w:ascii="Arial" w:hAnsi="Arial" w:cs="Arial"/>
            <w:webHidden/>
          </w:rPr>
          <w:fldChar w:fldCharType="separate"/>
        </w:r>
        <w:r w:rsidR="003136C5" w:rsidRPr="009C5096">
          <w:rPr>
            <w:rFonts w:ascii="Arial" w:hAnsi="Arial" w:cs="Arial"/>
            <w:webHidden/>
          </w:rPr>
          <w:t>22</w:t>
        </w:r>
        <w:r w:rsidR="003136C5" w:rsidRPr="009C5096">
          <w:rPr>
            <w:rFonts w:ascii="Arial" w:hAnsi="Arial" w:cs="Arial"/>
            <w:webHidden/>
          </w:rPr>
          <w:fldChar w:fldCharType="end"/>
        </w:r>
      </w:hyperlink>
    </w:p>
    <w:p w:rsidR="003136C5" w:rsidRPr="009C5096" w:rsidRDefault="003136C5" w:rsidP="003136C5">
      <w:pPr>
        <w:rPr>
          <w:rFonts w:ascii="Arial" w:hAnsi="Arial" w:cs="Arial"/>
        </w:rPr>
      </w:pPr>
      <w:r w:rsidRPr="009C5096">
        <w:rPr>
          <w:rFonts w:ascii="Arial" w:hAnsi="Arial" w:cs="Arial"/>
        </w:rPr>
        <w:fldChar w:fldCharType="end"/>
      </w:r>
    </w:p>
    <w:p w:rsidR="003136C5" w:rsidRPr="009C5096" w:rsidRDefault="003136C5" w:rsidP="003136C5">
      <w:pPr>
        <w:rPr>
          <w:rFonts w:ascii="Arial" w:hAnsi="Arial" w:cs="Arial"/>
        </w:rPr>
      </w:pPr>
    </w:p>
    <w:p w:rsidR="003136C5" w:rsidRPr="009C5096" w:rsidRDefault="003136C5" w:rsidP="003136C5">
      <w:pPr>
        <w:rPr>
          <w:rFonts w:ascii="Arial" w:hAnsi="Arial" w:cs="Arial"/>
        </w:rPr>
      </w:pPr>
    </w:p>
    <w:p w:rsidR="003136C5" w:rsidRPr="009C5096" w:rsidRDefault="003136C5" w:rsidP="003136C5">
      <w:pPr>
        <w:rPr>
          <w:rFonts w:ascii="Arial" w:hAnsi="Arial" w:cs="Arial"/>
        </w:rPr>
      </w:pPr>
      <w:r w:rsidRPr="009C5096">
        <w:rPr>
          <w:rFonts w:ascii="Arial" w:hAnsi="Arial" w:cs="Arial"/>
        </w:rPr>
        <w:br w:type="page"/>
      </w:r>
    </w:p>
    <w:p w:rsidR="003136C5" w:rsidRPr="009C5096" w:rsidRDefault="003136C5" w:rsidP="003136C5">
      <w:pPr>
        <w:pStyle w:val="ListParagraph"/>
        <w:numPr>
          <w:ilvl w:val="0"/>
          <w:numId w:val="2"/>
        </w:numPr>
        <w:contextualSpacing/>
        <w:jc w:val="both"/>
        <w:outlineLvl w:val="0"/>
        <w:rPr>
          <w:rFonts w:ascii="Arial" w:hAnsi="Arial" w:cs="Arial"/>
          <w:b/>
          <w:sz w:val="28"/>
          <w:szCs w:val="28"/>
        </w:rPr>
      </w:pPr>
      <w:bookmarkStart w:id="0" w:name="_Toc8649799"/>
      <w:r w:rsidRPr="009C5096">
        <w:rPr>
          <w:rFonts w:ascii="Arial" w:hAnsi="Arial" w:cs="Arial"/>
          <w:b/>
          <w:sz w:val="28"/>
          <w:szCs w:val="28"/>
        </w:rPr>
        <w:lastRenderedPageBreak/>
        <w:t>Preface</w:t>
      </w:r>
      <w:bookmarkEnd w:id="0"/>
    </w:p>
    <w:p w:rsidR="003136C5" w:rsidRPr="003B72A1" w:rsidRDefault="00612896" w:rsidP="003136C5">
      <w:pPr>
        <w:spacing w:before="120"/>
        <w:jc w:val="both"/>
        <w:rPr>
          <w:rFonts w:ascii="Arial" w:hAnsi="Arial" w:cs="Arial"/>
          <w:sz w:val="22"/>
        </w:rPr>
      </w:pPr>
      <w:r w:rsidRPr="003B72A1">
        <w:rPr>
          <w:rFonts w:ascii="Arial" w:hAnsi="Arial" w:cs="Arial"/>
          <w:sz w:val="22"/>
        </w:rPr>
        <w:t xml:space="preserve">The </w:t>
      </w:r>
      <w:r w:rsidR="003136C5" w:rsidRPr="003B72A1">
        <w:rPr>
          <w:rFonts w:ascii="Arial" w:hAnsi="Arial" w:cs="Arial"/>
          <w:sz w:val="22"/>
        </w:rPr>
        <w:t>IPARD Programme for the 2014-2020 programming period was approved on 13</w:t>
      </w:r>
      <w:r w:rsidR="003136C5" w:rsidRPr="003B72A1">
        <w:rPr>
          <w:rFonts w:ascii="Arial" w:hAnsi="Arial" w:cs="Arial"/>
          <w:sz w:val="22"/>
          <w:vertAlign w:val="superscript"/>
        </w:rPr>
        <w:t>th</w:t>
      </w:r>
      <w:r w:rsidR="003136C5" w:rsidRPr="003B72A1">
        <w:rPr>
          <w:rFonts w:ascii="Arial" w:hAnsi="Arial" w:cs="Arial"/>
          <w:sz w:val="22"/>
        </w:rPr>
        <w:t xml:space="preserve"> of February 2015 by Commission Decision C (2015) 760.</w:t>
      </w:r>
    </w:p>
    <w:p w:rsidR="003136C5" w:rsidRPr="003B72A1" w:rsidRDefault="003136C5" w:rsidP="003136C5">
      <w:pPr>
        <w:spacing w:before="120" w:after="60"/>
        <w:jc w:val="both"/>
        <w:rPr>
          <w:rFonts w:ascii="Arial" w:hAnsi="Arial" w:cs="Arial"/>
          <w:sz w:val="22"/>
        </w:rPr>
      </w:pPr>
      <w:r w:rsidRPr="003B72A1">
        <w:rPr>
          <w:rFonts w:ascii="Arial" w:hAnsi="Arial" w:cs="Arial"/>
          <w:sz w:val="22"/>
        </w:rPr>
        <w:t>The indicative maximum amounts of the European Union contribution for the implementation of the IPARD Programme under IPA II are set out as follows:</w:t>
      </w:r>
    </w:p>
    <w:tbl>
      <w:tblPr>
        <w:tblStyle w:val="TableGrid"/>
        <w:tblW w:w="9355" w:type="dxa"/>
        <w:tblLook w:val="04A0" w:firstRow="1" w:lastRow="0" w:firstColumn="1" w:lastColumn="0" w:noHBand="0" w:noVBand="1"/>
      </w:tblPr>
      <w:tblGrid>
        <w:gridCol w:w="907"/>
        <w:gridCol w:w="1127"/>
        <w:gridCol w:w="1106"/>
        <w:gridCol w:w="1244"/>
        <w:gridCol w:w="1244"/>
        <w:gridCol w:w="1255"/>
        <w:gridCol w:w="1217"/>
        <w:gridCol w:w="1255"/>
      </w:tblGrid>
      <w:tr w:rsidR="003136C5" w:rsidRPr="009C5096" w:rsidTr="00612896">
        <w:tc>
          <w:tcPr>
            <w:tcW w:w="935"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Year</w:t>
            </w:r>
          </w:p>
        </w:tc>
        <w:tc>
          <w:tcPr>
            <w:tcW w:w="1130"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2014</w:t>
            </w:r>
          </w:p>
        </w:tc>
        <w:tc>
          <w:tcPr>
            <w:tcW w:w="1080"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2015 indicative amount</w:t>
            </w:r>
          </w:p>
        </w:tc>
        <w:tc>
          <w:tcPr>
            <w:tcW w:w="1260"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2016 indicative amount</w:t>
            </w:r>
          </w:p>
        </w:tc>
        <w:tc>
          <w:tcPr>
            <w:tcW w:w="1260"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2017 indicative amount</w:t>
            </w:r>
          </w:p>
        </w:tc>
        <w:tc>
          <w:tcPr>
            <w:tcW w:w="1260"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2018 indicative amount</w:t>
            </w:r>
          </w:p>
        </w:tc>
        <w:tc>
          <w:tcPr>
            <w:tcW w:w="1170"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2019 indicative amount</w:t>
            </w:r>
          </w:p>
        </w:tc>
        <w:tc>
          <w:tcPr>
            <w:tcW w:w="1260"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2020 indicative amount</w:t>
            </w:r>
          </w:p>
        </w:tc>
      </w:tr>
      <w:tr w:rsidR="003136C5" w:rsidRPr="009C5096" w:rsidTr="00612896">
        <w:tc>
          <w:tcPr>
            <w:tcW w:w="935"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Total</w:t>
            </w:r>
          </w:p>
        </w:tc>
        <w:tc>
          <w:tcPr>
            <w:tcW w:w="1130"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5</w:t>
            </w:r>
            <w:r w:rsidR="00612896" w:rsidRPr="009C5096">
              <w:rPr>
                <w:rFonts w:ascii="Arial" w:hAnsi="Arial" w:cs="Arial"/>
                <w:sz w:val="20"/>
                <w:szCs w:val="20"/>
              </w:rPr>
              <w:t>,</w:t>
            </w:r>
            <w:r w:rsidRPr="009C5096">
              <w:rPr>
                <w:rFonts w:ascii="Arial" w:hAnsi="Arial" w:cs="Arial"/>
                <w:sz w:val="20"/>
                <w:szCs w:val="20"/>
              </w:rPr>
              <w:t>000</w:t>
            </w:r>
            <w:r w:rsidR="00612896" w:rsidRPr="009C5096">
              <w:rPr>
                <w:rFonts w:ascii="Arial" w:hAnsi="Arial" w:cs="Arial"/>
                <w:sz w:val="20"/>
                <w:szCs w:val="20"/>
              </w:rPr>
              <w:t>,</w:t>
            </w:r>
            <w:r w:rsidRPr="009C5096">
              <w:rPr>
                <w:rFonts w:ascii="Arial" w:hAnsi="Arial" w:cs="Arial"/>
                <w:sz w:val="20"/>
                <w:szCs w:val="20"/>
              </w:rPr>
              <w:t>000</w:t>
            </w:r>
          </w:p>
        </w:tc>
        <w:tc>
          <w:tcPr>
            <w:tcW w:w="1080"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5</w:t>
            </w:r>
            <w:r w:rsidR="00612896" w:rsidRPr="009C5096">
              <w:rPr>
                <w:rFonts w:ascii="Arial" w:hAnsi="Arial" w:cs="Arial"/>
                <w:sz w:val="20"/>
                <w:szCs w:val="20"/>
              </w:rPr>
              <w:t>,</w:t>
            </w:r>
            <w:r w:rsidRPr="009C5096">
              <w:rPr>
                <w:rFonts w:ascii="Arial" w:hAnsi="Arial" w:cs="Arial"/>
                <w:sz w:val="20"/>
                <w:szCs w:val="20"/>
              </w:rPr>
              <w:t>000</w:t>
            </w:r>
            <w:r w:rsidR="00612896" w:rsidRPr="009C5096">
              <w:rPr>
                <w:rFonts w:ascii="Arial" w:hAnsi="Arial" w:cs="Arial"/>
                <w:sz w:val="20"/>
                <w:szCs w:val="20"/>
              </w:rPr>
              <w:t>,</w:t>
            </w:r>
            <w:r w:rsidRPr="009C5096">
              <w:rPr>
                <w:rFonts w:ascii="Arial" w:hAnsi="Arial" w:cs="Arial"/>
                <w:sz w:val="20"/>
                <w:szCs w:val="20"/>
              </w:rPr>
              <w:t>000</w:t>
            </w:r>
          </w:p>
        </w:tc>
        <w:tc>
          <w:tcPr>
            <w:tcW w:w="1260"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5</w:t>
            </w:r>
            <w:r w:rsidR="00612896" w:rsidRPr="009C5096">
              <w:rPr>
                <w:rFonts w:ascii="Arial" w:hAnsi="Arial" w:cs="Arial"/>
                <w:sz w:val="20"/>
                <w:szCs w:val="20"/>
              </w:rPr>
              <w:t>,</w:t>
            </w:r>
            <w:r w:rsidRPr="009C5096">
              <w:rPr>
                <w:rFonts w:ascii="Arial" w:hAnsi="Arial" w:cs="Arial"/>
                <w:sz w:val="20"/>
                <w:szCs w:val="20"/>
              </w:rPr>
              <w:t>000</w:t>
            </w:r>
            <w:r w:rsidR="00612896" w:rsidRPr="009C5096">
              <w:rPr>
                <w:rFonts w:ascii="Arial" w:hAnsi="Arial" w:cs="Arial"/>
                <w:sz w:val="20"/>
                <w:szCs w:val="20"/>
              </w:rPr>
              <w:t>,</w:t>
            </w:r>
            <w:r w:rsidRPr="009C5096">
              <w:rPr>
                <w:rFonts w:ascii="Arial" w:hAnsi="Arial" w:cs="Arial"/>
                <w:sz w:val="20"/>
                <w:szCs w:val="20"/>
              </w:rPr>
              <w:t>000</w:t>
            </w:r>
          </w:p>
        </w:tc>
        <w:tc>
          <w:tcPr>
            <w:tcW w:w="1260"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6</w:t>
            </w:r>
            <w:r w:rsidR="00612896" w:rsidRPr="009C5096">
              <w:rPr>
                <w:rFonts w:ascii="Arial" w:hAnsi="Arial" w:cs="Arial"/>
                <w:sz w:val="20"/>
                <w:szCs w:val="20"/>
              </w:rPr>
              <w:t>,</w:t>
            </w:r>
            <w:r w:rsidRPr="009C5096">
              <w:rPr>
                <w:rFonts w:ascii="Arial" w:hAnsi="Arial" w:cs="Arial"/>
                <w:sz w:val="20"/>
                <w:szCs w:val="20"/>
              </w:rPr>
              <w:t>000</w:t>
            </w:r>
            <w:r w:rsidR="00612896" w:rsidRPr="009C5096">
              <w:rPr>
                <w:rFonts w:ascii="Arial" w:hAnsi="Arial" w:cs="Arial"/>
                <w:sz w:val="20"/>
                <w:szCs w:val="20"/>
              </w:rPr>
              <w:t>,</w:t>
            </w:r>
            <w:r w:rsidRPr="009C5096">
              <w:rPr>
                <w:rFonts w:ascii="Arial" w:hAnsi="Arial" w:cs="Arial"/>
                <w:sz w:val="20"/>
                <w:szCs w:val="20"/>
              </w:rPr>
              <w:t>000</w:t>
            </w:r>
          </w:p>
        </w:tc>
        <w:tc>
          <w:tcPr>
            <w:tcW w:w="1260"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10</w:t>
            </w:r>
            <w:r w:rsidR="00612896" w:rsidRPr="009C5096">
              <w:rPr>
                <w:rFonts w:ascii="Arial" w:hAnsi="Arial" w:cs="Arial"/>
                <w:sz w:val="20"/>
                <w:szCs w:val="20"/>
              </w:rPr>
              <w:t>,</w:t>
            </w:r>
            <w:r w:rsidRPr="009C5096">
              <w:rPr>
                <w:rFonts w:ascii="Arial" w:hAnsi="Arial" w:cs="Arial"/>
                <w:sz w:val="20"/>
                <w:szCs w:val="20"/>
              </w:rPr>
              <w:t>000</w:t>
            </w:r>
            <w:r w:rsidR="00612896" w:rsidRPr="009C5096">
              <w:rPr>
                <w:rFonts w:ascii="Arial" w:hAnsi="Arial" w:cs="Arial"/>
                <w:sz w:val="20"/>
                <w:szCs w:val="20"/>
              </w:rPr>
              <w:t>,</w:t>
            </w:r>
            <w:r w:rsidRPr="009C5096">
              <w:rPr>
                <w:rFonts w:ascii="Arial" w:hAnsi="Arial" w:cs="Arial"/>
                <w:sz w:val="20"/>
                <w:szCs w:val="20"/>
              </w:rPr>
              <w:t>000</w:t>
            </w:r>
          </w:p>
        </w:tc>
        <w:tc>
          <w:tcPr>
            <w:tcW w:w="1170"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14</w:t>
            </w:r>
            <w:r w:rsidR="00612896" w:rsidRPr="009C5096">
              <w:rPr>
                <w:rFonts w:ascii="Arial" w:hAnsi="Arial" w:cs="Arial"/>
                <w:sz w:val="20"/>
                <w:szCs w:val="20"/>
              </w:rPr>
              <w:t>,</w:t>
            </w:r>
            <w:r w:rsidRPr="009C5096">
              <w:rPr>
                <w:rFonts w:ascii="Arial" w:hAnsi="Arial" w:cs="Arial"/>
                <w:sz w:val="20"/>
                <w:szCs w:val="20"/>
              </w:rPr>
              <w:t>000</w:t>
            </w:r>
            <w:r w:rsidR="00612896" w:rsidRPr="009C5096">
              <w:rPr>
                <w:rFonts w:ascii="Arial" w:hAnsi="Arial" w:cs="Arial"/>
                <w:sz w:val="20"/>
                <w:szCs w:val="20"/>
              </w:rPr>
              <w:t>,</w:t>
            </w:r>
            <w:r w:rsidRPr="009C5096">
              <w:rPr>
                <w:rFonts w:ascii="Arial" w:hAnsi="Arial" w:cs="Arial"/>
                <w:sz w:val="20"/>
                <w:szCs w:val="20"/>
              </w:rPr>
              <w:t>000</w:t>
            </w:r>
          </w:p>
        </w:tc>
        <w:tc>
          <w:tcPr>
            <w:tcW w:w="1260" w:type="dxa"/>
          </w:tcPr>
          <w:p w:rsidR="003136C5" w:rsidRPr="009C5096" w:rsidRDefault="003136C5" w:rsidP="00612896">
            <w:pPr>
              <w:jc w:val="both"/>
              <w:rPr>
                <w:rFonts w:ascii="Arial" w:hAnsi="Arial" w:cs="Arial"/>
                <w:sz w:val="20"/>
                <w:szCs w:val="20"/>
              </w:rPr>
            </w:pPr>
            <w:r w:rsidRPr="009C5096">
              <w:rPr>
                <w:rFonts w:ascii="Arial" w:hAnsi="Arial" w:cs="Arial"/>
                <w:sz w:val="20"/>
                <w:szCs w:val="20"/>
              </w:rPr>
              <w:t>15</w:t>
            </w:r>
            <w:r w:rsidR="00612896" w:rsidRPr="009C5096">
              <w:rPr>
                <w:rFonts w:ascii="Arial" w:hAnsi="Arial" w:cs="Arial"/>
                <w:sz w:val="20"/>
                <w:szCs w:val="20"/>
              </w:rPr>
              <w:t>,</w:t>
            </w:r>
            <w:r w:rsidRPr="009C5096">
              <w:rPr>
                <w:rFonts w:ascii="Arial" w:hAnsi="Arial" w:cs="Arial"/>
                <w:sz w:val="20"/>
                <w:szCs w:val="20"/>
              </w:rPr>
              <w:t>000</w:t>
            </w:r>
            <w:r w:rsidR="00612896" w:rsidRPr="009C5096">
              <w:rPr>
                <w:rFonts w:ascii="Arial" w:hAnsi="Arial" w:cs="Arial"/>
                <w:sz w:val="20"/>
                <w:szCs w:val="20"/>
              </w:rPr>
              <w:t>,</w:t>
            </w:r>
            <w:r w:rsidRPr="009C5096">
              <w:rPr>
                <w:rFonts w:ascii="Arial" w:hAnsi="Arial" w:cs="Arial"/>
                <w:sz w:val="20"/>
                <w:szCs w:val="20"/>
              </w:rPr>
              <w:t>000</w:t>
            </w:r>
          </w:p>
        </w:tc>
      </w:tr>
    </w:tbl>
    <w:p w:rsidR="003B72A1" w:rsidRDefault="003B72A1" w:rsidP="003136C5">
      <w:pPr>
        <w:spacing w:before="120"/>
        <w:jc w:val="both"/>
        <w:rPr>
          <w:rFonts w:ascii="Arial" w:hAnsi="Arial" w:cs="Arial"/>
          <w:sz w:val="22"/>
        </w:rPr>
      </w:pPr>
    </w:p>
    <w:p w:rsidR="003136C5" w:rsidRPr="003B72A1" w:rsidRDefault="003136C5" w:rsidP="003136C5">
      <w:pPr>
        <w:spacing w:before="120"/>
        <w:jc w:val="both"/>
        <w:rPr>
          <w:rFonts w:ascii="Arial" w:hAnsi="Arial" w:cs="Arial"/>
          <w:sz w:val="22"/>
        </w:rPr>
      </w:pPr>
      <w:r w:rsidRPr="003B72A1">
        <w:rPr>
          <w:rFonts w:ascii="Arial" w:hAnsi="Arial" w:cs="Arial"/>
          <w:sz w:val="22"/>
        </w:rPr>
        <w:t>IPARD Programme 2014-2020 provides support through five measures (four of them accredited in the past programming period):</w:t>
      </w:r>
    </w:p>
    <w:p w:rsidR="003136C5" w:rsidRPr="003B72A1" w:rsidRDefault="003136C5" w:rsidP="003136C5">
      <w:pPr>
        <w:pStyle w:val="ListParagraph"/>
        <w:numPr>
          <w:ilvl w:val="0"/>
          <w:numId w:val="3"/>
        </w:numPr>
        <w:spacing w:before="60"/>
        <w:contextualSpacing/>
        <w:jc w:val="both"/>
        <w:rPr>
          <w:rFonts w:ascii="Arial" w:hAnsi="Arial" w:cs="Arial"/>
          <w:sz w:val="22"/>
        </w:rPr>
      </w:pPr>
      <w:r w:rsidRPr="003B72A1">
        <w:rPr>
          <w:rFonts w:ascii="Arial" w:hAnsi="Arial" w:cs="Arial"/>
          <w:sz w:val="22"/>
        </w:rPr>
        <w:t>Investments in physical assets of agricultural holdings – Measure 1,</w:t>
      </w:r>
    </w:p>
    <w:p w:rsidR="003136C5" w:rsidRPr="003B72A1" w:rsidRDefault="003136C5" w:rsidP="003136C5">
      <w:pPr>
        <w:pStyle w:val="ListParagraph"/>
        <w:numPr>
          <w:ilvl w:val="0"/>
          <w:numId w:val="3"/>
        </w:numPr>
        <w:spacing w:before="60"/>
        <w:contextualSpacing/>
        <w:jc w:val="both"/>
        <w:rPr>
          <w:rFonts w:ascii="Arial" w:hAnsi="Arial" w:cs="Arial"/>
          <w:sz w:val="22"/>
        </w:rPr>
      </w:pPr>
      <w:r w:rsidRPr="003B72A1">
        <w:rPr>
          <w:rFonts w:ascii="Arial" w:hAnsi="Arial" w:cs="Arial"/>
          <w:sz w:val="22"/>
        </w:rPr>
        <w:t>Investments in physical assets concerning processing and marketing of agricultural and fishery products – Measure 3,</w:t>
      </w:r>
    </w:p>
    <w:p w:rsidR="003136C5" w:rsidRPr="003B72A1" w:rsidRDefault="003136C5" w:rsidP="003136C5">
      <w:pPr>
        <w:pStyle w:val="ListParagraph"/>
        <w:numPr>
          <w:ilvl w:val="0"/>
          <w:numId w:val="3"/>
        </w:numPr>
        <w:spacing w:before="60"/>
        <w:contextualSpacing/>
        <w:jc w:val="both"/>
        <w:rPr>
          <w:rFonts w:ascii="Arial" w:hAnsi="Arial" w:cs="Arial"/>
          <w:sz w:val="22"/>
        </w:rPr>
      </w:pPr>
      <w:r w:rsidRPr="003B72A1">
        <w:rPr>
          <w:rFonts w:ascii="Arial" w:hAnsi="Arial" w:cs="Arial"/>
          <w:sz w:val="22"/>
        </w:rPr>
        <w:t>Investments in rural public infrastructure – Measure 5,</w:t>
      </w:r>
    </w:p>
    <w:p w:rsidR="003136C5" w:rsidRPr="003B72A1" w:rsidRDefault="003136C5" w:rsidP="003136C5">
      <w:pPr>
        <w:pStyle w:val="ListParagraph"/>
        <w:numPr>
          <w:ilvl w:val="0"/>
          <w:numId w:val="3"/>
        </w:numPr>
        <w:spacing w:before="60"/>
        <w:contextualSpacing/>
        <w:jc w:val="both"/>
        <w:rPr>
          <w:rFonts w:ascii="Arial" w:hAnsi="Arial" w:cs="Arial"/>
          <w:sz w:val="22"/>
        </w:rPr>
      </w:pPr>
      <w:r w:rsidRPr="003B72A1">
        <w:rPr>
          <w:rFonts w:ascii="Arial" w:hAnsi="Arial" w:cs="Arial"/>
          <w:sz w:val="22"/>
        </w:rPr>
        <w:t>Farm diversification and business development – Measure 7,</w:t>
      </w:r>
    </w:p>
    <w:p w:rsidR="003136C5" w:rsidRPr="003B72A1" w:rsidRDefault="003136C5" w:rsidP="003136C5">
      <w:pPr>
        <w:pStyle w:val="ListParagraph"/>
        <w:numPr>
          <w:ilvl w:val="0"/>
          <w:numId w:val="3"/>
        </w:numPr>
        <w:spacing w:before="60"/>
        <w:contextualSpacing/>
        <w:jc w:val="both"/>
        <w:rPr>
          <w:rFonts w:ascii="Arial" w:hAnsi="Arial" w:cs="Arial"/>
          <w:sz w:val="22"/>
        </w:rPr>
      </w:pPr>
      <w:r w:rsidRPr="003B72A1">
        <w:rPr>
          <w:rFonts w:ascii="Arial" w:hAnsi="Arial" w:cs="Arial"/>
          <w:sz w:val="22"/>
        </w:rPr>
        <w:t>Technical assistance – Measure 9.</w:t>
      </w:r>
    </w:p>
    <w:p w:rsidR="003136C5" w:rsidRPr="003B72A1" w:rsidRDefault="00612896" w:rsidP="003136C5">
      <w:pPr>
        <w:pStyle w:val="m343668044302477783m-3986873246552044066msolistparagraph"/>
        <w:spacing w:before="120" w:beforeAutospacing="0" w:after="0" w:afterAutospacing="0"/>
        <w:jc w:val="both"/>
        <w:rPr>
          <w:rFonts w:ascii="Arial" w:hAnsi="Arial" w:cs="Arial"/>
          <w:sz w:val="22"/>
          <w:szCs w:val="22"/>
          <w:lang w:val="en-US"/>
        </w:rPr>
      </w:pPr>
      <w:r w:rsidRPr="003B72A1">
        <w:rPr>
          <w:rFonts w:ascii="Arial" w:hAnsi="Arial" w:cs="Arial"/>
          <w:sz w:val="22"/>
          <w:szCs w:val="22"/>
          <w:lang w:val="en-US"/>
        </w:rPr>
        <w:t xml:space="preserve">The </w:t>
      </w:r>
      <w:r w:rsidR="003136C5" w:rsidRPr="003B72A1">
        <w:rPr>
          <w:rFonts w:ascii="Arial" w:hAnsi="Arial" w:cs="Arial"/>
          <w:sz w:val="22"/>
          <w:szCs w:val="22"/>
          <w:lang w:val="en-US"/>
        </w:rPr>
        <w:t xml:space="preserve">Implementation of the Programme started with announcement of the first call (01/2017) in April 2017. To meet the needs of the applicants, </w:t>
      </w:r>
      <w:r w:rsidRPr="003B72A1">
        <w:rPr>
          <w:rFonts w:ascii="Arial" w:hAnsi="Arial" w:cs="Arial"/>
          <w:sz w:val="22"/>
          <w:szCs w:val="22"/>
          <w:lang w:val="en-US"/>
        </w:rPr>
        <w:t xml:space="preserve">the </w:t>
      </w:r>
      <w:r w:rsidR="003136C5" w:rsidRPr="003B72A1">
        <w:rPr>
          <w:rFonts w:ascii="Arial" w:hAnsi="Arial" w:cs="Arial"/>
          <w:sz w:val="22"/>
          <w:szCs w:val="22"/>
          <w:lang w:val="en-US"/>
        </w:rPr>
        <w:t>final date for submission of applications under this call was extended until 21</w:t>
      </w:r>
      <w:r w:rsidR="003136C5" w:rsidRPr="003B72A1">
        <w:rPr>
          <w:rFonts w:ascii="Arial" w:hAnsi="Arial" w:cs="Arial"/>
          <w:sz w:val="22"/>
          <w:szCs w:val="22"/>
          <w:vertAlign w:val="superscript"/>
          <w:lang w:val="en-US"/>
        </w:rPr>
        <w:t>st</w:t>
      </w:r>
      <w:r w:rsidR="003136C5" w:rsidRPr="003B72A1">
        <w:rPr>
          <w:rFonts w:ascii="Arial" w:hAnsi="Arial" w:cs="Arial"/>
          <w:sz w:val="22"/>
          <w:szCs w:val="22"/>
          <w:lang w:val="en-US"/>
        </w:rPr>
        <w:t xml:space="preserve"> of July. Public call 01/2018 announced in November 2018 was for submission of applications under measure 3. Public call 02/2018 opened late in December 2018 for submitting applications only under measure 1.</w:t>
      </w:r>
    </w:p>
    <w:p w:rsidR="003136C5" w:rsidRPr="009C5096" w:rsidRDefault="003136C5" w:rsidP="003136C5">
      <w:pPr>
        <w:rPr>
          <w:rFonts w:ascii="Arial" w:eastAsia="Calibri" w:hAnsi="Arial" w:cs="Arial"/>
          <w:lang w:eastAsia="en-GB"/>
        </w:rPr>
      </w:pPr>
      <w:r w:rsidRPr="009C5096">
        <w:rPr>
          <w:rFonts w:ascii="Arial" w:hAnsi="Arial" w:cs="Arial"/>
        </w:rPr>
        <w:br w:type="page"/>
      </w:r>
    </w:p>
    <w:p w:rsidR="003136C5" w:rsidRPr="00097EED" w:rsidRDefault="003136C5" w:rsidP="00097EED">
      <w:pPr>
        <w:pStyle w:val="ListParagraph"/>
        <w:numPr>
          <w:ilvl w:val="0"/>
          <w:numId w:val="2"/>
        </w:numPr>
        <w:contextualSpacing/>
        <w:jc w:val="both"/>
        <w:outlineLvl w:val="0"/>
        <w:rPr>
          <w:rFonts w:ascii="Arial" w:hAnsi="Arial" w:cs="Arial"/>
          <w:b/>
          <w:sz w:val="28"/>
          <w:szCs w:val="28"/>
        </w:rPr>
      </w:pPr>
      <w:bookmarkStart w:id="1" w:name="_Toc8649800"/>
      <w:r w:rsidRPr="009C5096">
        <w:rPr>
          <w:rFonts w:ascii="Arial" w:hAnsi="Arial" w:cs="Arial"/>
          <w:b/>
          <w:sz w:val="28"/>
          <w:szCs w:val="28"/>
        </w:rPr>
        <w:lastRenderedPageBreak/>
        <w:t xml:space="preserve">Change in </w:t>
      </w:r>
      <w:r w:rsidR="00612896" w:rsidRPr="009C5096">
        <w:rPr>
          <w:rFonts w:ascii="Arial" w:hAnsi="Arial" w:cs="Arial"/>
          <w:b/>
          <w:sz w:val="28"/>
          <w:szCs w:val="28"/>
        </w:rPr>
        <w:t xml:space="preserve">the </w:t>
      </w:r>
      <w:r w:rsidRPr="009C5096">
        <w:rPr>
          <w:rFonts w:ascii="Arial" w:hAnsi="Arial" w:cs="Arial"/>
          <w:b/>
          <w:sz w:val="28"/>
          <w:szCs w:val="28"/>
        </w:rPr>
        <w:t>general conditions of relevance to the implementation of the IPARD II programme</w:t>
      </w:r>
      <w:bookmarkEnd w:id="1"/>
    </w:p>
    <w:p w:rsidR="003136C5" w:rsidRPr="009C5096" w:rsidRDefault="003136C5" w:rsidP="00097EED">
      <w:pPr>
        <w:pStyle w:val="ListParagraph"/>
        <w:spacing w:before="120"/>
        <w:ind w:left="360"/>
        <w:jc w:val="both"/>
        <w:rPr>
          <w:rFonts w:ascii="Arial" w:eastAsia="Calibri" w:hAnsi="Arial" w:cs="Arial"/>
          <w:b/>
          <w:vanish/>
          <w:lang w:eastAsia="en-GB"/>
        </w:rPr>
      </w:pPr>
    </w:p>
    <w:p w:rsidR="003136C5" w:rsidRPr="009C509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lang w:val="en-US"/>
        </w:rPr>
      </w:pPr>
      <w:bookmarkStart w:id="2" w:name="_Toc8649801"/>
      <w:r w:rsidRPr="009C5096">
        <w:rPr>
          <w:rFonts w:ascii="Arial" w:hAnsi="Arial" w:cs="Arial"/>
          <w:b/>
          <w:lang w:val="en-US"/>
        </w:rPr>
        <w:t>Political and institutional framework</w:t>
      </w:r>
      <w:bookmarkEnd w:id="2"/>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Since the approval of the IPARD Program</w:t>
      </w:r>
      <w:r w:rsidR="009376E7" w:rsidRPr="009C5096">
        <w:rPr>
          <w:rFonts w:ascii="Arial" w:hAnsi="Arial" w:cs="Arial"/>
          <w:sz w:val="22"/>
          <w:szCs w:val="22"/>
          <w:lang w:val="en-US"/>
        </w:rPr>
        <w:t>m</w:t>
      </w:r>
      <w:r w:rsidRPr="009C5096">
        <w:rPr>
          <w:rFonts w:ascii="Arial" w:hAnsi="Arial" w:cs="Arial"/>
          <w:sz w:val="22"/>
          <w:szCs w:val="22"/>
          <w:lang w:val="en-US"/>
        </w:rPr>
        <w:t xml:space="preserve">е 2014-2020 to the end of the period covered by this report, significant changes in the context of the political and institutional framework have occurred. The political crisis that marked the end of the implementation of IPARD 1 resulted in changes in government. The period of political uncertainty and the prolongation of establishing a new government </w:t>
      </w:r>
      <w:r w:rsidR="009376E7" w:rsidRPr="009C5096">
        <w:rPr>
          <w:rFonts w:ascii="Arial" w:hAnsi="Arial" w:cs="Arial"/>
          <w:sz w:val="22"/>
          <w:szCs w:val="22"/>
          <w:lang w:val="en-US"/>
        </w:rPr>
        <w:t xml:space="preserve">was </w:t>
      </w:r>
      <w:r w:rsidRPr="009C5096">
        <w:rPr>
          <w:rFonts w:ascii="Arial" w:hAnsi="Arial" w:cs="Arial"/>
          <w:sz w:val="22"/>
          <w:szCs w:val="22"/>
          <w:lang w:val="en-US"/>
        </w:rPr>
        <w:t>challenging on many levels and slowed down the normal functioning of the institutions and processes</w:t>
      </w:r>
      <w:r w:rsidR="009376E7" w:rsidRPr="009C5096">
        <w:rPr>
          <w:rFonts w:ascii="Arial" w:hAnsi="Arial" w:cs="Arial"/>
          <w:sz w:val="22"/>
          <w:szCs w:val="22"/>
          <w:lang w:val="en-US"/>
        </w:rPr>
        <w:t>,</w:t>
      </w:r>
      <w:r w:rsidRPr="009C5096">
        <w:rPr>
          <w:rFonts w:ascii="Arial" w:hAnsi="Arial" w:cs="Arial"/>
          <w:sz w:val="22"/>
          <w:szCs w:val="22"/>
          <w:lang w:val="en-US"/>
        </w:rPr>
        <w:t xml:space="preserve"> including some aspects of the implementation of the Programme. New top management has been appointed in all IPARD structures.</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One of the more important determinants that largely reflects on the political context of the country is the entry into force of the Prespa Agreement, which resolves a long-standing foreign policy problem and opens up European perspectives.</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In April 2018,</w:t>
      </w:r>
      <w:r w:rsidRPr="009C5096">
        <w:rPr>
          <w:rFonts w:ascii="Arial" w:hAnsi="Arial" w:cs="Arial"/>
          <w:lang w:val="en-US"/>
        </w:rPr>
        <w:t xml:space="preserve"> </w:t>
      </w:r>
      <w:r w:rsidRPr="009C5096">
        <w:rPr>
          <w:rFonts w:ascii="Arial" w:hAnsi="Arial" w:cs="Arial"/>
          <w:sz w:val="22"/>
          <w:szCs w:val="22"/>
          <w:lang w:val="en-US"/>
        </w:rPr>
        <w:t>the Commission published the regular progress report for Republic of North Macedonia, stating that</w:t>
      </w:r>
      <w:r w:rsidRPr="009C5096">
        <w:rPr>
          <w:rFonts w:ascii="Arial" w:hAnsi="Arial" w:cs="Arial"/>
          <w:lang w:val="en-US"/>
        </w:rPr>
        <w:t xml:space="preserve"> </w:t>
      </w:r>
      <w:r w:rsidRPr="009C5096">
        <w:rPr>
          <w:rFonts w:ascii="Arial" w:hAnsi="Arial" w:cs="Arial"/>
          <w:sz w:val="22"/>
          <w:szCs w:val="22"/>
          <w:lang w:val="en-US"/>
        </w:rPr>
        <w:t>no progress has been made to improve data quality and relevance of the farm register and LPIS. Current structures and resources at MAFWE and</w:t>
      </w:r>
      <w:r w:rsidR="009376E7" w:rsidRPr="009C5096">
        <w:rPr>
          <w:rFonts w:ascii="Arial" w:hAnsi="Arial" w:cs="Arial"/>
          <w:sz w:val="22"/>
          <w:szCs w:val="22"/>
          <w:lang w:val="en-US"/>
        </w:rPr>
        <w:t xml:space="preserve"> the</w:t>
      </w:r>
      <w:r w:rsidRPr="009C5096">
        <w:rPr>
          <w:rFonts w:ascii="Arial" w:hAnsi="Arial" w:cs="Arial"/>
          <w:sz w:val="22"/>
          <w:szCs w:val="22"/>
          <w:lang w:val="en-US"/>
        </w:rPr>
        <w:t xml:space="preserve"> IPARD Agency remained insufficient to operate and maintain IACS (a robust control system). The country needs to clarify the role of the Ministry and </w:t>
      </w:r>
      <w:r w:rsidR="009376E7" w:rsidRPr="009C5096">
        <w:rPr>
          <w:rFonts w:ascii="Arial" w:hAnsi="Arial" w:cs="Arial"/>
          <w:sz w:val="22"/>
          <w:szCs w:val="22"/>
          <w:lang w:val="en-US"/>
        </w:rPr>
        <w:t xml:space="preserve">the </w:t>
      </w:r>
      <w:r w:rsidRPr="009C5096">
        <w:rPr>
          <w:rFonts w:ascii="Arial" w:hAnsi="Arial" w:cs="Arial"/>
          <w:sz w:val="22"/>
          <w:szCs w:val="22"/>
          <w:lang w:val="en-US"/>
        </w:rPr>
        <w:t xml:space="preserve">IPARD Agency for operation and maintenance of the IACS. </w:t>
      </w:r>
      <w:r w:rsidR="009376E7" w:rsidRPr="009C5096">
        <w:rPr>
          <w:rFonts w:ascii="Arial" w:hAnsi="Arial" w:cs="Arial"/>
          <w:sz w:val="22"/>
          <w:szCs w:val="22"/>
          <w:lang w:val="en-US"/>
        </w:rPr>
        <w:t>The a</w:t>
      </w:r>
      <w:r w:rsidRPr="009C5096">
        <w:rPr>
          <w:rFonts w:ascii="Arial" w:hAnsi="Arial" w:cs="Arial"/>
          <w:sz w:val="22"/>
          <w:szCs w:val="22"/>
          <w:lang w:val="en-US"/>
        </w:rPr>
        <w:t>bility to absorb funding under IPARD II remains challenged by incomplete applications and lengthy contracting process. The constant decrease and high turnover of staff in the Managing Authority and in the IPARD Agency continue to be an issue of serious concern.</w:t>
      </w:r>
    </w:p>
    <w:p w:rsidR="003136C5" w:rsidRPr="009C509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lang w:val="en-US"/>
        </w:rPr>
      </w:pPr>
      <w:bookmarkStart w:id="3" w:name="_Toc8649802"/>
      <w:r w:rsidRPr="009C5096">
        <w:rPr>
          <w:rFonts w:ascii="Arial" w:hAnsi="Arial" w:cs="Arial"/>
          <w:b/>
          <w:lang w:val="en-US"/>
        </w:rPr>
        <w:t>Macroeconomic situation</w:t>
      </w:r>
      <w:bookmarkEnd w:id="3"/>
    </w:p>
    <w:p w:rsidR="003136C5" w:rsidRPr="009C5096" w:rsidRDefault="003136C5" w:rsidP="003136C5">
      <w:pPr>
        <w:pStyle w:val="m343668044302477783m-3986873246552044066msolistparagraph"/>
        <w:spacing w:before="120" w:beforeAutospacing="0" w:after="120" w:afterAutospacing="0"/>
        <w:jc w:val="both"/>
        <w:rPr>
          <w:rFonts w:ascii="Arial" w:hAnsi="Arial" w:cs="Arial"/>
          <w:sz w:val="22"/>
          <w:szCs w:val="22"/>
          <w:lang w:val="en-US"/>
        </w:rPr>
      </w:pPr>
      <w:r w:rsidRPr="009C5096">
        <w:rPr>
          <w:rFonts w:ascii="Arial" w:hAnsi="Arial" w:cs="Arial"/>
          <w:sz w:val="22"/>
          <w:szCs w:val="22"/>
          <w:lang w:val="en-US"/>
        </w:rPr>
        <w:t>Data and reports published by relevant institutions show that the economy remains stable, but the pace of growth again is rated as unsatisfactory</w:t>
      </w:r>
      <w:r w:rsidR="009376E7" w:rsidRPr="009C5096">
        <w:rPr>
          <w:rFonts w:ascii="Arial" w:hAnsi="Arial" w:cs="Arial"/>
          <w:sz w:val="22"/>
          <w:szCs w:val="22"/>
          <w:lang w:val="en-US"/>
        </w:rPr>
        <w:t>,</w:t>
      </w:r>
      <w:r w:rsidRPr="009C5096">
        <w:rPr>
          <w:rFonts w:ascii="Arial" w:hAnsi="Arial" w:cs="Arial"/>
          <w:sz w:val="22"/>
          <w:szCs w:val="22"/>
          <w:lang w:val="en-US"/>
        </w:rPr>
        <w:t xml:space="preserve"> affected by increased political uncertainty.</w:t>
      </w:r>
    </w:p>
    <w:p w:rsidR="003136C5" w:rsidRPr="009C5096" w:rsidRDefault="003136C5" w:rsidP="003136C5">
      <w:pPr>
        <w:pStyle w:val="Caption"/>
        <w:rPr>
          <w:rFonts w:ascii="Arial" w:hAnsi="Arial" w:cs="Arial"/>
          <w:sz w:val="22"/>
          <w:szCs w:val="22"/>
        </w:rPr>
      </w:pPr>
      <w:bookmarkStart w:id="4" w:name="_Toc6902267"/>
      <w:r w:rsidRPr="009C5096">
        <w:rPr>
          <w:rFonts w:ascii="Arial" w:hAnsi="Arial" w:cs="Arial"/>
          <w:sz w:val="22"/>
          <w:szCs w:val="22"/>
        </w:rPr>
        <w:t xml:space="preserve">Table </w:t>
      </w:r>
      <w:r w:rsidRPr="009C5096">
        <w:rPr>
          <w:rFonts w:ascii="Arial" w:hAnsi="Arial" w:cs="Arial"/>
          <w:i/>
          <w:sz w:val="22"/>
          <w:szCs w:val="22"/>
        </w:rPr>
        <w:fldChar w:fldCharType="begin"/>
      </w:r>
      <w:r w:rsidRPr="009C5096">
        <w:rPr>
          <w:rFonts w:ascii="Arial" w:hAnsi="Arial" w:cs="Arial"/>
          <w:sz w:val="22"/>
          <w:szCs w:val="22"/>
        </w:rPr>
        <w:instrText xml:space="preserve"> SEQ Table \* ARABIC </w:instrText>
      </w:r>
      <w:r w:rsidRPr="009C5096">
        <w:rPr>
          <w:rFonts w:ascii="Arial" w:hAnsi="Arial" w:cs="Arial"/>
          <w:i/>
          <w:sz w:val="22"/>
          <w:szCs w:val="22"/>
        </w:rPr>
        <w:fldChar w:fldCharType="separate"/>
      </w:r>
      <w:r w:rsidRPr="009C5096">
        <w:rPr>
          <w:rFonts w:ascii="Arial" w:hAnsi="Arial" w:cs="Arial"/>
          <w:sz w:val="22"/>
          <w:szCs w:val="22"/>
        </w:rPr>
        <w:t>1</w:t>
      </w:r>
      <w:r w:rsidRPr="009C5096">
        <w:rPr>
          <w:rFonts w:ascii="Arial" w:hAnsi="Arial" w:cs="Arial"/>
          <w:i/>
          <w:sz w:val="22"/>
          <w:szCs w:val="22"/>
        </w:rPr>
        <w:fldChar w:fldCharType="end"/>
      </w:r>
      <w:r w:rsidRPr="009C5096">
        <w:rPr>
          <w:rFonts w:ascii="Arial" w:hAnsi="Arial" w:cs="Arial"/>
          <w:sz w:val="22"/>
          <w:szCs w:val="22"/>
        </w:rPr>
        <w:t>: Main macroeconomic indicators</w:t>
      </w:r>
      <w:bookmarkEnd w:id="4"/>
    </w:p>
    <w:tbl>
      <w:tblPr>
        <w:tblStyle w:val="TableGrid"/>
        <w:tblW w:w="9355" w:type="dxa"/>
        <w:tblLook w:val="01E0" w:firstRow="1" w:lastRow="1" w:firstColumn="1" w:lastColumn="1" w:noHBand="0" w:noVBand="0"/>
      </w:tblPr>
      <w:tblGrid>
        <w:gridCol w:w="4229"/>
        <w:gridCol w:w="806"/>
        <w:gridCol w:w="810"/>
        <w:gridCol w:w="810"/>
        <w:gridCol w:w="900"/>
        <w:gridCol w:w="900"/>
        <w:gridCol w:w="900"/>
      </w:tblGrid>
      <w:tr w:rsidR="003136C5" w:rsidRPr="009C5096" w:rsidTr="00612896">
        <w:trPr>
          <w:trHeight w:val="517"/>
        </w:trPr>
        <w:tc>
          <w:tcPr>
            <w:tcW w:w="4229" w:type="dxa"/>
            <w:tcBorders>
              <w:top w:val="nil"/>
              <w:left w:val="nil"/>
            </w:tcBorders>
            <w:shd w:val="clear" w:color="auto" w:fill="auto"/>
          </w:tcPr>
          <w:p w:rsidR="003136C5" w:rsidRPr="009C5096" w:rsidRDefault="003136C5" w:rsidP="00612896">
            <w:pPr>
              <w:keepNext/>
              <w:keepLines/>
              <w:jc w:val="center"/>
              <w:rPr>
                <w:rFonts w:ascii="Arial" w:hAnsi="Arial" w:cs="Arial"/>
                <w:sz w:val="20"/>
                <w:szCs w:val="20"/>
              </w:rPr>
            </w:pPr>
          </w:p>
        </w:tc>
        <w:tc>
          <w:tcPr>
            <w:tcW w:w="806" w:type="dxa"/>
            <w:shd w:val="clear" w:color="auto" w:fill="auto"/>
            <w:vAlign w:val="center"/>
          </w:tcPr>
          <w:p w:rsidR="003136C5" w:rsidRPr="009C5096" w:rsidRDefault="003136C5" w:rsidP="00612896">
            <w:pPr>
              <w:jc w:val="center"/>
              <w:rPr>
                <w:rFonts w:ascii="Arial" w:hAnsi="Arial" w:cs="Arial"/>
                <w:bCs/>
                <w:sz w:val="20"/>
                <w:szCs w:val="20"/>
              </w:rPr>
            </w:pPr>
            <w:r w:rsidRPr="009C5096">
              <w:rPr>
                <w:rFonts w:ascii="Arial" w:hAnsi="Arial" w:cs="Arial"/>
                <w:bCs/>
                <w:sz w:val="20"/>
                <w:szCs w:val="20"/>
              </w:rPr>
              <w:t>2012</w:t>
            </w:r>
          </w:p>
        </w:tc>
        <w:tc>
          <w:tcPr>
            <w:tcW w:w="810" w:type="dxa"/>
            <w:shd w:val="clear" w:color="auto" w:fill="auto"/>
            <w:vAlign w:val="center"/>
          </w:tcPr>
          <w:p w:rsidR="003136C5" w:rsidRPr="009C5096" w:rsidRDefault="003136C5" w:rsidP="00612896">
            <w:pPr>
              <w:jc w:val="center"/>
              <w:rPr>
                <w:rFonts w:ascii="Arial" w:hAnsi="Arial" w:cs="Arial"/>
                <w:bCs/>
                <w:sz w:val="20"/>
                <w:szCs w:val="20"/>
              </w:rPr>
            </w:pPr>
            <w:r w:rsidRPr="009C5096">
              <w:rPr>
                <w:rFonts w:ascii="Arial" w:hAnsi="Arial" w:cs="Arial"/>
                <w:bCs/>
                <w:sz w:val="20"/>
                <w:szCs w:val="20"/>
              </w:rPr>
              <w:t>2013</w:t>
            </w:r>
          </w:p>
        </w:tc>
        <w:tc>
          <w:tcPr>
            <w:tcW w:w="810" w:type="dxa"/>
            <w:shd w:val="clear" w:color="auto" w:fill="auto"/>
            <w:vAlign w:val="center"/>
          </w:tcPr>
          <w:p w:rsidR="003136C5" w:rsidRPr="009C5096" w:rsidRDefault="003136C5" w:rsidP="00612896">
            <w:pPr>
              <w:jc w:val="center"/>
              <w:rPr>
                <w:rFonts w:ascii="Arial" w:hAnsi="Arial" w:cs="Arial"/>
                <w:bCs/>
                <w:sz w:val="20"/>
                <w:szCs w:val="20"/>
              </w:rPr>
            </w:pPr>
            <w:r w:rsidRPr="009C5096">
              <w:rPr>
                <w:rFonts w:ascii="Arial" w:hAnsi="Arial" w:cs="Arial"/>
                <w:bCs/>
                <w:sz w:val="20"/>
                <w:szCs w:val="20"/>
              </w:rPr>
              <w:t>2014</w:t>
            </w:r>
          </w:p>
        </w:tc>
        <w:tc>
          <w:tcPr>
            <w:tcW w:w="900" w:type="dxa"/>
            <w:shd w:val="clear" w:color="auto" w:fill="auto"/>
            <w:vAlign w:val="center"/>
          </w:tcPr>
          <w:p w:rsidR="003136C5" w:rsidRPr="009C5096" w:rsidRDefault="003136C5" w:rsidP="00612896">
            <w:pPr>
              <w:jc w:val="center"/>
              <w:rPr>
                <w:rFonts w:ascii="Arial" w:hAnsi="Arial" w:cs="Arial"/>
                <w:bCs/>
                <w:sz w:val="20"/>
                <w:szCs w:val="20"/>
              </w:rPr>
            </w:pPr>
            <w:r w:rsidRPr="009C5096">
              <w:rPr>
                <w:rFonts w:ascii="Arial" w:hAnsi="Arial" w:cs="Arial"/>
                <w:bCs/>
                <w:sz w:val="20"/>
                <w:szCs w:val="20"/>
              </w:rPr>
              <w:t>2015</w:t>
            </w:r>
          </w:p>
        </w:tc>
        <w:tc>
          <w:tcPr>
            <w:tcW w:w="900" w:type="dxa"/>
            <w:shd w:val="clear" w:color="auto" w:fill="auto"/>
            <w:vAlign w:val="center"/>
          </w:tcPr>
          <w:p w:rsidR="003136C5" w:rsidRPr="009C5096" w:rsidRDefault="003136C5" w:rsidP="00612896">
            <w:pPr>
              <w:jc w:val="center"/>
              <w:rPr>
                <w:rFonts w:ascii="Arial" w:hAnsi="Arial" w:cs="Arial"/>
                <w:bCs/>
                <w:sz w:val="20"/>
                <w:szCs w:val="20"/>
              </w:rPr>
            </w:pPr>
            <w:r w:rsidRPr="009C5096">
              <w:rPr>
                <w:rFonts w:ascii="Arial" w:hAnsi="Arial" w:cs="Arial"/>
                <w:bCs/>
                <w:sz w:val="20"/>
                <w:szCs w:val="20"/>
              </w:rPr>
              <w:t>2016</w:t>
            </w:r>
          </w:p>
        </w:tc>
        <w:tc>
          <w:tcPr>
            <w:tcW w:w="900" w:type="dxa"/>
            <w:vAlign w:val="center"/>
          </w:tcPr>
          <w:p w:rsidR="003136C5" w:rsidRPr="009C5096" w:rsidRDefault="003136C5" w:rsidP="00612896">
            <w:pPr>
              <w:jc w:val="center"/>
              <w:rPr>
                <w:rFonts w:ascii="Arial" w:hAnsi="Arial" w:cs="Arial"/>
                <w:bCs/>
                <w:sz w:val="20"/>
                <w:szCs w:val="20"/>
              </w:rPr>
            </w:pPr>
            <w:r w:rsidRPr="009C5096">
              <w:rPr>
                <w:rFonts w:ascii="Arial" w:hAnsi="Arial" w:cs="Arial"/>
                <w:bCs/>
                <w:sz w:val="20"/>
                <w:szCs w:val="20"/>
              </w:rPr>
              <w:t>2017</w:t>
            </w:r>
          </w:p>
        </w:tc>
      </w:tr>
      <w:tr w:rsidR="003136C5" w:rsidRPr="009C5096" w:rsidTr="00612896">
        <w:trPr>
          <w:trHeight w:val="179"/>
        </w:trPr>
        <w:tc>
          <w:tcPr>
            <w:tcW w:w="4229" w:type="dxa"/>
            <w:shd w:val="clear" w:color="auto" w:fill="auto"/>
          </w:tcPr>
          <w:p w:rsidR="003136C5" w:rsidRPr="009C5096" w:rsidRDefault="003136C5" w:rsidP="00612896">
            <w:pPr>
              <w:rPr>
                <w:rFonts w:ascii="Arial" w:hAnsi="Arial" w:cs="Arial"/>
                <w:sz w:val="20"/>
                <w:szCs w:val="20"/>
              </w:rPr>
            </w:pPr>
            <w:r w:rsidRPr="009C5096">
              <w:rPr>
                <w:rFonts w:ascii="Arial" w:hAnsi="Arial" w:cs="Arial"/>
                <w:sz w:val="20"/>
                <w:szCs w:val="20"/>
              </w:rPr>
              <w:t>GDP in million € (at current exchange rate)</w:t>
            </w:r>
          </w:p>
        </w:tc>
        <w:tc>
          <w:tcPr>
            <w:tcW w:w="806" w:type="dxa"/>
            <w:shd w:val="clear" w:color="auto" w:fill="auto"/>
            <w:vAlign w:val="bottom"/>
          </w:tcPr>
          <w:p w:rsidR="003136C5" w:rsidRPr="009C5096" w:rsidRDefault="003136C5" w:rsidP="00612896">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7</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585</w:t>
            </w:r>
          </w:p>
        </w:tc>
        <w:tc>
          <w:tcPr>
            <w:tcW w:w="810" w:type="dxa"/>
            <w:shd w:val="clear" w:color="auto" w:fill="auto"/>
            <w:vAlign w:val="bottom"/>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8</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150</w:t>
            </w:r>
          </w:p>
        </w:tc>
        <w:tc>
          <w:tcPr>
            <w:tcW w:w="810" w:type="dxa"/>
            <w:shd w:val="clear" w:color="auto" w:fill="auto"/>
            <w:vAlign w:val="bottom"/>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8</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562</w:t>
            </w:r>
          </w:p>
        </w:tc>
        <w:tc>
          <w:tcPr>
            <w:tcW w:w="900" w:type="dxa"/>
            <w:shd w:val="clear" w:color="auto" w:fill="auto"/>
            <w:vAlign w:val="bottom"/>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9</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072</w:t>
            </w:r>
          </w:p>
        </w:tc>
        <w:tc>
          <w:tcPr>
            <w:tcW w:w="900" w:type="dxa"/>
            <w:shd w:val="clear" w:color="auto" w:fill="auto"/>
            <w:vAlign w:val="bottom"/>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9</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657</w:t>
            </w:r>
          </w:p>
        </w:tc>
        <w:tc>
          <w:tcPr>
            <w:tcW w:w="900" w:type="dxa"/>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10</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026</w:t>
            </w:r>
          </w:p>
        </w:tc>
      </w:tr>
      <w:tr w:rsidR="003136C5" w:rsidRPr="009C5096" w:rsidTr="00612896">
        <w:trPr>
          <w:trHeight w:val="57"/>
        </w:trPr>
        <w:tc>
          <w:tcPr>
            <w:tcW w:w="4229" w:type="dxa"/>
            <w:shd w:val="clear" w:color="auto" w:fill="auto"/>
          </w:tcPr>
          <w:p w:rsidR="003136C5" w:rsidRPr="009C5096" w:rsidRDefault="003136C5" w:rsidP="00612896">
            <w:pPr>
              <w:rPr>
                <w:rFonts w:ascii="Arial" w:hAnsi="Arial" w:cs="Arial"/>
                <w:sz w:val="20"/>
                <w:szCs w:val="20"/>
              </w:rPr>
            </w:pPr>
            <w:r w:rsidRPr="009C5096">
              <w:rPr>
                <w:rFonts w:ascii="Arial" w:hAnsi="Arial" w:cs="Arial"/>
                <w:sz w:val="20"/>
                <w:szCs w:val="20"/>
              </w:rPr>
              <w:t>GDP per capita in € (at current exchange rate)</w:t>
            </w:r>
          </w:p>
        </w:tc>
        <w:tc>
          <w:tcPr>
            <w:tcW w:w="806" w:type="dxa"/>
            <w:shd w:val="clear" w:color="auto" w:fill="auto"/>
            <w:vAlign w:val="bottom"/>
          </w:tcPr>
          <w:p w:rsidR="003136C5" w:rsidRPr="009C5096" w:rsidRDefault="003136C5" w:rsidP="00612896">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3</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680</w:t>
            </w:r>
          </w:p>
        </w:tc>
        <w:tc>
          <w:tcPr>
            <w:tcW w:w="810" w:type="dxa"/>
            <w:shd w:val="clear" w:color="auto" w:fill="auto"/>
            <w:vAlign w:val="bottom"/>
          </w:tcPr>
          <w:p w:rsidR="003136C5" w:rsidRPr="009C5096" w:rsidDel="00D36D5D"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3</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948</w:t>
            </w:r>
          </w:p>
        </w:tc>
        <w:tc>
          <w:tcPr>
            <w:tcW w:w="810" w:type="dxa"/>
            <w:shd w:val="clear" w:color="auto" w:fill="auto"/>
            <w:vAlign w:val="bottom"/>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4</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141</w:t>
            </w:r>
          </w:p>
        </w:tc>
        <w:tc>
          <w:tcPr>
            <w:tcW w:w="900" w:type="dxa"/>
            <w:shd w:val="clear" w:color="auto" w:fill="auto"/>
            <w:vAlign w:val="bottom"/>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4</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382</w:t>
            </w:r>
          </w:p>
        </w:tc>
        <w:tc>
          <w:tcPr>
            <w:tcW w:w="900" w:type="dxa"/>
            <w:shd w:val="clear" w:color="auto" w:fill="auto"/>
            <w:vAlign w:val="bottom"/>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4</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659</w:t>
            </w:r>
          </w:p>
        </w:tc>
        <w:tc>
          <w:tcPr>
            <w:tcW w:w="900" w:type="dxa"/>
            <w:vAlign w:val="bottom"/>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4</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831</w:t>
            </w:r>
          </w:p>
        </w:tc>
      </w:tr>
      <w:tr w:rsidR="003136C5" w:rsidRPr="009C5096" w:rsidTr="00612896">
        <w:trPr>
          <w:trHeight w:val="57"/>
        </w:trPr>
        <w:tc>
          <w:tcPr>
            <w:tcW w:w="4229" w:type="dxa"/>
            <w:shd w:val="clear" w:color="auto" w:fill="auto"/>
          </w:tcPr>
          <w:p w:rsidR="003136C5" w:rsidRPr="009C5096" w:rsidRDefault="003136C5" w:rsidP="00612896">
            <w:pPr>
              <w:rPr>
                <w:rFonts w:ascii="Arial" w:hAnsi="Arial" w:cs="Arial"/>
                <w:sz w:val="20"/>
                <w:szCs w:val="20"/>
              </w:rPr>
            </w:pPr>
            <w:r w:rsidRPr="009C5096">
              <w:rPr>
                <w:rFonts w:ascii="Arial" w:hAnsi="Arial" w:cs="Arial"/>
                <w:sz w:val="20"/>
                <w:szCs w:val="20"/>
              </w:rPr>
              <w:t>GDP real growth rate (in %)</w:t>
            </w:r>
          </w:p>
        </w:tc>
        <w:tc>
          <w:tcPr>
            <w:tcW w:w="806" w:type="dxa"/>
            <w:shd w:val="clear" w:color="auto" w:fill="auto"/>
            <w:vAlign w:val="bottom"/>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-0</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5</w:t>
            </w:r>
          </w:p>
        </w:tc>
        <w:tc>
          <w:tcPr>
            <w:tcW w:w="810" w:type="dxa"/>
            <w:shd w:val="clear" w:color="auto" w:fill="auto"/>
            <w:vAlign w:val="bottom"/>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2</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9</w:t>
            </w:r>
          </w:p>
        </w:tc>
        <w:tc>
          <w:tcPr>
            <w:tcW w:w="810" w:type="dxa"/>
            <w:shd w:val="clear" w:color="auto" w:fill="auto"/>
            <w:vAlign w:val="bottom"/>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3</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6</w:t>
            </w:r>
          </w:p>
        </w:tc>
        <w:tc>
          <w:tcPr>
            <w:tcW w:w="900" w:type="dxa"/>
            <w:shd w:val="clear" w:color="auto" w:fill="auto"/>
            <w:vAlign w:val="bottom"/>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3</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9</w:t>
            </w:r>
          </w:p>
        </w:tc>
        <w:tc>
          <w:tcPr>
            <w:tcW w:w="900" w:type="dxa"/>
            <w:shd w:val="clear" w:color="auto" w:fill="auto"/>
            <w:vAlign w:val="bottom"/>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2</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8</w:t>
            </w:r>
          </w:p>
        </w:tc>
        <w:tc>
          <w:tcPr>
            <w:tcW w:w="900" w:type="dxa"/>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0</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2</w:t>
            </w:r>
          </w:p>
        </w:tc>
      </w:tr>
      <w:tr w:rsidR="003136C5" w:rsidRPr="009C5096" w:rsidTr="00612896">
        <w:trPr>
          <w:trHeight w:val="57"/>
        </w:trPr>
        <w:tc>
          <w:tcPr>
            <w:tcW w:w="4229" w:type="dxa"/>
            <w:shd w:val="clear" w:color="auto" w:fill="auto"/>
          </w:tcPr>
          <w:p w:rsidR="003136C5" w:rsidRPr="009C5096" w:rsidRDefault="003136C5" w:rsidP="00612896">
            <w:pPr>
              <w:rPr>
                <w:rFonts w:ascii="Arial" w:hAnsi="Arial" w:cs="Arial"/>
                <w:sz w:val="20"/>
                <w:szCs w:val="20"/>
              </w:rPr>
            </w:pPr>
            <w:r w:rsidRPr="009C5096">
              <w:rPr>
                <w:rFonts w:ascii="Arial" w:hAnsi="Arial" w:cs="Arial"/>
                <w:sz w:val="20"/>
                <w:szCs w:val="20"/>
              </w:rPr>
              <w:t>Inflation (in %)</w:t>
            </w:r>
          </w:p>
        </w:tc>
        <w:tc>
          <w:tcPr>
            <w:tcW w:w="806" w:type="dxa"/>
            <w:shd w:val="clear" w:color="auto" w:fill="auto"/>
            <w:vAlign w:val="bottom"/>
          </w:tcPr>
          <w:p w:rsidR="003136C5" w:rsidRPr="009C5096" w:rsidRDefault="003136C5" w:rsidP="00612896">
            <w:pPr>
              <w:jc w:val="center"/>
              <w:rPr>
                <w:rFonts w:ascii="Arial" w:hAnsi="Arial" w:cs="Arial"/>
                <w:sz w:val="20"/>
                <w:szCs w:val="20"/>
              </w:rPr>
            </w:pPr>
            <w:r w:rsidRPr="009C5096">
              <w:rPr>
                <w:rStyle w:val="Bodytext85pt"/>
                <w:rFonts w:ascii="Arial" w:eastAsiaTheme="minorHAnsi" w:hAnsi="Arial" w:cs="Arial"/>
                <w:sz w:val="20"/>
                <w:szCs w:val="20"/>
                <w:lang w:val="en-US"/>
              </w:rPr>
              <w:t>4</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7</w:t>
            </w:r>
          </w:p>
        </w:tc>
        <w:tc>
          <w:tcPr>
            <w:tcW w:w="810" w:type="dxa"/>
            <w:shd w:val="clear" w:color="auto" w:fill="auto"/>
            <w:vAlign w:val="bottom"/>
          </w:tcPr>
          <w:p w:rsidR="003136C5" w:rsidRPr="009C5096" w:rsidRDefault="003136C5" w:rsidP="009376E7">
            <w:pPr>
              <w:jc w:val="center"/>
              <w:rPr>
                <w:rFonts w:ascii="Arial" w:hAnsi="Arial" w:cs="Arial"/>
                <w:sz w:val="20"/>
                <w:szCs w:val="20"/>
              </w:rPr>
            </w:pPr>
            <w:r w:rsidRPr="009C5096">
              <w:rPr>
                <w:rStyle w:val="Bodytext85pt"/>
                <w:rFonts w:ascii="Arial" w:eastAsiaTheme="minorHAnsi" w:hAnsi="Arial" w:cs="Arial"/>
                <w:sz w:val="20"/>
                <w:szCs w:val="20"/>
                <w:lang w:val="en-US"/>
              </w:rPr>
              <w:t>1</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4</w:t>
            </w:r>
          </w:p>
        </w:tc>
        <w:tc>
          <w:tcPr>
            <w:tcW w:w="810" w:type="dxa"/>
            <w:shd w:val="clear" w:color="auto" w:fill="auto"/>
            <w:vAlign w:val="bottom"/>
          </w:tcPr>
          <w:p w:rsidR="003136C5" w:rsidRPr="009C5096" w:rsidRDefault="003136C5" w:rsidP="009376E7">
            <w:pPr>
              <w:jc w:val="center"/>
              <w:rPr>
                <w:rFonts w:ascii="Arial" w:hAnsi="Arial" w:cs="Arial"/>
                <w:sz w:val="20"/>
                <w:szCs w:val="20"/>
              </w:rPr>
            </w:pPr>
            <w:r w:rsidRPr="009C5096">
              <w:rPr>
                <w:rStyle w:val="Bodytext85pt"/>
                <w:rFonts w:ascii="Arial" w:eastAsiaTheme="minorHAnsi" w:hAnsi="Arial" w:cs="Arial"/>
                <w:sz w:val="20"/>
                <w:szCs w:val="20"/>
                <w:lang w:val="en-US"/>
              </w:rPr>
              <w:t>-0</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5</w:t>
            </w:r>
          </w:p>
        </w:tc>
        <w:tc>
          <w:tcPr>
            <w:tcW w:w="900" w:type="dxa"/>
            <w:shd w:val="clear" w:color="auto" w:fill="auto"/>
            <w:vAlign w:val="bottom"/>
          </w:tcPr>
          <w:p w:rsidR="003136C5" w:rsidRPr="009C5096" w:rsidRDefault="003136C5" w:rsidP="009376E7">
            <w:pPr>
              <w:jc w:val="center"/>
              <w:rPr>
                <w:rFonts w:ascii="Arial" w:hAnsi="Arial" w:cs="Arial"/>
                <w:sz w:val="20"/>
                <w:szCs w:val="20"/>
              </w:rPr>
            </w:pPr>
            <w:r w:rsidRPr="009C5096">
              <w:rPr>
                <w:rStyle w:val="Bodytext85pt"/>
                <w:rFonts w:ascii="Arial" w:eastAsiaTheme="minorHAnsi" w:hAnsi="Arial" w:cs="Arial"/>
                <w:sz w:val="20"/>
                <w:szCs w:val="20"/>
                <w:lang w:val="en-US"/>
              </w:rPr>
              <w:t>-0</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4</w:t>
            </w:r>
          </w:p>
        </w:tc>
        <w:tc>
          <w:tcPr>
            <w:tcW w:w="900" w:type="dxa"/>
            <w:shd w:val="clear" w:color="auto" w:fill="auto"/>
            <w:vAlign w:val="bottom"/>
          </w:tcPr>
          <w:p w:rsidR="003136C5" w:rsidRPr="009C5096" w:rsidRDefault="003136C5" w:rsidP="009376E7">
            <w:pPr>
              <w:jc w:val="center"/>
              <w:rPr>
                <w:rFonts w:ascii="Arial" w:hAnsi="Arial" w:cs="Arial"/>
                <w:sz w:val="20"/>
                <w:szCs w:val="20"/>
              </w:rPr>
            </w:pPr>
            <w:r w:rsidRPr="009C5096">
              <w:rPr>
                <w:rStyle w:val="Bodytext85pt"/>
                <w:rFonts w:ascii="Arial" w:eastAsiaTheme="minorHAnsi" w:hAnsi="Arial" w:cs="Arial"/>
                <w:sz w:val="20"/>
                <w:szCs w:val="20"/>
                <w:lang w:val="en-US"/>
              </w:rPr>
              <w:t>-0</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2</w:t>
            </w:r>
          </w:p>
        </w:tc>
        <w:tc>
          <w:tcPr>
            <w:tcW w:w="900" w:type="dxa"/>
          </w:tcPr>
          <w:p w:rsidR="003136C5" w:rsidRPr="009C5096" w:rsidRDefault="003136C5" w:rsidP="009376E7">
            <w:pPr>
              <w:jc w:val="cente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2</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4</w:t>
            </w:r>
          </w:p>
        </w:tc>
      </w:tr>
      <w:tr w:rsidR="003136C5" w:rsidRPr="009C5096" w:rsidTr="00612896">
        <w:trPr>
          <w:trHeight w:val="57"/>
        </w:trPr>
        <w:tc>
          <w:tcPr>
            <w:tcW w:w="4229" w:type="dxa"/>
            <w:shd w:val="clear" w:color="auto" w:fill="auto"/>
          </w:tcPr>
          <w:p w:rsidR="003136C5" w:rsidRPr="009C5096" w:rsidRDefault="003136C5" w:rsidP="00612896">
            <w:pPr>
              <w:rPr>
                <w:rFonts w:ascii="Arial" w:hAnsi="Arial" w:cs="Arial"/>
                <w:sz w:val="20"/>
                <w:szCs w:val="20"/>
              </w:rPr>
            </w:pPr>
            <w:r w:rsidRPr="009C5096">
              <w:rPr>
                <w:rFonts w:ascii="Arial" w:hAnsi="Arial" w:cs="Arial"/>
                <w:sz w:val="20"/>
                <w:szCs w:val="20"/>
              </w:rPr>
              <w:t>Average exchange rate (denar/€)</w:t>
            </w:r>
          </w:p>
        </w:tc>
        <w:tc>
          <w:tcPr>
            <w:tcW w:w="806" w:type="dxa"/>
            <w:shd w:val="clear" w:color="auto" w:fill="auto"/>
            <w:vAlign w:val="bottom"/>
          </w:tcPr>
          <w:p w:rsidR="003136C5" w:rsidRPr="009C5096" w:rsidRDefault="003136C5" w:rsidP="00612896">
            <w:pPr>
              <w:jc w:val="center"/>
              <w:rPr>
                <w:rFonts w:ascii="Arial" w:hAnsi="Arial" w:cs="Arial"/>
                <w:sz w:val="20"/>
                <w:szCs w:val="20"/>
              </w:rPr>
            </w:pPr>
            <w:r w:rsidRPr="009C5096">
              <w:rPr>
                <w:rFonts w:ascii="Arial" w:hAnsi="Arial" w:cs="Arial"/>
                <w:sz w:val="20"/>
                <w:szCs w:val="20"/>
              </w:rPr>
              <w:t>61</w:t>
            </w:r>
            <w:r w:rsidR="009376E7" w:rsidRPr="009C5096">
              <w:rPr>
                <w:rFonts w:ascii="Arial" w:hAnsi="Arial" w:cs="Arial"/>
                <w:sz w:val="20"/>
                <w:szCs w:val="20"/>
              </w:rPr>
              <w:t>.</w:t>
            </w:r>
            <w:r w:rsidRPr="009C5096">
              <w:rPr>
                <w:rFonts w:ascii="Arial" w:hAnsi="Arial" w:cs="Arial"/>
                <w:sz w:val="20"/>
                <w:szCs w:val="20"/>
              </w:rPr>
              <w:t>53</w:t>
            </w:r>
          </w:p>
        </w:tc>
        <w:tc>
          <w:tcPr>
            <w:tcW w:w="810" w:type="dxa"/>
            <w:shd w:val="clear" w:color="auto" w:fill="auto"/>
            <w:vAlign w:val="bottom"/>
          </w:tcPr>
          <w:p w:rsidR="003136C5" w:rsidRPr="009C5096" w:rsidRDefault="003136C5" w:rsidP="009376E7">
            <w:pPr>
              <w:jc w:val="center"/>
              <w:rPr>
                <w:rFonts w:ascii="Arial" w:hAnsi="Arial" w:cs="Arial"/>
                <w:sz w:val="20"/>
                <w:szCs w:val="20"/>
              </w:rPr>
            </w:pPr>
            <w:r w:rsidRPr="009C5096">
              <w:rPr>
                <w:rFonts w:ascii="Arial" w:hAnsi="Arial" w:cs="Arial"/>
                <w:sz w:val="20"/>
                <w:szCs w:val="20"/>
              </w:rPr>
              <w:t>61</w:t>
            </w:r>
            <w:r w:rsidR="009376E7" w:rsidRPr="009C5096">
              <w:rPr>
                <w:rFonts w:ascii="Arial" w:hAnsi="Arial" w:cs="Arial"/>
                <w:sz w:val="20"/>
                <w:szCs w:val="20"/>
              </w:rPr>
              <w:t>.</w:t>
            </w:r>
            <w:r w:rsidRPr="009C5096">
              <w:rPr>
                <w:rFonts w:ascii="Arial" w:hAnsi="Arial" w:cs="Arial"/>
                <w:sz w:val="20"/>
                <w:szCs w:val="20"/>
              </w:rPr>
              <w:t>58</w:t>
            </w:r>
          </w:p>
        </w:tc>
        <w:tc>
          <w:tcPr>
            <w:tcW w:w="810" w:type="dxa"/>
            <w:shd w:val="clear" w:color="auto" w:fill="auto"/>
            <w:vAlign w:val="bottom"/>
          </w:tcPr>
          <w:p w:rsidR="003136C5" w:rsidRPr="009C5096" w:rsidRDefault="003136C5" w:rsidP="009376E7">
            <w:pPr>
              <w:jc w:val="center"/>
              <w:rPr>
                <w:rFonts w:ascii="Arial" w:hAnsi="Arial" w:cs="Arial"/>
                <w:sz w:val="20"/>
                <w:szCs w:val="20"/>
              </w:rPr>
            </w:pPr>
            <w:r w:rsidRPr="009C5096">
              <w:rPr>
                <w:rFonts w:ascii="Arial" w:hAnsi="Arial" w:cs="Arial"/>
                <w:sz w:val="20"/>
                <w:szCs w:val="20"/>
              </w:rPr>
              <w:t>61</w:t>
            </w:r>
            <w:r w:rsidR="009376E7" w:rsidRPr="009C5096">
              <w:rPr>
                <w:rFonts w:ascii="Arial" w:hAnsi="Arial" w:cs="Arial"/>
                <w:sz w:val="20"/>
                <w:szCs w:val="20"/>
              </w:rPr>
              <w:t>.</w:t>
            </w:r>
            <w:r w:rsidRPr="009C5096">
              <w:rPr>
                <w:rFonts w:ascii="Arial" w:hAnsi="Arial" w:cs="Arial"/>
                <w:sz w:val="20"/>
                <w:szCs w:val="20"/>
              </w:rPr>
              <w:t>62</w:t>
            </w:r>
          </w:p>
        </w:tc>
        <w:tc>
          <w:tcPr>
            <w:tcW w:w="900" w:type="dxa"/>
            <w:shd w:val="clear" w:color="auto" w:fill="auto"/>
            <w:vAlign w:val="bottom"/>
          </w:tcPr>
          <w:p w:rsidR="003136C5" w:rsidRPr="009C5096" w:rsidRDefault="003136C5" w:rsidP="009376E7">
            <w:pPr>
              <w:jc w:val="center"/>
              <w:rPr>
                <w:rFonts w:ascii="Arial" w:hAnsi="Arial" w:cs="Arial"/>
                <w:sz w:val="20"/>
                <w:szCs w:val="20"/>
              </w:rPr>
            </w:pPr>
            <w:r w:rsidRPr="009C5096">
              <w:rPr>
                <w:rFonts w:ascii="Arial" w:hAnsi="Arial" w:cs="Arial"/>
                <w:sz w:val="20"/>
                <w:szCs w:val="20"/>
              </w:rPr>
              <w:t>61</w:t>
            </w:r>
            <w:r w:rsidR="009376E7" w:rsidRPr="009C5096">
              <w:rPr>
                <w:rFonts w:ascii="Arial" w:hAnsi="Arial" w:cs="Arial"/>
                <w:sz w:val="20"/>
                <w:szCs w:val="20"/>
              </w:rPr>
              <w:t>.</w:t>
            </w:r>
            <w:r w:rsidRPr="009C5096">
              <w:rPr>
                <w:rFonts w:ascii="Arial" w:hAnsi="Arial" w:cs="Arial"/>
                <w:sz w:val="20"/>
                <w:szCs w:val="20"/>
              </w:rPr>
              <w:t>61</w:t>
            </w:r>
          </w:p>
        </w:tc>
        <w:tc>
          <w:tcPr>
            <w:tcW w:w="900" w:type="dxa"/>
            <w:shd w:val="clear" w:color="auto" w:fill="auto"/>
            <w:vAlign w:val="bottom"/>
          </w:tcPr>
          <w:p w:rsidR="003136C5" w:rsidRPr="009C5096" w:rsidRDefault="003136C5" w:rsidP="009376E7">
            <w:pPr>
              <w:jc w:val="center"/>
              <w:rPr>
                <w:rFonts w:ascii="Arial" w:hAnsi="Arial" w:cs="Arial"/>
                <w:sz w:val="20"/>
                <w:szCs w:val="20"/>
              </w:rPr>
            </w:pPr>
            <w:r w:rsidRPr="009C5096">
              <w:rPr>
                <w:rFonts w:ascii="Arial" w:hAnsi="Arial" w:cs="Arial"/>
                <w:sz w:val="20"/>
                <w:szCs w:val="20"/>
              </w:rPr>
              <w:t>61</w:t>
            </w:r>
            <w:r w:rsidR="009376E7" w:rsidRPr="009C5096">
              <w:rPr>
                <w:rFonts w:ascii="Arial" w:hAnsi="Arial" w:cs="Arial"/>
                <w:sz w:val="20"/>
                <w:szCs w:val="20"/>
              </w:rPr>
              <w:t>.</w:t>
            </w:r>
            <w:r w:rsidRPr="009C5096">
              <w:rPr>
                <w:rFonts w:ascii="Arial" w:hAnsi="Arial" w:cs="Arial"/>
                <w:sz w:val="20"/>
                <w:szCs w:val="20"/>
              </w:rPr>
              <w:t>60</w:t>
            </w:r>
          </w:p>
        </w:tc>
        <w:tc>
          <w:tcPr>
            <w:tcW w:w="900" w:type="dxa"/>
          </w:tcPr>
          <w:p w:rsidR="003136C5" w:rsidRPr="009C5096" w:rsidRDefault="003136C5" w:rsidP="009376E7">
            <w:pPr>
              <w:jc w:val="center"/>
              <w:rPr>
                <w:rFonts w:ascii="Arial" w:hAnsi="Arial" w:cs="Arial"/>
                <w:sz w:val="20"/>
                <w:szCs w:val="20"/>
              </w:rPr>
            </w:pPr>
            <w:r w:rsidRPr="009C5096">
              <w:rPr>
                <w:rFonts w:ascii="Arial" w:hAnsi="Arial" w:cs="Arial"/>
                <w:sz w:val="20"/>
                <w:szCs w:val="20"/>
              </w:rPr>
              <w:t>61</w:t>
            </w:r>
            <w:r w:rsidR="009376E7" w:rsidRPr="009C5096">
              <w:rPr>
                <w:rFonts w:ascii="Arial" w:hAnsi="Arial" w:cs="Arial"/>
                <w:sz w:val="20"/>
                <w:szCs w:val="20"/>
              </w:rPr>
              <w:t>.</w:t>
            </w:r>
            <w:r w:rsidRPr="009C5096">
              <w:rPr>
                <w:rFonts w:ascii="Arial" w:hAnsi="Arial" w:cs="Arial"/>
                <w:sz w:val="20"/>
                <w:szCs w:val="20"/>
              </w:rPr>
              <w:t>57</w:t>
            </w:r>
          </w:p>
        </w:tc>
      </w:tr>
      <w:tr w:rsidR="003136C5" w:rsidRPr="009C5096" w:rsidTr="00612896">
        <w:trPr>
          <w:trHeight w:val="57"/>
        </w:trPr>
        <w:tc>
          <w:tcPr>
            <w:tcW w:w="4229" w:type="dxa"/>
            <w:shd w:val="clear" w:color="auto" w:fill="auto"/>
          </w:tcPr>
          <w:p w:rsidR="003136C5" w:rsidRPr="009C5096" w:rsidRDefault="003136C5" w:rsidP="00612896">
            <w:pPr>
              <w:rPr>
                <w:rFonts w:ascii="Arial" w:hAnsi="Arial" w:cs="Arial"/>
                <w:sz w:val="20"/>
                <w:szCs w:val="20"/>
              </w:rPr>
            </w:pPr>
            <w:r w:rsidRPr="009C5096">
              <w:rPr>
                <w:rFonts w:ascii="Arial" w:hAnsi="Arial" w:cs="Arial"/>
                <w:sz w:val="20"/>
                <w:szCs w:val="20"/>
              </w:rPr>
              <w:t>Unemployment rate (in %)</w:t>
            </w:r>
          </w:p>
        </w:tc>
        <w:tc>
          <w:tcPr>
            <w:tcW w:w="806" w:type="dxa"/>
            <w:shd w:val="clear" w:color="auto" w:fill="auto"/>
            <w:vAlign w:val="bottom"/>
          </w:tcPr>
          <w:p w:rsidR="003136C5" w:rsidRPr="009C5096" w:rsidRDefault="003136C5" w:rsidP="009376E7">
            <w:pPr>
              <w:jc w:val="center"/>
              <w:rPr>
                <w:rFonts w:ascii="Arial" w:hAnsi="Arial" w:cs="Arial"/>
                <w:sz w:val="20"/>
                <w:szCs w:val="20"/>
              </w:rPr>
            </w:pPr>
            <w:r w:rsidRPr="009C5096">
              <w:rPr>
                <w:rFonts w:ascii="Arial" w:hAnsi="Arial" w:cs="Arial"/>
                <w:sz w:val="20"/>
                <w:szCs w:val="20"/>
              </w:rPr>
              <w:t>31</w:t>
            </w:r>
            <w:r w:rsidR="009376E7" w:rsidRPr="009C5096">
              <w:rPr>
                <w:rFonts w:ascii="Arial" w:hAnsi="Arial" w:cs="Arial"/>
                <w:sz w:val="20"/>
                <w:szCs w:val="20"/>
              </w:rPr>
              <w:t>.</w:t>
            </w:r>
            <w:r w:rsidRPr="009C5096">
              <w:rPr>
                <w:rFonts w:ascii="Arial" w:hAnsi="Arial" w:cs="Arial"/>
                <w:sz w:val="20"/>
                <w:szCs w:val="20"/>
              </w:rPr>
              <w:t>0</w:t>
            </w:r>
          </w:p>
        </w:tc>
        <w:tc>
          <w:tcPr>
            <w:tcW w:w="810" w:type="dxa"/>
            <w:shd w:val="clear" w:color="auto" w:fill="auto"/>
            <w:vAlign w:val="bottom"/>
          </w:tcPr>
          <w:p w:rsidR="003136C5" w:rsidRPr="009C5096" w:rsidRDefault="003136C5" w:rsidP="009376E7">
            <w:pPr>
              <w:jc w:val="center"/>
              <w:rPr>
                <w:rFonts w:ascii="Arial" w:hAnsi="Arial" w:cs="Arial"/>
                <w:sz w:val="20"/>
                <w:szCs w:val="20"/>
              </w:rPr>
            </w:pPr>
            <w:r w:rsidRPr="009C5096">
              <w:rPr>
                <w:rFonts w:ascii="Arial" w:hAnsi="Arial" w:cs="Arial"/>
                <w:sz w:val="20"/>
                <w:szCs w:val="20"/>
              </w:rPr>
              <w:t>29</w:t>
            </w:r>
            <w:r w:rsidR="009376E7" w:rsidRPr="009C5096">
              <w:rPr>
                <w:rFonts w:ascii="Arial" w:hAnsi="Arial" w:cs="Arial"/>
                <w:sz w:val="20"/>
                <w:szCs w:val="20"/>
              </w:rPr>
              <w:t>.</w:t>
            </w:r>
            <w:r w:rsidRPr="009C5096">
              <w:rPr>
                <w:rFonts w:ascii="Arial" w:hAnsi="Arial" w:cs="Arial"/>
                <w:sz w:val="20"/>
                <w:szCs w:val="20"/>
              </w:rPr>
              <w:t>0</w:t>
            </w:r>
          </w:p>
        </w:tc>
        <w:tc>
          <w:tcPr>
            <w:tcW w:w="810" w:type="dxa"/>
            <w:shd w:val="clear" w:color="auto" w:fill="auto"/>
            <w:vAlign w:val="bottom"/>
          </w:tcPr>
          <w:p w:rsidR="003136C5" w:rsidRPr="009C5096" w:rsidRDefault="003136C5" w:rsidP="009376E7">
            <w:pPr>
              <w:jc w:val="center"/>
              <w:rPr>
                <w:rFonts w:ascii="Arial" w:hAnsi="Arial" w:cs="Arial"/>
                <w:sz w:val="20"/>
                <w:szCs w:val="20"/>
              </w:rPr>
            </w:pPr>
            <w:r w:rsidRPr="009C5096">
              <w:rPr>
                <w:rFonts w:ascii="Arial" w:hAnsi="Arial" w:cs="Arial"/>
                <w:sz w:val="20"/>
                <w:szCs w:val="20"/>
              </w:rPr>
              <w:t>28</w:t>
            </w:r>
            <w:r w:rsidR="009376E7" w:rsidRPr="009C5096">
              <w:rPr>
                <w:rFonts w:ascii="Arial" w:hAnsi="Arial" w:cs="Arial"/>
                <w:sz w:val="20"/>
                <w:szCs w:val="20"/>
              </w:rPr>
              <w:t>.</w:t>
            </w:r>
            <w:r w:rsidRPr="009C5096">
              <w:rPr>
                <w:rFonts w:ascii="Arial" w:hAnsi="Arial" w:cs="Arial"/>
                <w:sz w:val="20"/>
                <w:szCs w:val="20"/>
              </w:rPr>
              <w:t>0</w:t>
            </w:r>
          </w:p>
        </w:tc>
        <w:tc>
          <w:tcPr>
            <w:tcW w:w="900" w:type="dxa"/>
            <w:shd w:val="clear" w:color="auto" w:fill="auto"/>
            <w:vAlign w:val="bottom"/>
          </w:tcPr>
          <w:p w:rsidR="003136C5" w:rsidRPr="009C5096" w:rsidRDefault="003136C5" w:rsidP="009376E7">
            <w:pPr>
              <w:jc w:val="center"/>
              <w:rPr>
                <w:rFonts w:ascii="Arial" w:hAnsi="Arial" w:cs="Arial"/>
                <w:sz w:val="20"/>
                <w:szCs w:val="20"/>
              </w:rPr>
            </w:pPr>
            <w:r w:rsidRPr="009C5096">
              <w:rPr>
                <w:rFonts w:ascii="Arial" w:hAnsi="Arial" w:cs="Arial"/>
                <w:sz w:val="20"/>
                <w:szCs w:val="20"/>
              </w:rPr>
              <w:t>26</w:t>
            </w:r>
            <w:r w:rsidR="009376E7" w:rsidRPr="009C5096">
              <w:rPr>
                <w:rFonts w:ascii="Arial" w:hAnsi="Arial" w:cs="Arial"/>
                <w:sz w:val="20"/>
                <w:szCs w:val="20"/>
              </w:rPr>
              <w:t>.</w:t>
            </w:r>
            <w:r w:rsidRPr="009C5096">
              <w:rPr>
                <w:rFonts w:ascii="Arial" w:hAnsi="Arial" w:cs="Arial"/>
                <w:sz w:val="20"/>
                <w:szCs w:val="20"/>
              </w:rPr>
              <w:t>1</w:t>
            </w:r>
          </w:p>
        </w:tc>
        <w:tc>
          <w:tcPr>
            <w:tcW w:w="900" w:type="dxa"/>
            <w:shd w:val="clear" w:color="auto" w:fill="auto"/>
            <w:vAlign w:val="bottom"/>
          </w:tcPr>
          <w:p w:rsidR="003136C5" w:rsidRPr="009C5096" w:rsidRDefault="003136C5" w:rsidP="00612896">
            <w:pPr>
              <w:jc w:val="center"/>
              <w:rPr>
                <w:rFonts w:ascii="Arial" w:hAnsi="Arial" w:cs="Arial"/>
                <w:sz w:val="20"/>
                <w:szCs w:val="20"/>
              </w:rPr>
            </w:pPr>
            <w:r w:rsidRPr="009C5096">
              <w:rPr>
                <w:rFonts w:ascii="Arial" w:hAnsi="Arial" w:cs="Arial"/>
                <w:sz w:val="20"/>
                <w:szCs w:val="20"/>
              </w:rPr>
              <w:t>23</w:t>
            </w:r>
            <w:r w:rsidR="009376E7" w:rsidRPr="009C5096">
              <w:rPr>
                <w:rFonts w:ascii="Arial" w:hAnsi="Arial" w:cs="Arial"/>
                <w:sz w:val="20"/>
                <w:szCs w:val="20"/>
              </w:rPr>
              <w:t>.</w:t>
            </w:r>
            <w:r w:rsidRPr="009C5096">
              <w:rPr>
                <w:rFonts w:ascii="Arial" w:hAnsi="Arial" w:cs="Arial"/>
                <w:sz w:val="20"/>
                <w:szCs w:val="20"/>
              </w:rPr>
              <w:t>7</w:t>
            </w:r>
          </w:p>
        </w:tc>
        <w:tc>
          <w:tcPr>
            <w:tcW w:w="900" w:type="dxa"/>
          </w:tcPr>
          <w:p w:rsidR="003136C5" w:rsidRPr="009C5096" w:rsidRDefault="003136C5" w:rsidP="009376E7">
            <w:pPr>
              <w:jc w:val="center"/>
              <w:rPr>
                <w:rFonts w:ascii="Arial" w:hAnsi="Arial" w:cs="Arial"/>
                <w:sz w:val="20"/>
                <w:szCs w:val="20"/>
              </w:rPr>
            </w:pPr>
            <w:r w:rsidRPr="009C5096">
              <w:rPr>
                <w:rFonts w:ascii="Arial" w:hAnsi="Arial" w:cs="Arial"/>
                <w:sz w:val="20"/>
                <w:szCs w:val="20"/>
              </w:rPr>
              <w:t>22</w:t>
            </w:r>
            <w:r w:rsidR="009376E7" w:rsidRPr="009C5096">
              <w:rPr>
                <w:rFonts w:ascii="Arial" w:hAnsi="Arial" w:cs="Arial"/>
                <w:sz w:val="20"/>
                <w:szCs w:val="20"/>
              </w:rPr>
              <w:t>.</w:t>
            </w:r>
            <w:r w:rsidRPr="009C5096">
              <w:rPr>
                <w:rFonts w:ascii="Arial" w:hAnsi="Arial" w:cs="Arial"/>
                <w:sz w:val="20"/>
                <w:szCs w:val="20"/>
              </w:rPr>
              <w:t>4</w:t>
            </w:r>
          </w:p>
        </w:tc>
      </w:tr>
      <w:tr w:rsidR="003136C5" w:rsidRPr="009C5096" w:rsidTr="00612896">
        <w:trPr>
          <w:trHeight w:val="57"/>
        </w:trPr>
        <w:tc>
          <w:tcPr>
            <w:tcW w:w="4229" w:type="dxa"/>
            <w:shd w:val="clear" w:color="auto" w:fill="auto"/>
          </w:tcPr>
          <w:p w:rsidR="003136C5" w:rsidRPr="009C5096" w:rsidRDefault="003136C5" w:rsidP="00612896">
            <w:pPr>
              <w:rPr>
                <w:rFonts w:ascii="Arial" w:hAnsi="Arial" w:cs="Arial"/>
                <w:sz w:val="20"/>
                <w:szCs w:val="20"/>
              </w:rPr>
            </w:pPr>
            <w:r w:rsidRPr="009C5096">
              <w:rPr>
                <w:rFonts w:ascii="Arial" w:hAnsi="Arial" w:cs="Arial"/>
                <w:sz w:val="20"/>
                <w:szCs w:val="20"/>
              </w:rPr>
              <w:t>Export of goods and services in mill. €</w:t>
            </w:r>
          </w:p>
        </w:tc>
        <w:tc>
          <w:tcPr>
            <w:tcW w:w="806" w:type="dxa"/>
            <w:shd w:val="clear" w:color="auto" w:fill="auto"/>
          </w:tcPr>
          <w:p w:rsidR="003136C5" w:rsidRPr="009C5096" w:rsidRDefault="003136C5" w:rsidP="00612896">
            <w:pPr>
              <w:rPr>
                <w:rFonts w:ascii="Arial" w:hAnsi="Arial" w:cs="Arial"/>
                <w:sz w:val="20"/>
                <w:szCs w:val="20"/>
              </w:rPr>
            </w:pPr>
            <w:r w:rsidRPr="009C5096">
              <w:rPr>
                <w:rStyle w:val="Bodytext85pt"/>
                <w:rFonts w:ascii="Arial" w:eastAsiaTheme="minorHAnsi" w:hAnsi="Arial" w:cs="Arial"/>
                <w:sz w:val="20"/>
                <w:szCs w:val="20"/>
                <w:lang w:val="en-US"/>
              </w:rPr>
              <w:t>3</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124</w:t>
            </w:r>
          </w:p>
        </w:tc>
        <w:tc>
          <w:tcPr>
            <w:tcW w:w="81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3</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235</w:t>
            </w:r>
          </w:p>
        </w:tc>
        <w:tc>
          <w:tcPr>
            <w:tcW w:w="81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3</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747</w:t>
            </w:r>
          </w:p>
        </w:tc>
        <w:tc>
          <w:tcPr>
            <w:tcW w:w="90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4</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088</w:t>
            </w:r>
          </w:p>
        </w:tc>
        <w:tc>
          <w:tcPr>
            <w:tcW w:w="90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4</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390</w:t>
            </w:r>
          </w:p>
        </w:tc>
        <w:tc>
          <w:tcPr>
            <w:tcW w:w="900" w:type="dxa"/>
          </w:tcPr>
          <w:p w:rsidR="003136C5" w:rsidRPr="009C5096" w:rsidRDefault="003136C5" w:rsidP="009376E7">
            <w:pP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5</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019</w:t>
            </w:r>
          </w:p>
        </w:tc>
      </w:tr>
      <w:tr w:rsidR="003136C5" w:rsidRPr="009C5096" w:rsidTr="00612896">
        <w:trPr>
          <w:trHeight w:val="57"/>
        </w:trPr>
        <w:tc>
          <w:tcPr>
            <w:tcW w:w="4229" w:type="dxa"/>
            <w:shd w:val="clear" w:color="auto" w:fill="auto"/>
          </w:tcPr>
          <w:p w:rsidR="003136C5" w:rsidRPr="009C5096" w:rsidRDefault="003136C5" w:rsidP="00612896">
            <w:pPr>
              <w:rPr>
                <w:rFonts w:ascii="Arial" w:hAnsi="Arial" w:cs="Arial"/>
                <w:sz w:val="20"/>
                <w:szCs w:val="20"/>
              </w:rPr>
            </w:pPr>
            <w:r w:rsidRPr="009C5096">
              <w:rPr>
                <w:rFonts w:ascii="Arial" w:hAnsi="Arial" w:cs="Arial"/>
                <w:sz w:val="20"/>
                <w:szCs w:val="20"/>
              </w:rPr>
              <w:t>Import of goods and services in mill. €</w:t>
            </w:r>
          </w:p>
        </w:tc>
        <w:tc>
          <w:tcPr>
            <w:tcW w:w="806" w:type="dxa"/>
            <w:shd w:val="clear" w:color="auto" w:fill="auto"/>
          </w:tcPr>
          <w:p w:rsidR="003136C5" w:rsidRPr="009C5096" w:rsidRDefault="003136C5" w:rsidP="00612896">
            <w:pPr>
              <w:rPr>
                <w:rFonts w:ascii="Arial" w:hAnsi="Arial" w:cs="Arial"/>
                <w:sz w:val="20"/>
                <w:szCs w:val="20"/>
              </w:rPr>
            </w:pPr>
            <w:r w:rsidRPr="009C5096">
              <w:rPr>
                <w:rStyle w:val="Bodytext85pt"/>
                <w:rFonts w:ascii="Arial" w:eastAsiaTheme="minorHAnsi" w:hAnsi="Arial" w:cs="Arial"/>
                <w:sz w:val="20"/>
                <w:szCs w:val="20"/>
                <w:lang w:val="en-US"/>
              </w:rPr>
              <w:t>5</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071</w:t>
            </w:r>
          </w:p>
        </w:tc>
        <w:tc>
          <w:tcPr>
            <w:tcW w:w="81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4</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983</w:t>
            </w:r>
          </w:p>
        </w:tc>
        <w:tc>
          <w:tcPr>
            <w:tcW w:w="81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5</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505</w:t>
            </w:r>
          </w:p>
        </w:tc>
        <w:tc>
          <w:tcPr>
            <w:tcW w:w="90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5</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801</w:t>
            </w:r>
          </w:p>
        </w:tc>
        <w:tc>
          <w:tcPr>
            <w:tcW w:w="90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6</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176</w:t>
            </w:r>
          </w:p>
        </w:tc>
        <w:tc>
          <w:tcPr>
            <w:tcW w:w="900" w:type="dxa"/>
          </w:tcPr>
          <w:p w:rsidR="003136C5" w:rsidRPr="009C5096" w:rsidRDefault="003136C5" w:rsidP="009376E7">
            <w:pP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6</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835</w:t>
            </w:r>
          </w:p>
        </w:tc>
      </w:tr>
      <w:tr w:rsidR="003136C5" w:rsidRPr="009C5096" w:rsidTr="00612896">
        <w:trPr>
          <w:trHeight w:val="57"/>
        </w:trPr>
        <w:tc>
          <w:tcPr>
            <w:tcW w:w="4229" w:type="dxa"/>
            <w:shd w:val="clear" w:color="auto" w:fill="auto"/>
          </w:tcPr>
          <w:p w:rsidR="003136C5" w:rsidRPr="009C5096" w:rsidRDefault="003136C5" w:rsidP="00612896">
            <w:pPr>
              <w:rPr>
                <w:rFonts w:ascii="Arial" w:hAnsi="Arial" w:cs="Arial"/>
                <w:sz w:val="20"/>
                <w:szCs w:val="20"/>
              </w:rPr>
            </w:pPr>
            <w:r w:rsidRPr="009C5096">
              <w:rPr>
                <w:rFonts w:ascii="Arial" w:hAnsi="Arial" w:cs="Arial"/>
                <w:sz w:val="20"/>
                <w:szCs w:val="20"/>
              </w:rPr>
              <w:t>Balance of trade in mill. €</w:t>
            </w:r>
          </w:p>
        </w:tc>
        <w:tc>
          <w:tcPr>
            <w:tcW w:w="806" w:type="dxa"/>
            <w:shd w:val="clear" w:color="auto" w:fill="auto"/>
          </w:tcPr>
          <w:p w:rsidR="003136C5" w:rsidRPr="009C5096" w:rsidRDefault="003136C5" w:rsidP="00612896">
            <w:pPr>
              <w:rPr>
                <w:rFonts w:ascii="Arial" w:hAnsi="Arial" w:cs="Arial"/>
                <w:sz w:val="20"/>
                <w:szCs w:val="20"/>
              </w:rPr>
            </w:pPr>
            <w:r w:rsidRPr="009C5096">
              <w:rPr>
                <w:rStyle w:val="Bodytext85pt"/>
                <w:rFonts w:ascii="Arial" w:eastAsiaTheme="minorHAnsi" w:hAnsi="Arial" w:cs="Arial"/>
                <w:sz w:val="20"/>
                <w:szCs w:val="20"/>
                <w:lang w:val="en-US"/>
              </w:rPr>
              <w:t>-1</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947</w:t>
            </w:r>
          </w:p>
        </w:tc>
        <w:tc>
          <w:tcPr>
            <w:tcW w:w="81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-1</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748</w:t>
            </w:r>
          </w:p>
        </w:tc>
        <w:tc>
          <w:tcPr>
            <w:tcW w:w="81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-1</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758</w:t>
            </w:r>
          </w:p>
        </w:tc>
        <w:tc>
          <w:tcPr>
            <w:tcW w:w="90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-1</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714</w:t>
            </w:r>
          </w:p>
        </w:tc>
        <w:tc>
          <w:tcPr>
            <w:tcW w:w="90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-1</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786</w:t>
            </w:r>
          </w:p>
        </w:tc>
        <w:tc>
          <w:tcPr>
            <w:tcW w:w="900" w:type="dxa"/>
          </w:tcPr>
          <w:p w:rsidR="003136C5" w:rsidRPr="009C5096" w:rsidRDefault="003136C5" w:rsidP="009376E7">
            <w:pP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-1</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816</w:t>
            </w:r>
          </w:p>
        </w:tc>
      </w:tr>
      <w:tr w:rsidR="003136C5" w:rsidRPr="009C5096" w:rsidTr="00612896">
        <w:trPr>
          <w:trHeight w:val="57"/>
        </w:trPr>
        <w:tc>
          <w:tcPr>
            <w:tcW w:w="4229" w:type="dxa"/>
            <w:shd w:val="clear" w:color="auto" w:fill="auto"/>
          </w:tcPr>
          <w:p w:rsidR="003136C5" w:rsidRPr="009C5096" w:rsidRDefault="003136C5" w:rsidP="00612896">
            <w:pPr>
              <w:rPr>
                <w:rFonts w:ascii="Arial" w:hAnsi="Arial" w:cs="Arial"/>
                <w:sz w:val="20"/>
                <w:szCs w:val="20"/>
              </w:rPr>
            </w:pPr>
            <w:r w:rsidRPr="009C5096">
              <w:rPr>
                <w:rFonts w:ascii="Arial" w:hAnsi="Arial" w:cs="Arial"/>
                <w:sz w:val="20"/>
                <w:szCs w:val="20"/>
              </w:rPr>
              <w:t>Balance of trade in % of GDP</w:t>
            </w:r>
          </w:p>
        </w:tc>
        <w:tc>
          <w:tcPr>
            <w:tcW w:w="806" w:type="dxa"/>
            <w:shd w:val="clear" w:color="auto" w:fill="auto"/>
          </w:tcPr>
          <w:p w:rsidR="003136C5" w:rsidRPr="009C5096" w:rsidRDefault="003136C5" w:rsidP="00612896">
            <w:pPr>
              <w:rPr>
                <w:rFonts w:ascii="Arial" w:hAnsi="Arial" w:cs="Arial"/>
                <w:sz w:val="20"/>
                <w:szCs w:val="20"/>
              </w:rPr>
            </w:pPr>
            <w:r w:rsidRPr="009C5096">
              <w:rPr>
                <w:rStyle w:val="Bodytext85pt"/>
                <w:rFonts w:ascii="Arial" w:eastAsiaTheme="minorHAnsi" w:hAnsi="Arial" w:cs="Arial"/>
                <w:sz w:val="20"/>
                <w:szCs w:val="20"/>
                <w:lang w:val="en-US"/>
              </w:rPr>
              <w:t>-25</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7</w:t>
            </w:r>
          </w:p>
        </w:tc>
        <w:tc>
          <w:tcPr>
            <w:tcW w:w="81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-21</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4</w:t>
            </w:r>
          </w:p>
        </w:tc>
        <w:tc>
          <w:tcPr>
            <w:tcW w:w="81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-20</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5</w:t>
            </w:r>
          </w:p>
        </w:tc>
        <w:tc>
          <w:tcPr>
            <w:tcW w:w="90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-18</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9</w:t>
            </w:r>
          </w:p>
        </w:tc>
        <w:tc>
          <w:tcPr>
            <w:tcW w:w="900" w:type="dxa"/>
            <w:shd w:val="clear" w:color="auto" w:fill="auto"/>
          </w:tcPr>
          <w:p w:rsidR="003136C5" w:rsidRPr="009C5096" w:rsidRDefault="003136C5" w:rsidP="009376E7">
            <w:pPr>
              <w:rPr>
                <w:rFonts w:ascii="Arial" w:hAnsi="Arial" w:cs="Arial"/>
                <w:sz w:val="20"/>
                <w:szCs w:val="20"/>
              </w:rPr>
            </w:pPr>
            <w:r w:rsidRPr="009C5096">
              <w:rPr>
                <w:rStyle w:val="Bodytext85pt"/>
                <w:rFonts w:ascii="Arial" w:eastAsiaTheme="minorHAnsi" w:hAnsi="Arial" w:cs="Arial"/>
                <w:sz w:val="20"/>
                <w:szCs w:val="20"/>
                <w:lang w:val="en-US"/>
              </w:rPr>
              <w:t>-18</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5</w:t>
            </w:r>
          </w:p>
        </w:tc>
        <w:tc>
          <w:tcPr>
            <w:tcW w:w="900" w:type="dxa"/>
          </w:tcPr>
          <w:p w:rsidR="003136C5" w:rsidRPr="009C5096" w:rsidRDefault="003136C5" w:rsidP="009376E7">
            <w:pPr>
              <w:rPr>
                <w:rStyle w:val="Bodytext85pt"/>
                <w:rFonts w:ascii="Arial" w:eastAsiaTheme="minorHAnsi" w:hAnsi="Arial" w:cs="Arial"/>
                <w:sz w:val="20"/>
                <w:szCs w:val="20"/>
                <w:lang w:val="en-US"/>
              </w:rPr>
            </w:pPr>
            <w:r w:rsidRPr="009C5096">
              <w:rPr>
                <w:rStyle w:val="Bodytext85pt"/>
                <w:rFonts w:ascii="Arial" w:eastAsiaTheme="minorHAnsi" w:hAnsi="Arial" w:cs="Arial"/>
                <w:sz w:val="20"/>
                <w:szCs w:val="20"/>
                <w:lang w:val="en-US"/>
              </w:rPr>
              <w:t>-18</w:t>
            </w:r>
            <w:r w:rsidR="009376E7" w:rsidRPr="009C5096">
              <w:rPr>
                <w:rStyle w:val="Bodytext85pt"/>
                <w:rFonts w:ascii="Arial" w:eastAsiaTheme="minorHAnsi" w:hAnsi="Arial" w:cs="Arial"/>
                <w:sz w:val="20"/>
                <w:szCs w:val="20"/>
                <w:lang w:val="en-US"/>
              </w:rPr>
              <w:t>.</w:t>
            </w:r>
            <w:r w:rsidRPr="009C5096">
              <w:rPr>
                <w:rStyle w:val="Bodytext85pt"/>
                <w:rFonts w:ascii="Arial" w:eastAsiaTheme="minorHAnsi" w:hAnsi="Arial" w:cs="Arial"/>
                <w:sz w:val="20"/>
                <w:szCs w:val="20"/>
                <w:lang w:val="en-US"/>
              </w:rPr>
              <w:t>0</w:t>
            </w:r>
          </w:p>
        </w:tc>
      </w:tr>
    </w:tbl>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rPr>
      </w:pPr>
      <w:r w:rsidRPr="009C5096">
        <w:rPr>
          <w:rFonts w:ascii="Arial" w:hAnsi="Arial" w:cs="Arial"/>
          <w:sz w:val="18"/>
          <w:szCs w:val="18"/>
          <w:lang w:val="en-US"/>
        </w:rPr>
        <w:t>Source: State statistical office (SSO), National Bank of Republic of North Macedonia (NBRNM)</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According to the State Statistical Office data, the industrial production volume index in February 2019, in comparison with February 2018, was 107</w:t>
      </w:r>
      <w:r w:rsidR="009376E7" w:rsidRPr="009C5096">
        <w:rPr>
          <w:rFonts w:ascii="Arial" w:hAnsi="Arial" w:cs="Arial"/>
          <w:sz w:val="22"/>
          <w:szCs w:val="22"/>
          <w:lang w:val="en-US"/>
        </w:rPr>
        <w:t>.</w:t>
      </w:r>
      <w:r w:rsidRPr="009C5096">
        <w:rPr>
          <w:rFonts w:ascii="Arial" w:hAnsi="Arial" w:cs="Arial"/>
          <w:sz w:val="22"/>
          <w:szCs w:val="22"/>
          <w:lang w:val="en-US"/>
        </w:rPr>
        <w:t xml:space="preserve">3. The industrial production in the section Mining and </w:t>
      </w:r>
      <w:r w:rsidR="009376E7" w:rsidRPr="009C5096">
        <w:rPr>
          <w:rFonts w:ascii="Arial" w:hAnsi="Arial" w:cs="Arial"/>
          <w:sz w:val="22"/>
          <w:szCs w:val="22"/>
          <w:lang w:val="en-US"/>
        </w:rPr>
        <w:t>Q</w:t>
      </w:r>
      <w:r w:rsidRPr="009C5096">
        <w:rPr>
          <w:rFonts w:ascii="Arial" w:hAnsi="Arial" w:cs="Arial"/>
          <w:sz w:val="22"/>
          <w:szCs w:val="22"/>
          <w:lang w:val="en-US"/>
        </w:rPr>
        <w:t xml:space="preserve">uarrying in February 2019, in comparison with February 2018, increased by 2.9%, in the section Manufacturing it increased by 7.3%, while in the section Electricity, </w:t>
      </w:r>
      <w:r w:rsidR="009376E7" w:rsidRPr="009C5096">
        <w:rPr>
          <w:rFonts w:ascii="Arial" w:hAnsi="Arial" w:cs="Arial"/>
          <w:sz w:val="22"/>
          <w:szCs w:val="22"/>
          <w:lang w:val="en-US"/>
        </w:rPr>
        <w:t>G</w:t>
      </w:r>
      <w:r w:rsidRPr="009C5096">
        <w:rPr>
          <w:rFonts w:ascii="Arial" w:hAnsi="Arial" w:cs="Arial"/>
          <w:sz w:val="22"/>
          <w:szCs w:val="22"/>
          <w:lang w:val="en-US"/>
        </w:rPr>
        <w:t xml:space="preserve">as, </w:t>
      </w:r>
      <w:r w:rsidR="009376E7" w:rsidRPr="009C5096">
        <w:rPr>
          <w:rFonts w:ascii="Arial" w:hAnsi="Arial" w:cs="Arial"/>
          <w:sz w:val="22"/>
          <w:szCs w:val="22"/>
          <w:lang w:val="en-US"/>
        </w:rPr>
        <w:t>S</w:t>
      </w:r>
      <w:r w:rsidRPr="009C5096">
        <w:rPr>
          <w:rFonts w:ascii="Arial" w:hAnsi="Arial" w:cs="Arial"/>
          <w:sz w:val="22"/>
          <w:szCs w:val="22"/>
          <w:lang w:val="en-US"/>
        </w:rPr>
        <w:t xml:space="preserve">team and </w:t>
      </w:r>
      <w:r w:rsidR="009376E7" w:rsidRPr="009C5096">
        <w:rPr>
          <w:rFonts w:ascii="Arial" w:hAnsi="Arial" w:cs="Arial"/>
          <w:sz w:val="22"/>
          <w:szCs w:val="22"/>
          <w:lang w:val="en-US"/>
        </w:rPr>
        <w:t>A</w:t>
      </w:r>
      <w:r w:rsidRPr="009C5096">
        <w:rPr>
          <w:rFonts w:ascii="Arial" w:hAnsi="Arial" w:cs="Arial"/>
          <w:sz w:val="22"/>
          <w:szCs w:val="22"/>
          <w:lang w:val="en-US"/>
        </w:rPr>
        <w:t xml:space="preserve">ir </w:t>
      </w:r>
      <w:r w:rsidR="009376E7" w:rsidRPr="009C5096">
        <w:rPr>
          <w:rFonts w:ascii="Arial" w:hAnsi="Arial" w:cs="Arial"/>
          <w:sz w:val="22"/>
          <w:szCs w:val="22"/>
          <w:lang w:val="en-US"/>
        </w:rPr>
        <w:t>C</w:t>
      </w:r>
      <w:r w:rsidRPr="009C5096">
        <w:rPr>
          <w:rFonts w:ascii="Arial" w:hAnsi="Arial" w:cs="Arial"/>
          <w:sz w:val="22"/>
          <w:szCs w:val="22"/>
          <w:lang w:val="en-US"/>
        </w:rPr>
        <w:t>onditioning supply it increased by 4.8%.</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Increase in the section Manufacturing is mostly due to</w:t>
      </w:r>
      <w:r w:rsidR="009376E7" w:rsidRPr="009C5096">
        <w:rPr>
          <w:rFonts w:ascii="Arial" w:hAnsi="Arial" w:cs="Arial"/>
          <w:sz w:val="22"/>
          <w:szCs w:val="22"/>
          <w:lang w:val="en-US"/>
        </w:rPr>
        <w:t xml:space="preserve"> the</w:t>
      </w:r>
      <w:r w:rsidRPr="009C5096">
        <w:rPr>
          <w:rFonts w:ascii="Arial" w:hAnsi="Arial" w:cs="Arial"/>
          <w:sz w:val="22"/>
          <w:szCs w:val="22"/>
          <w:lang w:val="en-US"/>
        </w:rPr>
        <w:t xml:space="preserve"> increased production in the divisions Manufacture of </w:t>
      </w:r>
      <w:r w:rsidR="009376E7" w:rsidRPr="009C5096">
        <w:rPr>
          <w:rFonts w:ascii="Arial" w:hAnsi="Arial" w:cs="Arial"/>
          <w:sz w:val="22"/>
          <w:szCs w:val="22"/>
          <w:lang w:val="en-US"/>
        </w:rPr>
        <w:t>F</w:t>
      </w:r>
      <w:r w:rsidRPr="009C5096">
        <w:rPr>
          <w:rFonts w:ascii="Arial" w:hAnsi="Arial" w:cs="Arial"/>
          <w:sz w:val="22"/>
          <w:szCs w:val="22"/>
          <w:lang w:val="en-US"/>
        </w:rPr>
        <w:t xml:space="preserve">ood </w:t>
      </w:r>
      <w:r w:rsidR="009376E7" w:rsidRPr="009C5096">
        <w:rPr>
          <w:rFonts w:ascii="Arial" w:hAnsi="Arial" w:cs="Arial"/>
          <w:sz w:val="22"/>
          <w:szCs w:val="22"/>
          <w:lang w:val="en-US"/>
        </w:rPr>
        <w:t>P</w:t>
      </w:r>
      <w:r w:rsidRPr="009C5096">
        <w:rPr>
          <w:rFonts w:ascii="Arial" w:hAnsi="Arial" w:cs="Arial"/>
          <w:sz w:val="22"/>
          <w:szCs w:val="22"/>
          <w:lang w:val="en-US"/>
        </w:rPr>
        <w:t xml:space="preserve">roducts, Manufacture of </w:t>
      </w:r>
      <w:r w:rsidR="009376E7" w:rsidRPr="009C5096">
        <w:rPr>
          <w:rFonts w:ascii="Arial" w:hAnsi="Arial" w:cs="Arial"/>
          <w:sz w:val="22"/>
          <w:szCs w:val="22"/>
          <w:lang w:val="en-US"/>
        </w:rPr>
        <w:t>B</w:t>
      </w:r>
      <w:r w:rsidRPr="009C5096">
        <w:rPr>
          <w:rFonts w:ascii="Arial" w:hAnsi="Arial" w:cs="Arial"/>
          <w:sz w:val="22"/>
          <w:szCs w:val="22"/>
          <w:lang w:val="en-US"/>
        </w:rPr>
        <w:t xml:space="preserve">everages, Manufacture of </w:t>
      </w:r>
      <w:r w:rsidR="009376E7" w:rsidRPr="009C5096">
        <w:rPr>
          <w:rFonts w:ascii="Arial" w:hAnsi="Arial" w:cs="Arial"/>
          <w:sz w:val="22"/>
          <w:szCs w:val="22"/>
          <w:lang w:val="en-US"/>
        </w:rPr>
        <w:lastRenderedPageBreak/>
        <w:t>T</w:t>
      </w:r>
      <w:r w:rsidRPr="009C5096">
        <w:rPr>
          <w:rFonts w:ascii="Arial" w:hAnsi="Arial" w:cs="Arial"/>
          <w:sz w:val="22"/>
          <w:szCs w:val="22"/>
          <w:lang w:val="en-US"/>
        </w:rPr>
        <w:t xml:space="preserve">obacco </w:t>
      </w:r>
      <w:r w:rsidR="009376E7" w:rsidRPr="009C5096">
        <w:rPr>
          <w:rFonts w:ascii="Arial" w:hAnsi="Arial" w:cs="Arial"/>
          <w:sz w:val="22"/>
          <w:szCs w:val="22"/>
          <w:lang w:val="en-US"/>
        </w:rPr>
        <w:t>P</w:t>
      </w:r>
      <w:r w:rsidRPr="009C5096">
        <w:rPr>
          <w:rFonts w:ascii="Arial" w:hAnsi="Arial" w:cs="Arial"/>
          <w:sz w:val="22"/>
          <w:szCs w:val="22"/>
          <w:lang w:val="en-US"/>
        </w:rPr>
        <w:t xml:space="preserve">roducts, Manufacture of </w:t>
      </w:r>
      <w:r w:rsidR="009376E7" w:rsidRPr="009C5096">
        <w:rPr>
          <w:rFonts w:ascii="Arial" w:hAnsi="Arial" w:cs="Arial"/>
          <w:sz w:val="22"/>
          <w:szCs w:val="22"/>
          <w:lang w:val="en-US"/>
        </w:rPr>
        <w:t>T</w:t>
      </w:r>
      <w:r w:rsidRPr="009C5096">
        <w:rPr>
          <w:rFonts w:ascii="Arial" w:hAnsi="Arial" w:cs="Arial"/>
          <w:sz w:val="22"/>
          <w:szCs w:val="22"/>
          <w:lang w:val="en-US"/>
        </w:rPr>
        <w:t xml:space="preserve">extiles, Manufacture of </w:t>
      </w:r>
      <w:r w:rsidR="009376E7" w:rsidRPr="009C5096">
        <w:rPr>
          <w:rFonts w:ascii="Arial" w:hAnsi="Arial" w:cs="Arial"/>
          <w:sz w:val="22"/>
          <w:szCs w:val="22"/>
          <w:lang w:val="en-US"/>
        </w:rPr>
        <w:t>B</w:t>
      </w:r>
      <w:r w:rsidRPr="009C5096">
        <w:rPr>
          <w:rFonts w:ascii="Arial" w:hAnsi="Arial" w:cs="Arial"/>
          <w:sz w:val="22"/>
          <w:szCs w:val="22"/>
          <w:lang w:val="en-US"/>
        </w:rPr>
        <w:t xml:space="preserve">asic </w:t>
      </w:r>
      <w:r w:rsidR="009376E7" w:rsidRPr="009C5096">
        <w:rPr>
          <w:rFonts w:ascii="Arial" w:hAnsi="Arial" w:cs="Arial"/>
          <w:sz w:val="22"/>
          <w:szCs w:val="22"/>
          <w:lang w:val="en-US"/>
        </w:rPr>
        <w:t>P</w:t>
      </w:r>
      <w:r w:rsidRPr="009C5096">
        <w:rPr>
          <w:rFonts w:ascii="Arial" w:hAnsi="Arial" w:cs="Arial"/>
          <w:sz w:val="22"/>
          <w:szCs w:val="22"/>
          <w:lang w:val="en-US"/>
        </w:rPr>
        <w:t xml:space="preserve">harmaceutical </w:t>
      </w:r>
      <w:r w:rsidR="009376E7" w:rsidRPr="009C5096">
        <w:rPr>
          <w:rFonts w:ascii="Arial" w:hAnsi="Arial" w:cs="Arial"/>
          <w:sz w:val="22"/>
          <w:szCs w:val="22"/>
          <w:lang w:val="en-US"/>
        </w:rPr>
        <w:t>P</w:t>
      </w:r>
      <w:r w:rsidRPr="009C5096">
        <w:rPr>
          <w:rFonts w:ascii="Arial" w:hAnsi="Arial" w:cs="Arial"/>
          <w:sz w:val="22"/>
          <w:szCs w:val="22"/>
          <w:lang w:val="en-US"/>
        </w:rPr>
        <w:t xml:space="preserve">roduct and </w:t>
      </w:r>
      <w:r w:rsidR="009376E7" w:rsidRPr="009C5096">
        <w:rPr>
          <w:rFonts w:ascii="Arial" w:hAnsi="Arial" w:cs="Arial"/>
          <w:sz w:val="22"/>
          <w:szCs w:val="22"/>
          <w:lang w:val="en-US"/>
        </w:rPr>
        <w:t>Pharmaceutical P</w:t>
      </w:r>
      <w:r w:rsidRPr="009C5096">
        <w:rPr>
          <w:rFonts w:ascii="Arial" w:hAnsi="Arial" w:cs="Arial"/>
          <w:sz w:val="22"/>
          <w:szCs w:val="22"/>
          <w:lang w:val="en-US"/>
        </w:rPr>
        <w:t xml:space="preserve">reparations, Manufacture of </w:t>
      </w:r>
      <w:r w:rsidR="009376E7" w:rsidRPr="009C5096">
        <w:rPr>
          <w:rFonts w:ascii="Arial" w:hAnsi="Arial" w:cs="Arial"/>
          <w:sz w:val="22"/>
          <w:szCs w:val="22"/>
          <w:lang w:val="en-US"/>
        </w:rPr>
        <w:t>O</w:t>
      </w:r>
      <w:r w:rsidRPr="009C5096">
        <w:rPr>
          <w:rFonts w:ascii="Arial" w:hAnsi="Arial" w:cs="Arial"/>
          <w:sz w:val="22"/>
          <w:szCs w:val="22"/>
          <w:lang w:val="en-US"/>
        </w:rPr>
        <w:t xml:space="preserve">ther </w:t>
      </w:r>
      <w:r w:rsidR="009376E7" w:rsidRPr="009C5096">
        <w:rPr>
          <w:rFonts w:ascii="Arial" w:hAnsi="Arial" w:cs="Arial"/>
          <w:sz w:val="22"/>
          <w:szCs w:val="22"/>
          <w:lang w:val="en-US"/>
        </w:rPr>
        <w:t>N</w:t>
      </w:r>
      <w:r w:rsidRPr="009C5096">
        <w:rPr>
          <w:rFonts w:ascii="Arial" w:hAnsi="Arial" w:cs="Arial"/>
          <w:sz w:val="22"/>
          <w:szCs w:val="22"/>
          <w:lang w:val="en-US"/>
        </w:rPr>
        <w:t xml:space="preserve">on-metallic </w:t>
      </w:r>
      <w:r w:rsidR="009376E7" w:rsidRPr="009C5096">
        <w:rPr>
          <w:rFonts w:ascii="Arial" w:hAnsi="Arial" w:cs="Arial"/>
          <w:sz w:val="22"/>
          <w:szCs w:val="22"/>
          <w:lang w:val="en-US"/>
        </w:rPr>
        <w:t>M</w:t>
      </w:r>
      <w:r w:rsidRPr="009C5096">
        <w:rPr>
          <w:rFonts w:ascii="Arial" w:hAnsi="Arial" w:cs="Arial"/>
          <w:sz w:val="22"/>
          <w:szCs w:val="22"/>
          <w:lang w:val="en-US"/>
        </w:rPr>
        <w:t xml:space="preserve">ineral </w:t>
      </w:r>
      <w:r w:rsidR="009376E7" w:rsidRPr="009C5096">
        <w:rPr>
          <w:rFonts w:ascii="Arial" w:hAnsi="Arial" w:cs="Arial"/>
          <w:sz w:val="22"/>
          <w:szCs w:val="22"/>
          <w:lang w:val="en-US"/>
        </w:rPr>
        <w:t>P</w:t>
      </w:r>
      <w:r w:rsidRPr="009C5096">
        <w:rPr>
          <w:rFonts w:ascii="Arial" w:hAnsi="Arial" w:cs="Arial"/>
          <w:sz w:val="22"/>
          <w:szCs w:val="22"/>
          <w:lang w:val="en-US"/>
        </w:rPr>
        <w:t xml:space="preserve">roducts, Manufacture of </w:t>
      </w:r>
      <w:r w:rsidR="009376E7" w:rsidRPr="009C5096">
        <w:rPr>
          <w:rFonts w:ascii="Arial" w:hAnsi="Arial" w:cs="Arial"/>
          <w:sz w:val="22"/>
          <w:szCs w:val="22"/>
          <w:lang w:val="en-US"/>
        </w:rPr>
        <w:t>Basic Metals</w:t>
      </w:r>
      <w:r w:rsidRPr="009C5096">
        <w:rPr>
          <w:rFonts w:ascii="Arial" w:hAnsi="Arial" w:cs="Arial"/>
          <w:sz w:val="22"/>
          <w:szCs w:val="22"/>
          <w:lang w:val="en-US"/>
        </w:rPr>
        <w:t xml:space="preserve">, Manufacture of </w:t>
      </w:r>
      <w:r w:rsidR="009376E7" w:rsidRPr="009C5096">
        <w:rPr>
          <w:rFonts w:ascii="Arial" w:hAnsi="Arial" w:cs="Arial"/>
          <w:sz w:val="22"/>
          <w:szCs w:val="22"/>
          <w:lang w:val="en-US"/>
        </w:rPr>
        <w:t>E</w:t>
      </w:r>
      <w:r w:rsidRPr="009C5096">
        <w:rPr>
          <w:rFonts w:ascii="Arial" w:hAnsi="Arial" w:cs="Arial"/>
          <w:sz w:val="22"/>
          <w:szCs w:val="22"/>
          <w:lang w:val="en-US"/>
        </w:rPr>
        <w:t xml:space="preserve">lectrical </w:t>
      </w:r>
      <w:r w:rsidR="009376E7" w:rsidRPr="009C5096">
        <w:rPr>
          <w:rFonts w:ascii="Arial" w:hAnsi="Arial" w:cs="Arial"/>
          <w:sz w:val="22"/>
          <w:szCs w:val="22"/>
          <w:lang w:val="en-US"/>
        </w:rPr>
        <w:t>E</w:t>
      </w:r>
      <w:r w:rsidRPr="009C5096">
        <w:rPr>
          <w:rFonts w:ascii="Arial" w:hAnsi="Arial" w:cs="Arial"/>
          <w:sz w:val="22"/>
          <w:szCs w:val="22"/>
          <w:lang w:val="en-US"/>
        </w:rPr>
        <w:t xml:space="preserve">quipment, Manufacture of </w:t>
      </w:r>
      <w:r w:rsidR="009376E7" w:rsidRPr="009C5096">
        <w:rPr>
          <w:rFonts w:ascii="Arial" w:hAnsi="Arial" w:cs="Arial"/>
          <w:sz w:val="22"/>
          <w:szCs w:val="22"/>
          <w:lang w:val="en-US"/>
        </w:rPr>
        <w:t>M</w:t>
      </w:r>
      <w:r w:rsidRPr="009C5096">
        <w:rPr>
          <w:rFonts w:ascii="Arial" w:hAnsi="Arial" w:cs="Arial"/>
          <w:sz w:val="22"/>
          <w:szCs w:val="22"/>
          <w:lang w:val="en-US"/>
        </w:rPr>
        <w:t xml:space="preserve">achinery and </w:t>
      </w:r>
      <w:r w:rsidR="009376E7" w:rsidRPr="009C5096">
        <w:rPr>
          <w:rFonts w:ascii="Arial" w:hAnsi="Arial" w:cs="Arial"/>
          <w:sz w:val="22"/>
          <w:szCs w:val="22"/>
          <w:lang w:val="en-US"/>
        </w:rPr>
        <w:t>E</w:t>
      </w:r>
      <w:r w:rsidRPr="009C5096">
        <w:rPr>
          <w:rFonts w:ascii="Arial" w:hAnsi="Arial" w:cs="Arial"/>
          <w:sz w:val="22"/>
          <w:szCs w:val="22"/>
          <w:lang w:val="en-US"/>
        </w:rPr>
        <w:t xml:space="preserve">quipment n.e.c. and Manufacture of </w:t>
      </w:r>
      <w:r w:rsidR="009376E7" w:rsidRPr="009C5096">
        <w:rPr>
          <w:rFonts w:ascii="Arial" w:hAnsi="Arial" w:cs="Arial"/>
          <w:sz w:val="22"/>
          <w:szCs w:val="22"/>
          <w:lang w:val="en-US"/>
        </w:rPr>
        <w:t>M</w:t>
      </w:r>
      <w:r w:rsidRPr="009C5096">
        <w:rPr>
          <w:rFonts w:ascii="Arial" w:hAnsi="Arial" w:cs="Arial"/>
          <w:sz w:val="22"/>
          <w:szCs w:val="22"/>
          <w:lang w:val="en-US"/>
        </w:rPr>
        <w:t xml:space="preserve">otor </w:t>
      </w:r>
      <w:r w:rsidR="009376E7" w:rsidRPr="009C5096">
        <w:rPr>
          <w:rFonts w:ascii="Arial" w:hAnsi="Arial" w:cs="Arial"/>
          <w:sz w:val="22"/>
          <w:szCs w:val="22"/>
          <w:lang w:val="en-US"/>
        </w:rPr>
        <w:t>V</w:t>
      </w:r>
      <w:r w:rsidRPr="009C5096">
        <w:rPr>
          <w:rFonts w:ascii="Arial" w:hAnsi="Arial" w:cs="Arial"/>
          <w:sz w:val="22"/>
          <w:szCs w:val="22"/>
          <w:lang w:val="en-US"/>
        </w:rPr>
        <w:t xml:space="preserve">ehicles, </w:t>
      </w:r>
      <w:r w:rsidR="009376E7" w:rsidRPr="009C5096">
        <w:rPr>
          <w:rFonts w:ascii="Arial" w:hAnsi="Arial" w:cs="Arial"/>
          <w:sz w:val="22"/>
          <w:szCs w:val="22"/>
          <w:lang w:val="en-US"/>
        </w:rPr>
        <w:t>T</w:t>
      </w:r>
      <w:r w:rsidRPr="009C5096">
        <w:rPr>
          <w:rFonts w:ascii="Arial" w:hAnsi="Arial" w:cs="Arial"/>
          <w:sz w:val="22"/>
          <w:szCs w:val="22"/>
          <w:lang w:val="en-US"/>
        </w:rPr>
        <w:t xml:space="preserve">railers and </w:t>
      </w:r>
      <w:r w:rsidR="009376E7" w:rsidRPr="009C5096">
        <w:rPr>
          <w:rFonts w:ascii="Arial" w:hAnsi="Arial" w:cs="Arial"/>
          <w:sz w:val="22"/>
          <w:szCs w:val="22"/>
          <w:lang w:val="en-US"/>
        </w:rPr>
        <w:t>S</w:t>
      </w:r>
      <w:r w:rsidRPr="009C5096">
        <w:rPr>
          <w:rFonts w:ascii="Arial" w:hAnsi="Arial" w:cs="Arial"/>
          <w:sz w:val="22"/>
          <w:szCs w:val="22"/>
          <w:lang w:val="en-US"/>
        </w:rPr>
        <w:t>emi-trailers.</w:t>
      </w:r>
    </w:p>
    <w:p w:rsidR="003136C5" w:rsidRPr="009C509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lang w:val="en-US"/>
        </w:rPr>
      </w:pPr>
      <w:bookmarkStart w:id="5" w:name="_Toc8649803"/>
      <w:r w:rsidRPr="009C5096">
        <w:rPr>
          <w:rFonts w:ascii="Arial" w:hAnsi="Arial" w:cs="Arial"/>
          <w:b/>
          <w:lang w:val="en-US"/>
        </w:rPr>
        <w:t>Demographic situation</w:t>
      </w:r>
      <w:bookmarkEnd w:id="5"/>
    </w:p>
    <w:p w:rsidR="003136C5" w:rsidRPr="003B72A1" w:rsidRDefault="003136C5" w:rsidP="003136C5">
      <w:pPr>
        <w:spacing w:before="120"/>
        <w:jc w:val="both"/>
        <w:rPr>
          <w:rFonts w:ascii="Arial" w:eastAsia="Calibri" w:hAnsi="Arial" w:cs="Arial"/>
          <w:sz w:val="22"/>
          <w:lang w:eastAsia="en-GB"/>
        </w:rPr>
      </w:pPr>
      <w:r w:rsidRPr="003B72A1">
        <w:rPr>
          <w:rFonts w:ascii="Arial" w:eastAsia="Calibri" w:hAnsi="Arial" w:cs="Arial"/>
          <w:sz w:val="22"/>
          <w:lang w:eastAsia="en-GB"/>
        </w:rPr>
        <w:t xml:space="preserve">According to the </w:t>
      </w:r>
      <w:r w:rsidR="00E91640" w:rsidRPr="003B72A1">
        <w:rPr>
          <w:rFonts w:ascii="Arial" w:eastAsia="Calibri" w:hAnsi="Arial" w:cs="Arial"/>
          <w:sz w:val="22"/>
          <w:lang w:eastAsia="en-GB"/>
        </w:rPr>
        <w:t xml:space="preserve">population </w:t>
      </w:r>
      <w:r w:rsidRPr="003B72A1">
        <w:rPr>
          <w:rFonts w:ascii="Arial" w:eastAsia="Calibri" w:hAnsi="Arial" w:cs="Arial"/>
          <w:sz w:val="22"/>
          <w:lang w:eastAsia="en-GB"/>
        </w:rPr>
        <w:t xml:space="preserve">assessment (as of 31.12.2015), </w:t>
      </w:r>
      <w:r w:rsidR="00E91640" w:rsidRPr="003B72A1">
        <w:rPr>
          <w:rFonts w:ascii="Arial" w:eastAsia="Calibri" w:hAnsi="Arial" w:cs="Arial"/>
          <w:sz w:val="22"/>
          <w:lang w:eastAsia="en-GB"/>
        </w:rPr>
        <w:t xml:space="preserve">the </w:t>
      </w:r>
      <w:r w:rsidRPr="003B72A1">
        <w:rPr>
          <w:rFonts w:ascii="Arial" w:eastAsia="Calibri" w:hAnsi="Arial" w:cs="Arial"/>
          <w:sz w:val="22"/>
          <w:lang w:eastAsia="en-GB"/>
        </w:rPr>
        <w:t>Republic of North Macedonia has 2</w:t>
      </w:r>
      <w:r w:rsidR="00E91640" w:rsidRPr="003B72A1">
        <w:rPr>
          <w:rFonts w:ascii="Arial" w:eastAsia="Calibri" w:hAnsi="Arial" w:cs="Arial"/>
          <w:sz w:val="22"/>
          <w:lang w:eastAsia="en-GB"/>
        </w:rPr>
        <w:t>,</w:t>
      </w:r>
      <w:r w:rsidRPr="003B72A1">
        <w:rPr>
          <w:rFonts w:ascii="Arial" w:eastAsia="Calibri" w:hAnsi="Arial" w:cs="Arial"/>
          <w:sz w:val="22"/>
          <w:lang w:eastAsia="en-GB"/>
        </w:rPr>
        <w:t>071</w:t>
      </w:r>
      <w:r w:rsidR="00E91640" w:rsidRPr="003B72A1">
        <w:rPr>
          <w:rFonts w:ascii="Arial" w:eastAsia="Calibri" w:hAnsi="Arial" w:cs="Arial"/>
          <w:sz w:val="22"/>
          <w:lang w:eastAsia="en-GB"/>
        </w:rPr>
        <w:t>,</w:t>
      </w:r>
      <w:r w:rsidRPr="003B72A1">
        <w:rPr>
          <w:rFonts w:ascii="Arial" w:eastAsia="Calibri" w:hAnsi="Arial" w:cs="Arial"/>
          <w:sz w:val="22"/>
          <w:lang w:eastAsia="en-GB"/>
        </w:rPr>
        <w:t>278 inhabitants</w:t>
      </w:r>
      <w:r w:rsidR="00E91640" w:rsidRPr="003B72A1">
        <w:rPr>
          <w:rFonts w:ascii="Arial" w:eastAsia="Calibri" w:hAnsi="Arial" w:cs="Arial"/>
          <w:sz w:val="22"/>
          <w:lang w:eastAsia="en-GB"/>
        </w:rPr>
        <w:t>,</w:t>
      </w:r>
      <w:r w:rsidRPr="003B72A1">
        <w:rPr>
          <w:rFonts w:ascii="Arial" w:eastAsia="Calibri" w:hAnsi="Arial" w:cs="Arial"/>
          <w:sz w:val="22"/>
          <w:lang w:eastAsia="en-GB"/>
        </w:rPr>
        <w:t xml:space="preserve"> which is 13</w:t>
      </w:r>
      <w:r w:rsidR="00E91640" w:rsidRPr="003B72A1">
        <w:rPr>
          <w:rFonts w:ascii="Arial" w:eastAsia="Calibri" w:hAnsi="Arial" w:cs="Arial"/>
          <w:sz w:val="22"/>
          <w:lang w:eastAsia="en-GB"/>
        </w:rPr>
        <w:t>,</w:t>
      </w:r>
      <w:r w:rsidRPr="003B72A1">
        <w:rPr>
          <w:rFonts w:ascii="Arial" w:eastAsia="Calibri" w:hAnsi="Arial" w:cs="Arial"/>
          <w:sz w:val="22"/>
          <w:lang w:eastAsia="en-GB"/>
        </w:rPr>
        <w:t>994 persons or 0</w:t>
      </w:r>
      <w:r w:rsidR="00E91640" w:rsidRPr="003B72A1">
        <w:rPr>
          <w:rFonts w:ascii="Arial" w:eastAsia="Calibri" w:hAnsi="Arial" w:cs="Arial"/>
          <w:sz w:val="22"/>
          <w:lang w:eastAsia="en-GB"/>
        </w:rPr>
        <w:t>.</w:t>
      </w:r>
      <w:r w:rsidRPr="003B72A1">
        <w:rPr>
          <w:rFonts w:ascii="Arial" w:eastAsia="Calibri" w:hAnsi="Arial" w:cs="Arial"/>
          <w:sz w:val="22"/>
          <w:lang w:eastAsia="en-GB"/>
        </w:rPr>
        <w:t>7% more than in 2010 and 32</w:t>
      </w:r>
      <w:r w:rsidR="00E91640" w:rsidRPr="003B72A1">
        <w:rPr>
          <w:rFonts w:ascii="Arial" w:eastAsia="Calibri" w:hAnsi="Arial" w:cs="Arial"/>
          <w:sz w:val="22"/>
          <w:lang w:eastAsia="en-GB"/>
        </w:rPr>
        <w:t>,</w:t>
      </w:r>
      <w:r w:rsidRPr="003B72A1">
        <w:rPr>
          <w:rFonts w:ascii="Arial" w:eastAsia="Calibri" w:hAnsi="Arial" w:cs="Arial"/>
          <w:sz w:val="22"/>
          <w:lang w:eastAsia="en-GB"/>
        </w:rPr>
        <w:t>764 people or 1</w:t>
      </w:r>
      <w:r w:rsidR="00E91640" w:rsidRPr="003B72A1">
        <w:rPr>
          <w:rFonts w:ascii="Arial" w:eastAsia="Calibri" w:hAnsi="Arial" w:cs="Arial"/>
          <w:sz w:val="22"/>
          <w:lang w:eastAsia="en-GB"/>
        </w:rPr>
        <w:t>.</w:t>
      </w:r>
      <w:r w:rsidRPr="003B72A1">
        <w:rPr>
          <w:rFonts w:ascii="Arial" w:eastAsia="Calibri" w:hAnsi="Arial" w:cs="Arial"/>
          <w:sz w:val="22"/>
          <w:lang w:eastAsia="en-GB"/>
        </w:rPr>
        <w:t>6% more than in 2005. In the period from 2005 to 2015 shows continuous increase in immigrant foreigners in the country.</w:t>
      </w:r>
    </w:p>
    <w:p w:rsidR="003136C5" w:rsidRPr="003B72A1" w:rsidRDefault="003136C5" w:rsidP="003136C5">
      <w:pPr>
        <w:spacing w:before="120"/>
        <w:jc w:val="both"/>
        <w:rPr>
          <w:rFonts w:ascii="Arial" w:eastAsia="Calibri" w:hAnsi="Arial" w:cs="Arial"/>
          <w:sz w:val="22"/>
          <w:lang w:eastAsia="en-GB"/>
        </w:rPr>
      </w:pPr>
      <w:r w:rsidRPr="003B72A1">
        <w:rPr>
          <w:rFonts w:ascii="Arial" w:eastAsia="Calibri" w:hAnsi="Arial" w:cs="Arial"/>
          <w:sz w:val="22"/>
          <w:lang w:eastAsia="en-GB"/>
        </w:rPr>
        <w:t xml:space="preserve">In terms of age structure, the Macedonian population is aging. From 2005 to 2015, the share of young population (0-14 years) in total decreased from 19.4% to 16.7% and the share of the elderly population (65 and over) increased from 11.1% to 13.0%. </w:t>
      </w:r>
    </w:p>
    <w:p w:rsidR="003136C5" w:rsidRPr="003B72A1" w:rsidRDefault="003136C5" w:rsidP="003136C5">
      <w:pPr>
        <w:spacing w:before="120"/>
        <w:jc w:val="both"/>
        <w:rPr>
          <w:rFonts w:ascii="Arial" w:eastAsia="Calibri" w:hAnsi="Arial" w:cs="Arial"/>
          <w:sz w:val="22"/>
          <w:lang w:eastAsia="en-GB"/>
        </w:rPr>
      </w:pPr>
      <w:r w:rsidRPr="003B72A1">
        <w:rPr>
          <w:rFonts w:ascii="Arial" w:eastAsia="Calibri" w:hAnsi="Arial" w:cs="Arial"/>
          <w:sz w:val="22"/>
          <w:lang w:eastAsia="en-GB"/>
        </w:rPr>
        <w:t xml:space="preserve">The demographic indicators at the regional level show differences that point to a disproportion in the territorial distribution of the population. The Skopje Region, as the most densely populated, has almost ten times higher density than the Vardar Region, which is the least densely populated. There are also differences in the age structure of the population. The highest share of young population (0-14) </w:t>
      </w:r>
      <w:r w:rsidR="00E91640" w:rsidRPr="003B72A1">
        <w:rPr>
          <w:rFonts w:ascii="Arial" w:eastAsia="Calibri" w:hAnsi="Arial" w:cs="Arial"/>
          <w:sz w:val="22"/>
          <w:lang w:eastAsia="en-GB"/>
        </w:rPr>
        <w:t xml:space="preserve">was </w:t>
      </w:r>
      <w:r w:rsidRPr="003B72A1">
        <w:rPr>
          <w:rFonts w:ascii="Arial" w:eastAsia="Calibri" w:hAnsi="Arial" w:cs="Arial"/>
          <w:sz w:val="22"/>
          <w:lang w:eastAsia="en-GB"/>
        </w:rPr>
        <w:t xml:space="preserve">registered in Skopje, Polog and the Northeast Region, while the highest proportion of old population (65+) </w:t>
      </w:r>
      <w:r w:rsidR="00E91640" w:rsidRPr="003B72A1">
        <w:rPr>
          <w:rFonts w:ascii="Arial" w:eastAsia="Calibri" w:hAnsi="Arial" w:cs="Arial"/>
          <w:sz w:val="22"/>
          <w:lang w:eastAsia="en-GB"/>
        </w:rPr>
        <w:t xml:space="preserve">was </w:t>
      </w:r>
      <w:r w:rsidRPr="003B72A1">
        <w:rPr>
          <w:rFonts w:ascii="Arial" w:eastAsia="Calibri" w:hAnsi="Arial" w:cs="Arial"/>
          <w:sz w:val="22"/>
          <w:lang w:eastAsia="en-GB"/>
        </w:rPr>
        <w:t xml:space="preserve">observed in Pelagonia, Vardar and the East Region. The indicators of the </w:t>
      </w:r>
      <w:r w:rsidR="00E91640" w:rsidRPr="003B72A1">
        <w:rPr>
          <w:rFonts w:ascii="Arial" w:eastAsia="Calibri" w:hAnsi="Arial" w:cs="Arial"/>
          <w:sz w:val="22"/>
          <w:lang w:eastAsia="en-GB"/>
        </w:rPr>
        <w:t xml:space="preserve">population </w:t>
      </w:r>
      <w:r w:rsidRPr="003B72A1">
        <w:rPr>
          <w:rFonts w:ascii="Arial" w:eastAsia="Calibri" w:hAnsi="Arial" w:cs="Arial"/>
          <w:sz w:val="22"/>
          <w:lang w:eastAsia="en-GB"/>
        </w:rPr>
        <w:t>average age also confirm this situation.</w:t>
      </w:r>
    </w:p>
    <w:p w:rsidR="003136C5" w:rsidRPr="003B72A1" w:rsidRDefault="003136C5" w:rsidP="003136C5">
      <w:pPr>
        <w:spacing w:before="120"/>
        <w:jc w:val="both"/>
        <w:rPr>
          <w:rFonts w:ascii="Arial" w:eastAsia="Calibri" w:hAnsi="Arial" w:cs="Arial"/>
          <w:sz w:val="22"/>
          <w:lang w:eastAsia="en-GB"/>
        </w:rPr>
      </w:pPr>
      <w:r w:rsidRPr="003B72A1">
        <w:rPr>
          <w:rFonts w:ascii="Arial" w:eastAsia="Calibri" w:hAnsi="Arial" w:cs="Arial"/>
          <w:sz w:val="22"/>
          <w:lang w:eastAsia="en-GB"/>
        </w:rPr>
        <w:t xml:space="preserve">Differences are also visible in the number of births and deaths. In the Pelagonia, </w:t>
      </w:r>
      <w:r w:rsidR="00E91640" w:rsidRPr="003B72A1">
        <w:rPr>
          <w:rFonts w:ascii="Arial" w:eastAsia="Calibri" w:hAnsi="Arial" w:cs="Arial"/>
          <w:sz w:val="22"/>
          <w:lang w:eastAsia="en-GB"/>
        </w:rPr>
        <w:t xml:space="preserve">the </w:t>
      </w:r>
      <w:r w:rsidRPr="003B72A1">
        <w:rPr>
          <w:rFonts w:ascii="Arial" w:eastAsia="Calibri" w:hAnsi="Arial" w:cs="Arial"/>
          <w:sz w:val="22"/>
          <w:lang w:eastAsia="en-GB"/>
        </w:rPr>
        <w:t>Vardar and the East Region, as a result of the unfavourable age structure and the low fertility, the number of deaths exceeds the number of births.</w:t>
      </w:r>
    </w:p>
    <w:p w:rsidR="003136C5" w:rsidRPr="009C5096" w:rsidRDefault="003136C5" w:rsidP="003136C5">
      <w:pPr>
        <w:pStyle w:val="Caption"/>
        <w:rPr>
          <w:rFonts w:ascii="Arial" w:hAnsi="Arial" w:cs="Arial"/>
          <w:i/>
          <w:sz w:val="24"/>
          <w:szCs w:val="24"/>
        </w:rPr>
      </w:pPr>
    </w:p>
    <w:p w:rsidR="003136C5" w:rsidRPr="009C5096" w:rsidRDefault="003136C5" w:rsidP="003136C5">
      <w:pPr>
        <w:pStyle w:val="Caption"/>
        <w:rPr>
          <w:rFonts w:ascii="Arial" w:hAnsi="Arial" w:cs="Arial"/>
          <w:i/>
          <w:sz w:val="24"/>
          <w:szCs w:val="24"/>
        </w:rPr>
      </w:pPr>
    </w:p>
    <w:p w:rsidR="003136C5" w:rsidRPr="009C5096" w:rsidRDefault="003136C5" w:rsidP="003136C5">
      <w:pPr>
        <w:pStyle w:val="Caption"/>
        <w:rPr>
          <w:rFonts w:ascii="Arial" w:eastAsia="Calibri" w:hAnsi="Arial" w:cs="Arial"/>
          <w:i/>
          <w:sz w:val="24"/>
          <w:szCs w:val="24"/>
          <w:lang w:eastAsia="en-GB"/>
        </w:rPr>
      </w:pPr>
      <w:bookmarkStart w:id="6" w:name="_Toc6903701"/>
      <w:r w:rsidRPr="009C5096">
        <w:rPr>
          <w:rFonts w:ascii="Arial" w:hAnsi="Arial" w:cs="Arial"/>
          <w:sz w:val="24"/>
          <w:szCs w:val="24"/>
        </w:rPr>
        <w:t xml:space="preserve">Figure </w:t>
      </w:r>
      <w:r w:rsidRPr="009C5096">
        <w:rPr>
          <w:rFonts w:ascii="Arial" w:hAnsi="Arial" w:cs="Arial"/>
          <w:i/>
          <w:sz w:val="24"/>
          <w:szCs w:val="24"/>
        </w:rPr>
        <w:fldChar w:fldCharType="begin"/>
      </w:r>
      <w:r w:rsidRPr="009C5096">
        <w:rPr>
          <w:rFonts w:ascii="Arial" w:hAnsi="Arial" w:cs="Arial"/>
          <w:sz w:val="24"/>
          <w:szCs w:val="24"/>
        </w:rPr>
        <w:instrText xml:space="preserve"> SEQ Figure \* ARABIC </w:instrText>
      </w:r>
      <w:r w:rsidRPr="009C5096">
        <w:rPr>
          <w:rFonts w:ascii="Arial" w:hAnsi="Arial" w:cs="Arial"/>
          <w:i/>
          <w:sz w:val="24"/>
          <w:szCs w:val="24"/>
        </w:rPr>
        <w:fldChar w:fldCharType="separate"/>
      </w:r>
      <w:r w:rsidRPr="009C5096">
        <w:rPr>
          <w:rFonts w:ascii="Arial" w:hAnsi="Arial" w:cs="Arial"/>
          <w:sz w:val="24"/>
          <w:szCs w:val="24"/>
        </w:rPr>
        <w:t>1</w:t>
      </w:r>
      <w:r w:rsidRPr="009C5096">
        <w:rPr>
          <w:rFonts w:ascii="Arial" w:hAnsi="Arial" w:cs="Arial"/>
          <w:i/>
          <w:sz w:val="24"/>
          <w:szCs w:val="24"/>
        </w:rPr>
        <w:fldChar w:fldCharType="end"/>
      </w:r>
      <w:r w:rsidRPr="009C5096">
        <w:rPr>
          <w:rFonts w:ascii="Arial" w:hAnsi="Arial" w:cs="Arial"/>
          <w:sz w:val="24"/>
          <w:szCs w:val="24"/>
        </w:rPr>
        <w:t>:</w:t>
      </w:r>
      <w:r w:rsidRPr="009C5096">
        <w:rPr>
          <w:rFonts w:ascii="Arial" w:eastAsia="Calibri" w:hAnsi="Arial" w:cs="Arial"/>
          <w:sz w:val="24"/>
          <w:szCs w:val="24"/>
          <w:lang w:eastAsia="en-GB"/>
        </w:rPr>
        <w:t xml:space="preserve"> Structure of total population by age groups, 2015</w:t>
      </w:r>
      <w:bookmarkEnd w:id="6"/>
    </w:p>
    <w:p w:rsidR="003136C5" w:rsidRPr="009C5096" w:rsidRDefault="003136C5" w:rsidP="003136C5">
      <w:pPr>
        <w:jc w:val="both"/>
        <w:rPr>
          <w:rFonts w:ascii="Arial" w:eastAsia="Calibri" w:hAnsi="Arial" w:cs="Arial"/>
          <w:lang w:eastAsia="en-GB"/>
        </w:rPr>
      </w:pPr>
      <w:r w:rsidRPr="009C5096">
        <w:rPr>
          <w:rFonts w:ascii="Arial" w:eastAsia="Calibri" w:hAnsi="Arial" w:cs="Arial"/>
          <w:lang w:eastAsia="en-GB"/>
        </w:rPr>
        <w:t xml:space="preserve"> </w:t>
      </w:r>
      <w:r w:rsidRPr="009C5096">
        <w:rPr>
          <w:rFonts w:ascii="Arial" w:eastAsia="Calibri" w:hAnsi="Arial" w:cs="Arial"/>
          <w:noProof/>
        </w:rPr>
        <w:drawing>
          <wp:inline distT="0" distB="0" distL="0" distR="0" wp14:anchorId="55ACAFF2" wp14:editId="5CE6C522">
            <wp:extent cx="2731135" cy="1627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1135" cy="1627505"/>
                    </a:xfrm>
                    <a:prstGeom prst="rect">
                      <a:avLst/>
                    </a:prstGeom>
                    <a:noFill/>
                  </pic:spPr>
                </pic:pic>
              </a:graphicData>
            </a:graphic>
          </wp:inline>
        </w:drawing>
      </w:r>
    </w:p>
    <w:p w:rsidR="003136C5" w:rsidRPr="009C5096" w:rsidRDefault="003136C5" w:rsidP="003136C5">
      <w:pPr>
        <w:jc w:val="both"/>
        <w:rPr>
          <w:rFonts w:ascii="Arial" w:eastAsia="Calibri" w:hAnsi="Arial" w:cs="Arial"/>
          <w:sz w:val="18"/>
          <w:szCs w:val="18"/>
          <w:lang w:eastAsia="en-GB"/>
        </w:rPr>
      </w:pPr>
      <w:r w:rsidRPr="009C5096">
        <w:rPr>
          <w:rFonts w:ascii="Arial" w:eastAsia="Calibri" w:hAnsi="Arial" w:cs="Arial"/>
          <w:sz w:val="18"/>
          <w:szCs w:val="18"/>
          <w:lang w:eastAsia="en-GB"/>
        </w:rPr>
        <w:t>Source: SSO</w:t>
      </w:r>
    </w:p>
    <w:p w:rsidR="003136C5" w:rsidRPr="009C509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sz w:val="22"/>
          <w:szCs w:val="22"/>
          <w:lang w:val="en-US"/>
        </w:rPr>
      </w:pPr>
      <w:bookmarkStart w:id="7" w:name="_Toc8649804"/>
      <w:r w:rsidRPr="009C5096">
        <w:rPr>
          <w:rFonts w:ascii="Arial" w:hAnsi="Arial" w:cs="Arial"/>
          <w:b/>
          <w:lang w:val="en-US"/>
        </w:rPr>
        <w:t>Agriculture production and economy</w:t>
      </w:r>
      <w:r w:rsidRPr="009C5096">
        <w:rPr>
          <w:rStyle w:val="FootnoteReference"/>
          <w:rFonts w:ascii="Arial" w:hAnsi="Arial" w:cs="Arial"/>
          <w:b/>
          <w:sz w:val="22"/>
          <w:szCs w:val="22"/>
          <w:lang w:val="en-US"/>
        </w:rPr>
        <w:footnoteReference w:id="1"/>
      </w:r>
      <w:bookmarkEnd w:id="7"/>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Agriculture</w:t>
      </w:r>
      <w:r w:rsidR="00E91640" w:rsidRPr="009C5096">
        <w:rPr>
          <w:rFonts w:ascii="Arial" w:hAnsi="Arial" w:cs="Arial"/>
          <w:sz w:val="22"/>
          <w:szCs w:val="22"/>
          <w:lang w:val="en-US"/>
        </w:rPr>
        <w:t>,</w:t>
      </w:r>
      <w:r w:rsidRPr="009C5096">
        <w:rPr>
          <w:rFonts w:ascii="Arial" w:hAnsi="Arial" w:cs="Arial"/>
          <w:sz w:val="22"/>
          <w:szCs w:val="22"/>
          <w:lang w:val="en-US"/>
        </w:rPr>
        <w:t xml:space="preserve"> along with </w:t>
      </w:r>
      <w:r w:rsidR="009C5096" w:rsidRPr="009C5096">
        <w:rPr>
          <w:rFonts w:ascii="Arial" w:hAnsi="Arial" w:cs="Arial"/>
          <w:sz w:val="22"/>
          <w:szCs w:val="22"/>
          <w:lang w:val="en-US"/>
        </w:rPr>
        <w:t>Hunting</w:t>
      </w:r>
      <w:r w:rsidRPr="009C5096">
        <w:rPr>
          <w:rFonts w:ascii="Arial" w:hAnsi="Arial" w:cs="Arial"/>
          <w:sz w:val="22"/>
          <w:szCs w:val="22"/>
          <w:lang w:val="en-US"/>
        </w:rPr>
        <w:t xml:space="preserve">, </w:t>
      </w:r>
      <w:r w:rsidR="009C5096" w:rsidRPr="009C5096">
        <w:rPr>
          <w:rFonts w:ascii="Arial" w:hAnsi="Arial" w:cs="Arial"/>
          <w:sz w:val="22"/>
          <w:szCs w:val="22"/>
          <w:lang w:val="en-US"/>
        </w:rPr>
        <w:t xml:space="preserve">Forestry </w:t>
      </w:r>
      <w:r w:rsidRPr="009C5096">
        <w:rPr>
          <w:rFonts w:ascii="Arial" w:hAnsi="Arial" w:cs="Arial"/>
          <w:sz w:val="22"/>
          <w:szCs w:val="22"/>
          <w:lang w:val="en-US"/>
        </w:rPr>
        <w:t xml:space="preserve">and </w:t>
      </w:r>
      <w:r w:rsidR="009C5096" w:rsidRPr="009C5096">
        <w:rPr>
          <w:rFonts w:ascii="Arial" w:hAnsi="Arial" w:cs="Arial"/>
          <w:sz w:val="22"/>
          <w:szCs w:val="22"/>
          <w:lang w:val="en-US"/>
        </w:rPr>
        <w:t xml:space="preserve">Fisheries </w:t>
      </w:r>
      <w:r w:rsidRPr="009C5096">
        <w:rPr>
          <w:rFonts w:ascii="Arial" w:hAnsi="Arial" w:cs="Arial"/>
          <w:sz w:val="22"/>
          <w:szCs w:val="22"/>
          <w:lang w:val="en-US"/>
        </w:rPr>
        <w:t xml:space="preserve">with </w:t>
      </w:r>
      <w:r w:rsidR="009C5096" w:rsidRPr="009C5096">
        <w:rPr>
          <w:rFonts w:ascii="Arial" w:hAnsi="Arial" w:cs="Arial"/>
          <w:sz w:val="22"/>
          <w:szCs w:val="22"/>
          <w:lang w:val="en-US"/>
        </w:rPr>
        <w:t xml:space="preserve">a </w:t>
      </w:r>
      <w:r w:rsidRPr="009C5096">
        <w:rPr>
          <w:rFonts w:ascii="Arial" w:hAnsi="Arial" w:cs="Arial"/>
          <w:sz w:val="22"/>
          <w:szCs w:val="22"/>
          <w:lang w:val="en-US"/>
        </w:rPr>
        <w:t>share of 10</w:t>
      </w:r>
      <w:r w:rsidR="009C5096" w:rsidRPr="009C5096">
        <w:rPr>
          <w:rFonts w:ascii="Arial" w:hAnsi="Arial" w:cs="Arial"/>
          <w:sz w:val="22"/>
          <w:szCs w:val="22"/>
          <w:lang w:val="en-US"/>
        </w:rPr>
        <w:t>.</w:t>
      </w:r>
      <w:r w:rsidRPr="009C5096">
        <w:rPr>
          <w:rFonts w:ascii="Arial" w:hAnsi="Arial" w:cs="Arial"/>
          <w:sz w:val="22"/>
          <w:szCs w:val="22"/>
          <w:lang w:val="en-US"/>
        </w:rPr>
        <w:t xml:space="preserve">6% in the overall Gross Domestic Product (GDP) in 2016 was the fourth largest economy sector, </w:t>
      </w:r>
      <w:r w:rsidR="009C5096" w:rsidRPr="009C5096">
        <w:rPr>
          <w:rFonts w:ascii="Arial" w:hAnsi="Arial" w:cs="Arial"/>
          <w:sz w:val="22"/>
          <w:szCs w:val="22"/>
          <w:lang w:val="en-US"/>
        </w:rPr>
        <w:t>immediately after</w:t>
      </w:r>
      <w:r w:rsidRPr="009C5096">
        <w:rPr>
          <w:rFonts w:ascii="Arial" w:hAnsi="Arial" w:cs="Arial"/>
          <w:sz w:val="22"/>
          <w:szCs w:val="22"/>
          <w:lang w:val="en-US"/>
        </w:rPr>
        <w:t xml:space="preserve"> the sectors of </w:t>
      </w:r>
      <w:r w:rsidR="009C5096" w:rsidRPr="009C5096">
        <w:rPr>
          <w:rFonts w:ascii="Arial" w:hAnsi="Arial" w:cs="Arial"/>
          <w:sz w:val="22"/>
          <w:szCs w:val="22"/>
          <w:lang w:val="en-US"/>
        </w:rPr>
        <w:t>Services</w:t>
      </w:r>
      <w:r w:rsidRPr="009C5096">
        <w:rPr>
          <w:rFonts w:ascii="Arial" w:hAnsi="Arial" w:cs="Arial"/>
          <w:sz w:val="22"/>
          <w:szCs w:val="22"/>
          <w:lang w:val="en-US"/>
        </w:rPr>
        <w:t xml:space="preserve">, </w:t>
      </w:r>
      <w:r w:rsidR="009C5096" w:rsidRPr="009C5096">
        <w:rPr>
          <w:rFonts w:ascii="Arial" w:hAnsi="Arial" w:cs="Arial"/>
          <w:sz w:val="22"/>
          <w:szCs w:val="22"/>
          <w:lang w:val="en-US"/>
        </w:rPr>
        <w:t xml:space="preserve">Industry </w:t>
      </w:r>
      <w:r w:rsidRPr="009C5096">
        <w:rPr>
          <w:rFonts w:ascii="Arial" w:hAnsi="Arial" w:cs="Arial"/>
          <w:sz w:val="22"/>
          <w:szCs w:val="22"/>
          <w:lang w:val="en-US"/>
        </w:rPr>
        <w:t xml:space="preserve">and </w:t>
      </w:r>
      <w:r w:rsidR="009C5096" w:rsidRPr="009C5096">
        <w:rPr>
          <w:rFonts w:ascii="Arial" w:hAnsi="Arial" w:cs="Arial"/>
          <w:sz w:val="22"/>
          <w:szCs w:val="22"/>
          <w:lang w:val="en-US"/>
        </w:rPr>
        <w:t xml:space="preserve">Wholesale </w:t>
      </w:r>
      <w:r w:rsidRPr="009C5096">
        <w:rPr>
          <w:rFonts w:ascii="Arial" w:hAnsi="Arial" w:cs="Arial"/>
          <w:sz w:val="22"/>
          <w:szCs w:val="22"/>
          <w:lang w:val="en-US"/>
        </w:rPr>
        <w:t xml:space="preserve">and </w:t>
      </w:r>
      <w:r w:rsidR="009C5096" w:rsidRPr="009C5096">
        <w:rPr>
          <w:rFonts w:ascii="Arial" w:hAnsi="Arial" w:cs="Arial"/>
          <w:sz w:val="22"/>
          <w:szCs w:val="22"/>
          <w:lang w:val="en-US"/>
        </w:rPr>
        <w:t>R</w:t>
      </w:r>
      <w:r w:rsidRPr="009C5096">
        <w:rPr>
          <w:rFonts w:ascii="Arial" w:hAnsi="Arial" w:cs="Arial"/>
          <w:sz w:val="22"/>
          <w:szCs w:val="22"/>
          <w:lang w:val="en-US"/>
        </w:rPr>
        <w:t xml:space="preserve">etail </w:t>
      </w:r>
      <w:r w:rsidR="009C5096" w:rsidRPr="009C5096">
        <w:rPr>
          <w:rFonts w:ascii="Arial" w:hAnsi="Arial" w:cs="Arial"/>
          <w:sz w:val="22"/>
          <w:szCs w:val="22"/>
          <w:lang w:val="en-US"/>
        </w:rPr>
        <w:t>T</w:t>
      </w:r>
      <w:r w:rsidRPr="009C5096">
        <w:rPr>
          <w:rFonts w:ascii="Arial" w:hAnsi="Arial" w:cs="Arial"/>
          <w:sz w:val="22"/>
          <w:szCs w:val="22"/>
          <w:lang w:val="en-US"/>
        </w:rPr>
        <w:t xml:space="preserve">rade. Food, </w:t>
      </w:r>
      <w:r w:rsidR="009C5096" w:rsidRPr="009C5096">
        <w:rPr>
          <w:rFonts w:ascii="Arial" w:hAnsi="Arial" w:cs="Arial"/>
          <w:sz w:val="22"/>
          <w:szCs w:val="22"/>
          <w:lang w:val="en-US"/>
        </w:rPr>
        <w:t xml:space="preserve">Beverages </w:t>
      </w:r>
      <w:r w:rsidRPr="009C5096">
        <w:rPr>
          <w:rFonts w:ascii="Arial" w:hAnsi="Arial" w:cs="Arial"/>
          <w:sz w:val="22"/>
          <w:szCs w:val="22"/>
          <w:lang w:val="en-US"/>
        </w:rPr>
        <w:t xml:space="preserve">and </w:t>
      </w:r>
      <w:r w:rsidR="009C5096" w:rsidRPr="009C5096">
        <w:rPr>
          <w:rFonts w:ascii="Arial" w:hAnsi="Arial" w:cs="Arial"/>
          <w:sz w:val="22"/>
          <w:szCs w:val="22"/>
          <w:lang w:val="en-US"/>
        </w:rPr>
        <w:t xml:space="preserve">Tobacco </w:t>
      </w:r>
      <w:r w:rsidRPr="009C5096">
        <w:rPr>
          <w:rFonts w:ascii="Arial" w:hAnsi="Arial" w:cs="Arial"/>
          <w:sz w:val="22"/>
          <w:szCs w:val="22"/>
          <w:lang w:val="en-US"/>
        </w:rPr>
        <w:t xml:space="preserve">participated </w:t>
      </w:r>
      <w:r w:rsidR="009C5096" w:rsidRPr="009C5096">
        <w:rPr>
          <w:rFonts w:ascii="Arial" w:hAnsi="Arial" w:cs="Arial"/>
          <w:sz w:val="22"/>
          <w:szCs w:val="22"/>
          <w:lang w:val="en-US"/>
        </w:rPr>
        <w:t xml:space="preserve">with </w:t>
      </w:r>
      <w:r w:rsidRPr="009C5096">
        <w:rPr>
          <w:rFonts w:ascii="Arial" w:hAnsi="Arial" w:cs="Arial"/>
          <w:sz w:val="22"/>
          <w:szCs w:val="22"/>
          <w:lang w:val="en-US"/>
        </w:rPr>
        <w:t>40</w:t>
      </w:r>
      <w:r w:rsidR="009C5096" w:rsidRPr="009C5096">
        <w:rPr>
          <w:rFonts w:ascii="Arial" w:hAnsi="Arial" w:cs="Arial"/>
          <w:sz w:val="22"/>
          <w:szCs w:val="22"/>
          <w:lang w:val="en-US"/>
        </w:rPr>
        <w:t>.</w:t>
      </w:r>
      <w:r w:rsidRPr="009C5096">
        <w:rPr>
          <w:rFonts w:ascii="Arial" w:hAnsi="Arial" w:cs="Arial"/>
          <w:sz w:val="22"/>
          <w:szCs w:val="22"/>
          <w:lang w:val="en-US"/>
        </w:rPr>
        <w:t xml:space="preserve">0% in </w:t>
      </w:r>
      <w:r w:rsidR="009C5096" w:rsidRPr="009C5096">
        <w:rPr>
          <w:rFonts w:ascii="Arial" w:hAnsi="Arial" w:cs="Arial"/>
          <w:sz w:val="22"/>
          <w:szCs w:val="22"/>
          <w:lang w:val="en-US"/>
        </w:rPr>
        <w:t xml:space="preserve">the </w:t>
      </w:r>
      <w:r w:rsidRPr="009C5096">
        <w:rPr>
          <w:rFonts w:ascii="Arial" w:hAnsi="Arial" w:cs="Arial"/>
          <w:sz w:val="22"/>
          <w:szCs w:val="22"/>
          <w:lang w:val="en-US"/>
        </w:rPr>
        <w:t>total consumption per household.</w:t>
      </w:r>
    </w:p>
    <w:p w:rsidR="003136C5" w:rsidRPr="009C5096" w:rsidRDefault="003136C5" w:rsidP="003136C5">
      <w:pPr>
        <w:pStyle w:val="Footer"/>
        <w:spacing w:before="120"/>
        <w:jc w:val="both"/>
        <w:rPr>
          <w:rFonts w:ascii="Arial" w:hAnsi="Arial" w:cs="Arial"/>
        </w:rPr>
      </w:pPr>
      <w:r w:rsidRPr="009C5096">
        <w:rPr>
          <w:rFonts w:ascii="Arial" w:hAnsi="Arial" w:cs="Arial"/>
          <w:b/>
          <w:i/>
        </w:rPr>
        <w:t>Economic Accounts and value of agriculture production</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Gross value added in agriculture for 2017 was 44</w:t>
      </w:r>
      <w:r w:rsidR="009C5096" w:rsidRPr="009C5096">
        <w:rPr>
          <w:rFonts w:ascii="Arial" w:hAnsi="Arial" w:cs="Arial"/>
          <w:sz w:val="22"/>
          <w:szCs w:val="22"/>
          <w:lang w:val="en-US"/>
        </w:rPr>
        <w:t>,</w:t>
      </w:r>
      <w:r w:rsidRPr="009C5096">
        <w:rPr>
          <w:rFonts w:ascii="Arial" w:hAnsi="Arial" w:cs="Arial"/>
          <w:sz w:val="22"/>
          <w:szCs w:val="22"/>
          <w:lang w:val="en-US"/>
        </w:rPr>
        <w:t>907 million denars and in comparison with 2016 it nominally decreased by 12.8%.</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lastRenderedPageBreak/>
        <w:t>Crop production in 2017, having a 65</w:t>
      </w:r>
      <w:r w:rsidR="009C5096" w:rsidRPr="009C5096">
        <w:rPr>
          <w:rFonts w:ascii="Arial" w:hAnsi="Arial" w:cs="Arial"/>
          <w:sz w:val="22"/>
          <w:szCs w:val="22"/>
          <w:lang w:val="en-US"/>
        </w:rPr>
        <w:t>.</w:t>
      </w:r>
      <w:r w:rsidRPr="009C5096">
        <w:rPr>
          <w:rFonts w:ascii="Arial" w:hAnsi="Arial" w:cs="Arial"/>
          <w:sz w:val="22"/>
          <w:szCs w:val="22"/>
          <w:lang w:val="en-US"/>
        </w:rPr>
        <w:t>0% share in the total production, decreased by 13</w:t>
      </w:r>
      <w:r w:rsidR="009C5096" w:rsidRPr="009C5096">
        <w:rPr>
          <w:rFonts w:ascii="Arial" w:hAnsi="Arial" w:cs="Arial"/>
          <w:sz w:val="22"/>
          <w:szCs w:val="22"/>
          <w:lang w:val="en-US"/>
        </w:rPr>
        <w:t>.</w:t>
      </w:r>
      <w:r w:rsidRPr="009C5096">
        <w:rPr>
          <w:rFonts w:ascii="Arial" w:hAnsi="Arial" w:cs="Arial"/>
          <w:sz w:val="22"/>
          <w:szCs w:val="22"/>
          <w:lang w:val="en-US"/>
        </w:rPr>
        <w:t>6% compared with 2016. Livestock production, accounting for 24</w:t>
      </w:r>
      <w:r w:rsidR="009C5096" w:rsidRPr="009C5096">
        <w:rPr>
          <w:rFonts w:ascii="Arial" w:hAnsi="Arial" w:cs="Arial"/>
          <w:sz w:val="22"/>
          <w:szCs w:val="22"/>
          <w:lang w:val="en-US"/>
        </w:rPr>
        <w:t>.</w:t>
      </w:r>
      <w:r w:rsidRPr="009C5096">
        <w:rPr>
          <w:rFonts w:ascii="Arial" w:hAnsi="Arial" w:cs="Arial"/>
          <w:sz w:val="22"/>
          <w:szCs w:val="22"/>
          <w:lang w:val="en-US"/>
        </w:rPr>
        <w:t>2% of the total production, decreased by 2</w:t>
      </w:r>
      <w:r w:rsidR="009C5096" w:rsidRPr="009C5096">
        <w:rPr>
          <w:rFonts w:ascii="Arial" w:hAnsi="Arial" w:cs="Arial"/>
          <w:sz w:val="22"/>
          <w:szCs w:val="22"/>
          <w:lang w:val="en-US"/>
        </w:rPr>
        <w:t>.</w:t>
      </w:r>
      <w:r w:rsidRPr="009C5096">
        <w:rPr>
          <w:rFonts w:ascii="Arial" w:hAnsi="Arial" w:cs="Arial"/>
          <w:sz w:val="22"/>
          <w:szCs w:val="22"/>
          <w:lang w:val="en-US"/>
        </w:rPr>
        <w:t>8% compared with 2016.</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Intermediate consumption recorded a 4</w:t>
      </w:r>
      <w:r w:rsidR="009C5096" w:rsidRPr="009C5096">
        <w:rPr>
          <w:rFonts w:ascii="Arial" w:hAnsi="Arial" w:cs="Arial"/>
          <w:sz w:val="22"/>
          <w:szCs w:val="22"/>
          <w:lang w:val="en-US"/>
        </w:rPr>
        <w:t>.</w:t>
      </w:r>
      <w:r w:rsidRPr="009C5096">
        <w:rPr>
          <w:rFonts w:ascii="Arial" w:hAnsi="Arial" w:cs="Arial"/>
          <w:sz w:val="22"/>
          <w:szCs w:val="22"/>
          <w:lang w:val="en-US"/>
        </w:rPr>
        <w:t xml:space="preserve">8% decrease in 2017 compared with 2016. In 2017, </w:t>
      </w:r>
      <w:r w:rsidR="009C5096" w:rsidRPr="009C5096">
        <w:rPr>
          <w:rFonts w:ascii="Arial" w:hAnsi="Arial" w:cs="Arial"/>
          <w:sz w:val="22"/>
          <w:szCs w:val="22"/>
          <w:lang w:val="en-US"/>
        </w:rPr>
        <w:t xml:space="preserve">the </w:t>
      </w:r>
      <w:r w:rsidRPr="009C5096">
        <w:rPr>
          <w:rFonts w:ascii="Arial" w:hAnsi="Arial" w:cs="Arial"/>
          <w:sz w:val="22"/>
          <w:szCs w:val="22"/>
          <w:lang w:val="en-US"/>
        </w:rPr>
        <w:t>nominal income in agriculture from production factors per labour unit registered a decrease of 5</w:t>
      </w:r>
      <w:r w:rsidR="009C5096" w:rsidRPr="009C5096">
        <w:rPr>
          <w:rFonts w:ascii="Arial" w:hAnsi="Arial" w:cs="Arial"/>
          <w:sz w:val="22"/>
          <w:szCs w:val="22"/>
          <w:lang w:val="en-US"/>
        </w:rPr>
        <w:t>.</w:t>
      </w:r>
      <w:r w:rsidRPr="009C5096">
        <w:rPr>
          <w:rFonts w:ascii="Arial" w:hAnsi="Arial" w:cs="Arial"/>
          <w:sz w:val="22"/>
          <w:szCs w:val="22"/>
          <w:lang w:val="en-US"/>
        </w:rPr>
        <w:t>7%</w:t>
      </w:r>
      <w:r w:rsidR="009C5096" w:rsidRPr="009C5096">
        <w:rPr>
          <w:rFonts w:ascii="Arial" w:hAnsi="Arial" w:cs="Arial"/>
          <w:sz w:val="22"/>
          <w:szCs w:val="22"/>
          <w:lang w:val="en-US"/>
        </w:rPr>
        <w:t>,</w:t>
      </w:r>
      <w:r w:rsidRPr="009C5096">
        <w:rPr>
          <w:rFonts w:ascii="Arial" w:hAnsi="Arial" w:cs="Arial"/>
          <w:sz w:val="22"/>
          <w:szCs w:val="22"/>
          <w:lang w:val="en-US"/>
        </w:rPr>
        <w:t xml:space="preserve"> while </w:t>
      </w:r>
      <w:r w:rsidR="009C5096" w:rsidRPr="009C5096">
        <w:rPr>
          <w:rFonts w:ascii="Arial" w:hAnsi="Arial" w:cs="Arial"/>
          <w:sz w:val="22"/>
          <w:szCs w:val="22"/>
          <w:lang w:val="en-US"/>
        </w:rPr>
        <w:t xml:space="preserve">the </w:t>
      </w:r>
      <w:r w:rsidRPr="009C5096">
        <w:rPr>
          <w:rFonts w:ascii="Arial" w:hAnsi="Arial" w:cs="Arial"/>
          <w:sz w:val="22"/>
          <w:szCs w:val="22"/>
          <w:lang w:val="en-US"/>
        </w:rPr>
        <w:t>real income in agriculture from production factors registered a decrease of 5</w:t>
      </w:r>
      <w:r w:rsidR="009C5096" w:rsidRPr="009C5096">
        <w:rPr>
          <w:rFonts w:ascii="Arial" w:hAnsi="Arial" w:cs="Arial"/>
          <w:sz w:val="22"/>
          <w:szCs w:val="22"/>
          <w:lang w:val="en-US"/>
        </w:rPr>
        <w:t>.</w:t>
      </w:r>
      <w:r w:rsidRPr="009C5096">
        <w:rPr>
          <w:rFonts w:ascii="Arial" w:hAnsi="Arial" w:cs="Arial"/>
          <w:sz w:val="22"/>
          <w:szCs w:val="22"/>
          <w:lang w:val="en-US"/>
        </w:rPr>
        <w:t>0%.</w:t>
      </w:r>
    </w:p>
    <w:p w:rsidR="003136C5" w:rsidRPr="009C5096" w:rsidRDefault="003136C5" w:rsidP="003136C5">
      <w:pPr>
        <w:pStyle w:val="m343668044302477783m-3986873246552044066msolistparagraph"/>
        <w:spacing w:before="120" w:beforeAutospacing="0" w:after="0" w:afterAutospacing="0"/>
        <w:jc w:val="both"/>
        <w:rPr>
          <w:rFonts w:ascii="Arial" w:eastAsia="Times New Roman" w:hAnsi="Arial" w:cs="Arial"/>
          <w:b/>
          <w:i/>
          <w:sz w:val="22"/>
          <w:szCs w:val="22"/>
          <w:lang w:val="en-US" w:eastAsia="en-US"/>
        </w:rPr>
      </w:pPr>
      <w:r w:rsidRPr="009C5096">
        <w:rPr>
          <w:rFonts w:ascii="Arial" w:eastAsia="Times New Roman" w:hAnsi="Arial" w:cs="Arial"/>
          <w:b/>
          <w:i/>
          <w:sz w:val="22"/>
          <w:szCs w:val="22"/>
          <w:lang w:val="en-US" w:eastAsia="en-US"/>
        </w:rPr>
        <w:t>Agricultural land and farm structure</w:t>
      </w:r>
    </w:p>
    <w:p w:rsidR="003136C5" w:rsidRPr="009C5096" w:rsidRDefault="003136C5" w:rsidP="003136C5">
      <w:pPr>
        <w:pStyle w:val="m343668044302477783m-3986873246552044066msolistparagraph"/>
        <w:spacing w:before="120" w:beforeAutospacing="0" w:after="0" w:afterAutospacing="0"/>
        <w:jc w:val="both"/>
        <w:rPr>
          <w:rFonts w:ascii="Arial" w:eastAsia="Times New Roman" w:hAnsi="Arial" w:cs="Arial"/>
          <w:sz w:val="22"/>
          <w:szCs w:val="22"/>
          <w:lang w:val="en-US" w:eastAsia="en-US"/>
        </w:rPr>
      </w:pPr>
      <w:r w:rsidRPr="009C5096">
        <w:rPr>
          <w:rFonts w:ascii="Arial" w:eastAsia="Times New Roman" w:hAnsi="Arial" w:cs="Arial"/>
          <w:sz w:val="22"/>
          <w:szCs w:val="22"/>
          <w:lang w:val="en-US" w:eastAsia="en-US"/>
        </w:rPr>
        <w:t xml:space="preserve">According to </w:t>
      </w:r>
      <w:r w:rsidR="009C5096" w:rsidRPr="009C5096">
        <w:rPr>
          <w:rFonts w:ascii="Arial" w:eastAsia="Times New Roman" w:hAnsi="Arial" w:cs="Arial"/>
          <w:sz w:val="22"/>
          <w:szCs w:val="22"/>
          <w:lang w:val="en-US" w:eastAsia="en-US"/>
        </w:rPr>
        <w:t xml:space="preserve">the </w:t>
      </w:r>
      <w:r w:rsidRPr="009C5096">
        <w:rPr>
          <w:rFonts w:ascii="Arial" w:eastAsia="Times New Roman" w:hAnsi="Arial" w:cs="Arial"/>
          <w:sz w:val="22"/>
          <w:szCs w:val="22"/>
          <w:lang w:val="en-US" w:eastAsia="en-US"/>
        </w:rPr>
        <w:t>SSO data, 1</w:t>
      </w:r>
      <w:r w:rsidR="009C5096">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 xml:space="preserve">266 million ha or 49% of </w:t>
      </w:r>
      <w:r w:rsidR="009C5096">
        <w:rPr>
          <w:rFonts w:ascii="Arial" w:eastAsia="Times New Roman" w:hAnsi="Arial" w:cs="Arial"/>
          <w:sz w:val="22"/>
          <w:szCs w:val="22"/>
          <w:lang w:val="en-US" w:eastAsia="en-US"/>
        </w:rPr>
        <w:t xml:space="preserve">the </w:t>
      </w:r>
      <w:r w:rsidRPr="009C5096">
        <w:rPr>
          <w:rFonts w:ascii="Arial" w:eastAsia="Times New Roman" w:hAnsi="Arial" w:cs="Arial"/>
          <w:sz w:val="22"/>
          <w:szCs w:val="22"/>
          <w:lang w:val="en-US" w:eastAsia="en-US"/>
        </w:rPr>
        <w:t>total area is agricultural land (cultivated land and pastures), 38% are under forests</w:t>
      </w:r>
      <w:r w:rsidR="009C5096">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 xml:space="preserve"> while about 13% are water and other surfaces.</w:t>
      </w:r>
    </w:p>
    <w:p w:rsidR="003136C5" w:rsidRPr="009C5096" w:rsidRDefault="003136C5" w:rsidP="003136C5">
      <w:pPr>
        <w:pStyle w:val="m343668044302477783m-3986873246552044066msolistparagraph"/>
        <w:spacing w:before="120" w:beforeAutospacing="0" w:after="120" w:afterAutospacing="0"/>
        <w:jc w:val="both"/>
        <w:rPr>
          <w:rFonts w:ascii="Arial" w:eastAsia="Times New Roman" w:hAnsi="Arial" w:cs="Arial"/>
          <w:sz w:val="22"/>
          <w:szCs w:val="22"/>
          <w:lang w:val="en-US" w:eastAsia="en-US"/>
        </w:rPr>
      </w:pPr>
      <w:bookmarkStart w:id="8" w:name="_Toc6902268"/>
      <w:r w:rsidRPr="009C5096">
        <w:rPr>
          <w:rFonts w:ascii="Arial" w:eastAsia="Times New Roman" w:hAnsi="Arial" w:cs="Arial"/>
          <w:sz w:val="22"/>
          <w:szCs w:val="22"/>
          <w:lang w:val="en-US" w:eastAsia="en-US"/>
        </w:rPr>
        <w:t xml:space="preserve">Table </w:t>
      </w:r>
      <w:r w:rsidRPr="009C5096">
        <w:rPr>
          <w:rFonts w:ascii="Arial" w:eastAsia="Times New Roman" w:hAnsi="Arial" w:cs="Arial"/>
          <w:sz w:val="22"/>
          <w:szCs w:val="22"/>
          <w:lang w:val="en-US" w:eastAsia="en-US"/>
        </w:rPr>
        <w:fldChar w:fldCharType="begin"/>
      </w:r>
      <w:r w:rsidRPr="009C5096">
        <w:rPr>
          <w:rFonts w:ascii="Arial" w:eastAsia="Times New Roman" w:hAnsi="Arial" w:cs="Arial"/>
          <w:sz w:val="22"/>
          <w:szCs w:val="22"/>
          <w:lang w:val="en-US" w:eastAsia="en-US"/>
        </w:rPr>
        <w:instrText xml:space="preserve"> SEQ Table \* ARABIC </w:instrText>
      </w:r>
      <w:r w:rsidRPr="009C5096">
        <w:rPr>
          <w:rFonts w:ascii="Arial" w:eastAsia="Times New Roman" w:hAnsi="Arial" w:cs="Arial"/>
          <w:sz w:val="22"/>
          <w:szCs w:val="22"/>
          <w:lang w:val="en-US" w:eastAsia="en-US"/>
        </w:rPr>
        <w:fldChar w:fldCharType="separate"/>
      </w:r>
      <w:r w:rsidRPr="009C5096">
        <w:rPr>
          <w:rFonts w:ascii="Arial" w:eastAsia="Times New Roman" w:hAnsi="Arial" w:cs="Arial"/>
          <w:sz w:val="22"/>
          <w:szCs w:val="22"/>
          <w:lang w:val="en-US" w:eastAsia="en-US"/>
        </w:rPr>
        <w:t>2</w:t>
      </w:r>
      <w:r w:rsidRPr="009C5096">
        <w:rPr>
          <w:rFonts w:ascii="Arial" w:eastAsia="Times New Roman" w:hAnsi="Arial" w:cs="Arial"/>
          <w:sz w:val="22"/>
          <w:szCs w:val="22"/>
          <w:lang w:val="en-US" w:eastAsia="en-US"/>
        </w:rPr>
        <w:fldChar w:fldCharType="end"/>
      </w:r>
      <w:r w:rsidRPr="009C5096">
        <w:rPr>
          <w:rFonts w:ascii="Arial" w:eastAsia="Times New Roman" w:hAnsi="Arial" w:cs="Arial"/>
          <w:sz w:val="22"/>
          <w:szCs w:val="22"/>
          <w:lang w:val="en-US" w:eastAsia="en-US"/>
        </w:rPr>
        <w:t>: Agricultural areas by category of use in 000 hectares</w:t>
      </w:r>
      <w:bookmarkEnd w:id="8"/>
    </w:p>
    <w:tbl>
      <w:tblPr>
        <w:tblW w:w="49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919"/>
        <w:gridCol w:w="899"/>
        <w:gridCol w:w="998"/>
        <w:gridCol w:w="1023"/>
        <w:gridCol w:w="917"/>
        <w:gridCol w:w="987"/>
      </w:tblGrid>
      <w:tr w:rsidR="003136C5" w:rsidRPr="009C5096" w:rsidTr="00612896">
        <w:trPr>
          <w:trHeight w:val="238"/>
        </w:trPr>
        <w:tc>
          <w:tcPr>
            <w:tcW w:w="1851" w:type="pct"/>
            <w:tcBorders>
              <w:top w:val="nil"/>
              <w:left w:val="nil"/>
            </w:tcBorders>
          </w:tcPr>
          <w:p w:rsidR="003136C5" w:rsidRPr="009C5096" w:rsidRDefault="003136C5" w:rsidP="00612896">
            <w:pPr>
              <w:widowControl w:val="0"/>
              <w:autoSpaceDE w:val="0"/>
              <w:autoSpaceDN w:val="0"/>
              <w:adjustRightInd w:val="0"/>
              <w:jc w:val="center"/>
              <w:rPr>
                <w:rFonts w:ascii="Arial" w:hAnsi="Arial" w:cs="Arial"/>
                <w:b/>
                <w:bCs/>
                <w:spacing w:val="-3"/>
                <w:sz w:val="20"/>
                <w:szCs w:val="20"/>
              </w:rPr>
            </w:pPr>
          </w:p>
        </w:tc>
        <w:tc>
          <w:tcPr>
            <w:tcW w:w="504" w:type="pct"/>
          </w:tcPr>
          <w:p w:rsidR="003136C5" w:rsidRPr="009C5096" w:rsidRDefault="003136C5" w:rsidP="00612896">
            <w:pPr>
              <w:widowControl w:val="0"/>
              <w:autoSpaceDE w:val="0"/>
              <w:autoSpaceDN w:val="0"/>
              <w:adjustRightInd w:val="0"/>
              <w:jc w:val="center"/>
              <w:rPr>
                <w:rFonts w:ascii="Arial" w:hAnsi="Arial" w:cs="Arial"/>
                <w:b/>
                <w:bCs/>
                <w:spacing w:val="-3"/>
                <w:sz w:val="20"/>
                <w:szCs w:val="20"/>
              </w:rPr>
            </w:pPr>
            <w:r w:rsidRPr="009C5096">
              <w:rPr>
                <w:rFonts w:ascii="Arial" w:hAnsi="Arial" w:cs="Arial"/>
                <w:b/>
                <w:bCs/>
                <w:spacing w:val="-3"/>
                <w:sz w:val="20"/>
                <w:szCs w:val="20"/>
              </w:rPr>
              <w:t>2012</w:t>
            </w:r>
          </w:p>
        </w:tc>
        <w:tc>
          <w:tcPr>
            <w:tcW w:w="493" w:type="pct"/>
          </w:tcPr>
          <w:p w:rsidR="003136C5" w:rsidRPr="009C5096" w:rsidRDefault="003136C5" w:rsidP="00612896">
            <w:pPr>
              <w:widowControl w:val="0"/>
              <w:autoSpaceDE w:val="0"/>
              <w:autoSpaceDN w:val="0"/>
              <w:adjustRightInd w:val="0"/>
              <w:jc w:val="center"/>
              <w:rPr>
                <w:rFonts w:ascii="Arial" w:hAnsi="Arial" w:cs="Arial"/>
                <w:b/>
                <w:bCs/>
                <w:spacing w:val="-3"/>
                <w:sz w:val="20"/>
                <w:szCs w:val="20"/>
              </w:rPr>
            </w:pPr>
            <w:r w:rsidRPr="009C5096">
              <w:rPr>
                <w:rFonts w:ascii="Arial" w:hAnsi="Arial" w:cs="Arial"/>
                <w:b/>
                <w:bCs/>
                <w:spacing w:val="-3"/>
                <w:sz w:val="20"/>
                <w:szCs w:val="20"/>
              </w:rPr>
              <w:t>2013</w:t>
            </w:r>
          </w:p>
        </w:tc>
        <w:tc>
          <w:tcPr>
            <w:tcW w:w="547" w:type="pct"/>
          </w:tcPr>
          <w:p w:rsidR="003136C5" w:rsidRPr="009C5096" w:rsidRDefault="003136C5" w:rsidP="00612896">
            <w:pPr>
              <w:widowControl w:val="0"/>
              <w:autoSpaceDE w:val="0"/>
              <w:autoSpaceDN w:val="0"/>
              <w:adjustRightInd w:val="0"/>
              <w:jc w:val="center"/>
              <w:rPr>
                <w:rFonts w:ascii="Arial" w:hAnsi="Arial" w:cs="Arial"/>
                <w:b/>
                <w:bCs/>
                <w:spacing w:val="-3"/>
                <w:sz w:val="20"/>
                <w:szCs w:val="20"/>
              </w:rPr>
            </w:pPr>
            <w:r w:rsidRPr="009C5096">
              <w:rPr>
                <w:rFonts w:ascii="Arial" w:hAnsi="Arial" w:cs="Arial"/>
                <w:b/>
                <w:bCs/>
                <w:spacing w:val="-3"/>
                <w:sz w:val="20"/>
                <w:szCs w:val="20"/>
              </w:rPr>
              <w:t>2014</w:t>
            </w:r>
          </w:p>
        </w:tc>
        <w:tc>
          <w:tcPr>
            <w:tcW w:w="561" w:type="pct"/>
          </w:tcPr>
          <w:p w:rsidR="003136C5" w:rsidRPr="009C5096" w:rsidRDefault="003136C5" w:rsidP="00612896">
            <w:pPr>
              <w:widowControl w:val="0"/>
              <w:autoSpaceDE w:val="0"/>
              <w:autoSpaceDN w:val="0"/>
              <w:adjustRightInd w:val="0"/>
              <w:jc w:val="center"/>
              <w:rPr>
                <w:rFonts w:ascii="Arial" w:hAnsi="Arial" w:cs="Arial"/>
                <w:b/>
                <w:bCs/>
                <w:spacing w:val="-3"/>
                <w:sz w:val="20"/>
                <w:szCs w:val="20"/>
              </w:rPr>
            </w:pPr>
            <w:r w:rsidRPr="009C5096">
              <w:rPr>
                <w:rFonts w:ascii="Arial" w:hAnsi="Arial" w:cs="Arial"/>
                <w:b/>
                <w:bCs/>
                <w:spacing w:val="-3"/>
                <w:sz w:val="20"/>
                <w:szCs w:val="20"/>
              </w:rPr>
              <w:t>2015</w:t>
            </w:r>
          </w:p>
        </w:tc>
        <w:tc>
          <w:tcPr>
            <w:tcW w:w="503" w:type="pct"/>
          </w:tcPr>
          <w:p w:rsidR="003136C5" w:rsidRPr="009C5096" w:rsidRDefault="003136C5" w:rsidP="00612896">
            <w:pPr>
              <w:widowControl w:val="0"/>
              <w:autoSpaceDE w:val="0"/>
              <w:autoSpaceDN w:val="0"/>
              <w:adjustRightInd w:val="0"/>
              <w:jc w:val="center"/>
              <w:rPr>
                <w:rFonts w:ascii="Arial" w:hAnsi="Arial" w:cs="Arial"/>
                <w:b/>
                <w:bCs/>
                <w:spacing w:val="-3"/>
                <w:sz w:val="20"/>
                <w:szCs w:val="20"/>
              </w:rPr>
            </w:pPr>
            <w:r w:rsidRPr="009C5096">
              <w:rPr>
                <w:rFonts w:ascii="Arial" w:hAnsi="Arial" w:cs="Arial"/>
                <w:b/>
                <w:bCs/>
                <w:spacing w:val="-3"/>
                <w:sz w:val="20"/>
                <w:szCs w:val="20"/>
              </w:rPr>
              <w:t>2016</w:t>
            </w:r>
          </w:p>
        </w:tc>
        <w:tc>
          <w:tcPr>
            <w:tcW w:w="541" w:type="pct"/>
          </w:tcPr>
          <w:p w:rsidR="003136C5" w:rsidRPr="009C5096" w:rsidRDefault="003136C5" w:rsidP="00612896">
            <w:pPr>
              <w:widowControl w:val="0"/>
              <w:autoSpaceDE w:val="0"/>
              <w:autoSpaceDN w:val="0"/>
              <w:adjustRightInd w:val="0"/>
              <w:jc w:val="center"/>
              <w:rPr>
                <w:rFonts w:ascii="Arial" w:hAnsi="Arial" w:cs="Arial"/>
                <w:b/>
                <w:bCs/>
                <w:spacing w:val="-3"/>
                <w:sz w:val="20"/>
                <w:szCs w:val="20"/>
              </w:rPr>
            </w:pPr>
            <w:r w:rsidRPr="009C5096">
              <w:rPr>
                <w:rFonts w:ascii="Arial" w:hAnsi="Arial" w:cs="Arial"/>
                <w:b/>
                <w:bCs/>
                <w:spacing w:val="-3"/>
                <w:sz w:val="20"/>
                <w:szCs w:val="20"/>
              </w:rPr>
              <w:t>2017</w:t>
            </w:r>
          </w:p>
        </w:tc>
      </w:tr>
      <w:tr w:rsidR="003136C5" w:rsidRPr="009C5096" w:rsidTr="00612896">
        <w:trPr>
          <w:trHeight w:val="251"/>
        </w:trPr>
        <w:tc>
          <w:tcPr>
            <w:tcW w:w="1851" w:type="pct"/>
            <w:vAlign w:val="bottom"/>
          </w:tcPr>
          <w:p w:rsidR="003136C5" w:rsidRPr="009C5096" w:rsidRDefault="003136C5" w:rsidP="00612896">
            <w:pPr>
              <w:rPr>
                <w:rFonts w:ascii="Arial" w:hAnsi="Arial" w:cs="Arial"/>
                <w:sz w:val="20"/>
                <w:szCs w:val="20"/>
              </w:rPr>
            </w:pPr>
            <w:r w:rsidRPr="009C5096">
              <w:rPr>
                <w:rFonts w:ascii="Arial" w:hAnsi="Arial" w:cs="Arial"/>
                <w:sz w:val="20"/>
                <w:szCs w:val="20"/>
              </w:rPr>
              <w:t>Agricultural land</w:t>
            </w:r>
          </w:p>
        </w:tc>
        <w:tc>
          <w:tcPr>
            <w:tcW w:w="504" w:type="pct"/>
            <w:vAlign w:val="center"/>
          </w:tcPr>
          <w:p w:rsidR="003136C5" w:rsidRPr="009C5096" w:rsidRDefault="003136C5" w:rsidP="009C5096">
            <w:pPr>
              <w:jc w:val="right"/>
              <w:rPr>
                <w:rFonts w:ascii="Arial" w:hAnsi="Arial" w:cs="Arial"/>
                <w:sz w:val="20"/>
                <w:szCs w:val="20"/>
              </w:rPr>
            </w:pPr>
            <w:r w:rsidRPr="009C5096">
              <w:rPr>
                <w:rFonts w:ascii="Arial" w:hAnsi="Arial" w:cs="Arial"/>
                <w:sz w:val="20"/>
                <w:szCs w:val="20"/>
              </w:rPr>
              <w:t>1</w:t>
            </w:r>
            <w:r w:rsidR="009C5096">
              <w:rPr>
                <w:rFonts w:ascii="Arial" w:hAnsi="Arial" w:cs="Arial"/>
                <w:sz w:val="20"/>
                <w:szCs w:val="20"/>
              </w:rPr>
              <w:t>,</w:t>
            </w:r>
            <w:r w:rsidRPr="009C5096">
              <w:rPr>
                <w:rFonts w:ascii="Arial" w:hAnsi="Arial" w:cs="Arial"/>
                <w:sz w:val="20"/>
                <w:szCs w:val="20"/>
              </w:rPr>
              <w:t>268</w:t>
            </w:r>
          </w:p>
        </w:tc>
        <w:tc>
          <w:tcPr>
            <w:tcW w:w="493" w:type="pct"/>
            <w:vAlign w:val="center"/>
          </w:tcPr>
          <w:p w:rsidR="003136C5" w:rsidRPr="009C5096" w:rsidRDefault="003136C5" w:rsidP="009C5096">
            <w:pPr>
              <w:jc w:val="right"/>
              <w:rPr>
                <w:rFonts w:ascii="Arial" w:hAnsi="Arial" w:cs="Arial"/>
                <w:sz w:val="20"/>
                <w:szCs w:val="20"/>
              </w:rPr>
            </w:pPr>
            <w:r w:rsidRPr="009C5096">
              <w:rPr>
                <w:rFonts w:ascii="Arial" w:hAnsi="Arial" w:cs="Arial"/>
                <w:sz w:val="20"/>
                <w:szCs w:val="20"/>
              </w:rPr>
              <w:t>1</w:t>
            </w:r>
            <w:r w:rsidR="009C5096">
              <w:rPr>
                <w:rFonts w:ascii="Arial" w:hAnsi="Arial" w:cs="Arial"/>
                <w:sz w:val="20"/>
                <w:szCs w:val="20"/>
              </w:rPr>
              <w:t>,</w:t>
            </w:r>
            <w:r w:rsidRPr="009C5096">
              <w:rPr>
                <w:rFonts w:ascii="Arial" w:hAnsi="Arial" w:cs="Arial"/>
                <w:sz w:val="20"/>
                <w:szCs w:val="20"/>
              </w:rPr>
              <w:t>261</w:t>
            </w:r>
          </w:p>
        </w:tc>
        <w:tc>
          <w:tcPr>
            <w:tcW w:w="547" w:type="pct"/>
          </w:tcPr>
          <w:p w:rsidR="003136C5" w:rsidRPr="009C5096" w:rsidRDefault="003136C5" w:rsidP="009C5096">
            <w:pPr>
              <w:jc w:val="right"/>
              <w:rPr>
                <w:rFonts w:ascii="Arial" w:hAnsi="Arial" w:cs="Arial"/>
                <w:sz w:val="20"/>
                <w:szCs w:val="20"/>
              </w:rPr>
            </w:pPr>
            <w:r w:rsidRPr="009C5096">
              <w:rPr>
                <w:rFonts w:ascii="Arial" w:hAnsi="Arial" w:cs="Arial"/>
                <w:sz w:val="20"/>
                <w:szCs w:val="20"/>
              </w:rPr>
              <w:t>1</w:t>
            </w:r>
            <w:r w:rsidR="009C5096">
              <w:rPr>
                <w:rFonts w:ascii="Arial" w:hAnsi="Arial" w:cs="Arial"/>
                <w:sz w:val="20"/>
                <w:szCs w:val="20"/>
              </w:rPr>
              <w:t>,</w:t>
            </w:r>
            <w:r w:rsidRPr="009C5096">
              <w:rPr>
                <w:rFonts w:ascii="Arial" w:hAnsi="Arial" w:cs="Arial"/>
                <w:sz w:val="20"/>
                <w:szCs w:val="20"/>
              </w:rPr>
              <w:t>263</w:t>
            </w:r>
          </w:p>
        </w:tc>
        <w:tc>
          <w:tcPr>
            <w:tcW w:w="561" w:type="pct"/>
          </w:tcPr>
          <w:p w:rsidR="003136C5" w:rsidRPr="009C5096" w:rsidRDefault="003136C5" w:rsidP="009C5096">
            <w:pPr>
              <w:jc w:val="right"/>
              <w:rPr>
                <w:rFonts w:ascii="Arial" w:hAnsi="Arial" w:cs="Arial"/>
                <w:sz w:val="20"/>
                <w:szCs w:val="20"/>
              </w:rPr>
            </w:pPr>
            <w:r w:rsidRPr="009C5096">
              <w:rPr>
                <w:rFonts w:ascii="Arial" w:eastAsia="Calibri" w:hAnsi="Arial" w:cs="Arial"/>
                <w:sz w:val="20"/>
                <w:szCs w:val="20"/>
              </w:rPr>
              <w:t>1</w:t>
            </w:r>
            <w:r w:rsidR="009C5096">
              <w:rPr>
                <w:rFonts w:ascii="Arial" w:eastAsia="Calibri" w:hAnsi="Arial" w:cs="Arial"/>
                <w:sz w:val="20"/>
                <w:szCs w:val="20"/>
              </w:rPr>
              <w:t>,</w:t>
            </w:r>
            <w:r w:rsidRPr="009C5096">
              <w:rPr>
                <w:rFonts w:ascii="Arial" w:eastAsia="Calibri" w:hAnsi="Arial" w:cs="Arial"/>
                <w:sz w:val="20"/>
                <w:szCs w:val="20"/>
              </w:rPr>
              <w:t>264</w:t>
            </w:r>
          </w:p>
        </w:tc>
        <w:tc>
          <w:tcPr>
            <w:tcW w:w="503" w:type="pct"/>
            <w:vAlign w:val="center"/>
          </w:tcPr>
          <w:p w:rsidR="003136C5" w:rsidRPr="009C5096" w:rsidRDefault="003136C5" w:rsidP="009C5096">
            <w:pPr>
              <w:jc w:val="right"/>
              <w:rPr>
                <w:rFonts w:ascii="Arial" w:hAnsi="Arial" w:cs="Arial"/>
                <w:sz w:val="20"/>
                <w:szCs w:val="20"/>
              </w:rPr>
            </w:pPr>
            <w:r w:rsidRPr="009C5096">
              <w:rPr>
                <w:rFonts w:ascii="Arial" w:hAnsi="Arial" w:cs="Arial"/>
                <w:sz w:val="20"/>
                <w:szCs w:val="20"/>
              </w:rPr>
              <w:t>1</w:t>
            </w:r>
            <w:r w:rsidR="009C5096">
              <w:rPr>
                <w:rFonts w:ascii="Arial" w:hAnsi="Arial" w:cs="Arial"/>
                <w:sz w:val="20"/>
                <w:szCs w:val="20"/>
              </w:rPr>
              <w:t>,</w:t>
            </w:r>
            <w:r w:rsidRPr="009C5096">
              <w:rPr>
                <w:rFonts w:ascii="Arial" w:hAnsi="Arial" w:cs="Arial"/>
                <w:sz w:val="20"/>
                <w:szCs w:val="20"/>
              </w:rPr>
              <w:t>267</w:t>
            </w:r>
          </w:p>
        </w:tc>
        <w:tc>
          <w:tcPr>
            <w:tcW w:w="541" w:type="pct"/>
            <w:vAlign w:val="center"/>
          </w:tcPr>
          <w:p w:rsidR="003136C5" w:rsidRPr="009C5096" w:rsidRDefault="003136C5" w:rsidP="009C5096">
            <w:pPr>
              <w:jc w:val="right"/>
              <w:rPr>
                <w:rFonts w:ascii="Arial" w:hAnsi="Arial" w:cs="Arial"/>
                <w:sz w:val="20"/>
                <w:szCs w:val="20"/>
              </w:rPr>
            </w:pPr>
            <w:r w:rsidRPr="009C5096">
              <w:rPr>
                <w:rFonts w:ascii="Arial" w:hAnsi="Arial" w:cs="Arial"/>
                <w:sz w:val="20"/>
                <w:szCs w:val="20"/>
              </w:rPr>
              <w:t>1</w:t>
            </w:r>
            <w:r w:rsidR="009C5096">
              <w:rPr>
                <w:rFonts w:ascii="Arial" w:hAnsi="Arial" w:cs="Arial"/>
                <w:sz w:val="20"/>
                <w:szCs w:val="20"/>
              </w:rPr>
              <w:t>,</w:t>
            </w:r>
            <w:r w:rsidRPr="009C5096">
              <w:rPr>
                <w:rFonts w:ascii="Arial" w:hAnsi="Arial" w:cs="Arial"/>
                <w:sz w:val="20"/>
                <w:szCs w:val="20"/>
              </w:rPr>
              <w:t>266</w:t>
            </w:r>
          </w:p>
        </w:tc>
      </w:tr>
      <w:tr w:rsidR="003136C5" w:rsidRPr="009C5096" w:rsidTr="00612896">
        <w:trPr>
          <w:trHeight w:val="251"/>
        </w:trPr>
        <w:tc>
          <w:tcPr>
            <w:tcW w:w="1851" w:type="pct"/>
            <w:vAlign w:val="bottom"/>
          </w:tcPr>
          <w:p w:rsidR="003136C5" w:rsidRPr="009C5096" w:rsidRDefault="003136C5" w:rsidP="003136C5">
            <w:pPr>
              <w:pStyle w:val="ListParagraph"/>
              <w:numPr>
                <w:ilvl w:val="0"/>
                <w:numId w:val="5"/>
              </w:numPr>
              <w:contextualSpacing/>
              <w:rPr>
                <w:rFonts w:ascii="Arial" w:hAnsi="Arial" w:cs="Arial"/>
                <w:sz w:val="20"/>
                <w:szCs w:val="20"/>
              </w:rPr>
            </w:pPr>
            <w:r w:rsidRPr="009C5096">
              <w:rPr>
                <w:rFonts w:ascii="Arial" w:hAnsi="Arial" w:cs="Arial"/>
                <w:sz w:val="20"/>
                <w:szCs w:val="20"/>
              </w:rPr>
              <w:t>Cultivated land</w:t>
            </w:r>
          </w:p>
        </w:tc>
        <w:tc>
          <w:tcPr>
            <w:tcW w:w="504"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510</w:t>
            </w:r>
          </w:p>
        </w:tc>
        <w:tc>
          <w:tcPr>
            <w:tcW w:w="493"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509</w:t>
            </w:r>
          </w:p>
        </w:tc>
        <w:tc>
          <w:tcPr>
            <w:tcW w:w="547" w:type="pct"/>
          </w:tcPr>
          <w:p w:rsidR="003136C5" w:rsidRPr="009C5096" w:rsidRDefault="003136C5" w:rsidP="00612896">
            <w:pPr>
              <w:jc w:val="right"/>
              <w:rPr>
                <w:rFonts w:ascii="Arial" w:hAnsi="Arial" w:cs="Arial"/>
                <w:sz w:val="20"/>
                <w:szCs w:val="20"/>
              </w:rPr>
            </w:pPr>
            <w:r w:rsidRPr="009C5096">
              <w:rPr>
                <w:rFonts w:ascii="Arial" w:hAnsi="Arial" w:cs="Arial"/>
                <w:sz w:val="20"/>
                <w:szCs w:val="20"/>
              </w:rPr>
              <w:t>511</w:t>
            </w:r>
          </w:p>
        </w:tc>
        <w:tc>
          <w:tcPr>
            <w:tcW w:w="561" w:type="pct"/>
          </w:tcPr>
          <w:p w:rsidR="003136C5" w:rsidRPr="009C5096" w:rsidRDefault="003136C5" w:rsidP="00612896">
            <w:pPr>
              <w:jc w:val="right"/>
              <w:rPr>
                <w:rFonts w:ascii="Arial" w:hAnsi="Arial" w:cs="Arial"/>
                <w:sz w:val="20"/>
                <w:szCs w:val="20"/>
              </w:rPr>
            </w:pPr>
            <w:r w:rsidRPr="009C5096">
              <w:rPr>
                <w:rFonts w:ascii="Arial" w:eastAsia="Calibri" w:hAnsi="Arial" w:cs="Arial"/>
                <w:sz w:val="20"/>
                <w:szCs w:val="20"/>
              </w:rPr>
              <w:t>514</w:t>
            </w:r>
          </w:p>
        </w:tc>
        <w:tc>
          <w:tcPr>
            <w:tcW w:w="503"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516</w:t>
            </w:r>
          </w:p>
        </w:tc>
        <w:tc>
          <w:tcPr>
            <w:tcW w:w="541"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517</w:t>
            </w:r>
          </w:p>
        </w:tc>
      </w:tr>
      <w:tr w:rsidR="003136C5" w:rsidRPr="009C5096" w:rsidTr="00612896">
        <w:trPr>
          <w:trHeight w:val="251"/>
        </w:trPr>
        <w:tc>
          <w:tcPr>
            <w:tcW w:w="1851" w:type="pct"/>
            <w:vAlign w:val="bottom"/>
          </w:tcPr>
          <w:p w:rsidR="003136C5" w:rsidRPr="009C5096" w:rsidRDefault="003136C5" w:rsidP="003136C5">
            <w:pPr>
              <w:pStyle w:val="ListParagraph"/>
              <w:numPr>
                <w:ilvl w:val="0"/>
                <w:numId w:val="5"/>
              </w:numPr>
              <w:contextualSpacing/>
              <w:rPr>
                <w:rFonts w:ascii="Arial" w:hAnsi="Arial" w:cs="Arial"/>
                <w:sz w:val="20"/>
                <w:szCs w:val="20"/>
              </w:rPr>
            </w:pPr>
            <w:r w:rsidRPr="009C5096">
              <w:rPr>
                <w:rFonts w:ascii="Arial" w:hAnsi="Arial" w:cs="Arial"/>
                <w:sz w:val="20"/>
                <w:szCs w:val="20"/>
              </w:rPr>
              <w:t>Arable land and gardens</w:t>
            </w:r>
          </w:p>
        </w:tc>
        <w:tc>
          <w:tcPr>
            <w:tcW w:w="504"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414</w:t>
            </w:r>
          </w:p>
        </w:tc>
        <w:tc>
          <w:tcPr>
            <w:tcW w:w="493"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413</w:t>
            </w:r>
          </w:p>
        </w:tc>
        <w:tc>
          <w:tcPr>
            <w:tcW w:w="547" w:type="pct"/>
          </w:tcPr>
          <w:p w:rsidR="003136C5" w:rsidRPr="009C5096" w:rsidRDefault="003136C5" w:rsidP="00612896">
            <w:pPr>
              <w:jc w:val="right"/>
              <w:rPr>
                <w:rFonts w:ascii="Arial" w:hAnsi="Arial" w:cs="Arial"/>
                <w:sz w:val="20"/>
                <w:szCs w:val="20"/>
              </w:rPr>
            </w:pPr>
            <w:r w:rsidRPr="009C5096">
              <w:rPr>
                <w:rFonts w:ascii="Arial" w:hAnsi="Arial" w:cs="Arial"/>
                <w:sz w:val="20"/>
                <w:szCs w:val="20"/>
              </w:rPr>
              <w:t>413</w:t>
            </w:r>
          </w:p>
        </w:tc>
        <w:tc>
          <w:tcPr>
            <w:tcW w:w="561" w:type="pct"/>
          </w:tcPr>
          <w:p w:rsidR="003136C5" w:rsidRPr="009C5096" w:rsidRDefault="003136C5" w:rsidP="00612896">
            <w:pPr>
              <w:jc w:val="right"/>
              <w:rPr>
                <w:rFonts w:ascii="Arial" w:hAnsi="Arial" w:cs="Arial"/>
                <w:sz w:val="20"/>
                <w:szCs w:val="20"/>
              </w:rPr>
            </w:pPr>
            <w:r w:rsidRPr="009C5096">
              <w:rPr>
                <w:rFonts w:ascii="Arial" w:eastAsia="Calibri" w:hAnsi="Arial" w:cs="Arial"/>
                <w:sz w:val="20"/>
                <w:szCs w:val="20"/>
              </w:rPr>
              <w:t>415</w:t>
            </w:r>
          </w:p>
        </w:tc>
        <w:tc>
          <w:tcPr>
            <w:tcW w:w="503"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417</w:t>
            </w:r>
          </w:p>
        </w:tc>
        <w:tc>
          <w:tcPr>
            <w:tcW w:w="541"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417</w:t>
            </w:r>
          </w:p>
        </w:tc>
      </w:tr>
      <w:tr w:rsidR="003136C5" w:rsidRPr="009C5096" w:rsidTr="00612896">
        <w:trPr>
          <w:trHeight w:val="251"/>
        </w:trPr>
        <w:tc>
          <w:tcPr>
            <w:tcW w:w="1851" w:type="pct"/>
            <w:vAlign w:val="bottom"/>
          </w:tcPr>
          <w:p w:rsidR="003136C5" w:rsidRPr="009C5096" w:rsidRDefault="003136C5" w:rsidP="003136C5">
            <w:pPr>
              <w:pStyle w:val="ListParagraph"/>
              <w:numPr>
                <w:ilvl w:val="0"/>
                <w:numId w:val="5"/>
              </w:numPr>
              <w:contextualSpacing/>
              <w:rPr>
                <w:rFonts w:ascii="Arial" w:hAnsi="Arial" w:cs="Arial"/>
                <w:sz w:val="20"/>
                <w:szCs w:val="20"/>
              </w:rPr>
            </w:pPr>
            <w:r w:rsidRPr="009C5096">
              <w:rPr>
                <w:rFonts w:ascii="Arial" w:hAnsi="Arial" w:cs="Arial"/>
                <w:sz w:val="20"/>
                <w:szCs w:val="20"/>
              </w:rPr>
              <w:t>Orchards</w:t>
            </w:r>
          </w:p>
        </w:tc>
        <w:tc>
          <w:tcPr>
            <w:tcW w:w="504"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15</w:t>
            </w:r>
          </w:p>
        </w:tc>
        <w:tc>
          <w:tcPr>
            <w:tcW w:w="493"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15</w:t>
            </w:r>
          </w:p>
        </w:tc>
        <w:tc>
          <w:tcPr>
            <w:tcW w:w="547" w:type="pct"/>
          </w:tcPr>
          <w:p w:rsidR="003136C5" w:rsidRPr="009C5096" w:rsidRDefault="003136C5" w:rsidP="00612896">
            <w:pPr>
              <w:jc w:val="right"/>
              <w:rPr>
                <w:rFonts w:ascii="Arial" w:hAnsi="Arial" w:cs="Arial"/>
                <w:sz w:val="20"/>
                <w:szCs w:val="20"/>
              </w:rPr>
            </w:pPr>
            <w:r w:rsidRPr="009C5096">
              <w:rPr>
                <w:rFonts w:ascii="Arial" w:hAnsi="Arial" w:cs="Arial"/>
                <w:sz w:val="20"/>
                <w:szCs w:val="20"/>
              </w:rPr>
              <w:t>15</w:t>
            </w:r>
          </w:p>
        </w:tc>
        <w:tc>
          <w:tcPr>
            <w:tcW w:w="561" w:type="pct"/>
          </w:tcPr>
          <w:p w:rsidR="003136C5" w:rsidRPr="009C5096" w:rsidRDefault="003136C5" w:rsidP="00612896">
            <w:pPr>
              <w:jc w:val="right"/>
              <w:rPr>
                <w:rFonts w:ascii="Arial" w:hAnsi="Arial" w:cs="Arial"/>
                <w:sz w:val="20"/>
                <w:szCs w:val="20"/>
              </w:rPr>
            </w:pPr>
            <w:r w:rsidRPr="009C5096">
              <w:rPr>
                <w:rFonts w:ascii="Arial" w:eastAsia="Calibri" w:hAnsi="Arial" w:cs="Arial"/>
                <w:sz w:val="20"/>
                <w:szCs w:val="20"/>
              </w:rPr>
              <w:t>16</w:t>
            </w:r>
          </w:p>
        </w:tc>
        <w:tc>
          <w:tcPr>
            <w:tcW w:w="503"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16</w:t>
            </w:r>
          </w:p>
        </w:tc>
        <w:tc>
          <w:tcPr>
            <w:tcW w:w="541"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16</w:t>
            </w:r>
          </w:p>
        </w:tc>
      </w:tr>
      <w:tr w:rsidR="003136C5" w:rsidRPr="009C5096" w:rsidTr="00612896">
        <w:trPr>
          <w:trHeight w:val="238"/>
        </w:trPr>
        <w:tc>
          <w:tcPr>
            <w:tcW w:w="1851" w:type="pct"/>
            <w:vAlign w:val="bottom"/>
          </w:tcPr>
          <w:p w:rsidR="003136C5" w:rsidRPr="009C5096" w:rsidRDefault="003136C5" w:rsidP="003136C5">
            <w:pPr>
              <w:pStyle w:val="ListParagraph"/>
              <w:numPr>
                <w:ilvl w:val="0"/>
                <w:numId w:val="5"/>
              </w:numPr>
              <w:contextualSpacing/>
              <w:rPr>
                <w:rFonts w:ascii="Arial" w:hAnsi="Arial" w:cs="Arial"/>
                <w:sz w:val="20"/>
                <w:szCs w:val="20"/>
              </w:rPr>
            </w:pPr>
            <w:r w:rsidRPr="009C5096">
              <w:rPr>
                <w:rFonts w:ascii="Arial" w:hAnsi="Arial" w:cs="Arial"/>
                <w:sz w:val="20"/>
                <w:szCs w:val="20"/>
              </w:rPr>
              <w:t>Vineyards</w:t>
            </w:r>
          </w:p>
        </w:tc>
        <w:tc>
          <w:tcPr>
            <w:tcW w:w="504"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21</w:t>
            </w:r>
          </w:p>
        </w:tc>
        <w:tc>
          <w:tcPr>
            <w:tcW w:w="493"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22</w:t>
            </w:r>
          </w:p>
        </w:tc>
        <w:tc>
          <w:tcPr>
            <w:tcW w:w="547" w:type="pct"/>
          </w:tcPr>
          <w:p w:rsidR="003136C5" w:rsidRPr="009C5096" w:rsidRDefault="003136C5" w:rsidP="00612896">
            <w:pPr>
              <w:jc w:val="right"/>
              <w:rPr>
                <w:rFonts w:ascii="Arial" w:hAnsi="Arial" w:cs="Arial"/>
                <w:sz w:val="20"/>
                <w:szCs w:val="20"/>
              </w:rPr>
            </w:pPr>
            <w:r w:rsidRPr="009C5096">
              <w:rPr>
                <w:rFonts w:ascii="Arial" w:hAnsi="Arial" w:cs="Arial"/>
                <w:sz w:val="20"/>
                <w:szCs w:val="20"/>
              </w:rPr>
              <w:t>23</w:t>
            </w:r>
          </w:p>
        </w:tc>
        <w:tc>
          <w:tcPr>
            <w:tcW w:w="561" w:type="pct"/>
          </w:tcPr>
          <w:p w:rsidR="003136C5" w:rsidRPr="009C5096" w:rsidRDefault="003136C5" w:rsidP="00612896">
            <w:pPr>
              <w:jc w:val="right"/>
              <w:rPr>
                <w:rFonts w:ascii="Arial" w:hAnsi="Arial" w:cs="Arial"/>
                <w:sz w:val="20"/>
                <w:szCs w:val="20"/>
              </w:rPr>
            </w:pPr>
            <w:r w:rsidRPr="009C5096">
              <w:rPr>
                <w:rFonts w:ascii="Arial" w:eastAsia="Calibri" w:hAnsi="Arial" w:cs="Arial"/>
                <w:sz w:val="20"/>
                <w:szCs w:val="20"/>
              </w:rPr>
              <w:t>23</w:t>
            </w:r>
          </w:p>
        </w:tc>
        <w:tc>
          <w:tcPr>
            <w:tcW w:w="503"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24</w:t>
            </w:r>
          </w:p>
        </w:tc>
        <w:tc>
          <w:tcPr>
            <w:tcW w:w="541"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24</w:t>
            </w:r>
          </w:p>
        </w:tc>
      </w:tr>
      <w:tr w:rsidR="003136C5" w:rsidRPr="009C5096" w:rsidTr="00612896">
        <w:trPr>
          <w:trHeight w:val="251"/>
        </w:trPr>
        <w:tc>
          <w:tcPr>
            <w:tcW w:w="1851" w:type="pct"/>
            <w:vAlign w:val="bottom"/>
          </w:tcPr>
          <w:p w:rsidR="003136C5" w:rsidRPr="009C5096" w:rsidRDefault="003136C5" w:rsidP="003136C5">
            <w:pPr>
              <w:pStyle w:val="ListParagraph"/>
              <w:numPr>
                <w:ilvl w:val="0"/>
                <w:numId w:val="5"/>
              </w:numPr>
              <w:contextualSpacing/>
              <w:rPr>
                <w:rFonts w:ascii="Arial" w:hAnsi="Arial" w:cs="Arial"/>
                <w:sz w:val="20"/>
                <w:szCs w:val="20"/>
              </w:rPr>
            </w:pPr>
            <w:r w:rsidRPr="009C5096">
              <w:rPr>
                <w:rFonts w:ascii="Arial" w:hAnsi="Arial" w:cs="Arial"/>
                <w:sz w:val="20"/>
                <w:szCs w:val="20"/>
              </w:rPr>
              <w:t>Meadows</w:t>
            </w:r>
          </w:p>
        </w:tc>
        <w:tc>
          <w:tcPr>
            <w:tcW w:w="504"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60</w:t>
            </w:r>
          </w:p>
        </w:tc>
        <w:tc>
          <w:tcPr>
            <w:tcW w:w="493"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59</w:t>
            </w:r>
          </w:p>
        </w:tc>
        <w:tc>
          <w:tcPr>
            <w:tcW w:w="547" w:type="pct"/>
          </w:tcPr>
          <w:p w:rsidR="003136C5" w:rsidRPr="009C5096" w:rsidRDefault="003136C5" w:rsidP="00612896">
            <w:pPr>
              <w:jc w:val="right"/>
              <w:rPr>
                <w:rFonts w:ascii="Arial" w:hAnsi="Arial" w:cs="Arial"/>
                <w:sz w:val="20"/>
                <w:szCs w:val="20"/>
              </w:rPr>
            </w:pPr>
            <w:r w:rsidRPr="009C5096">
              <w:rPr>
                <w:rFonts w:ascii="Arial" w:hAnsi="Arial" w:cs="Arial"/>
                <w:sz w:val="20"/>
                <w:szCs w:val="20"/>
              </w:rPr>
              <w:t>60</w:t>
            </w:r>
          </w:p>
        </w:tc>
        <w:tc>
          <w:tcPr>
            <w:tcW w:w="561" w:type="pct"/>
          </w:tcPr>
          <w:p w:rsidR="003136C5" w:rsidRPr="009C5096" w:rsidRDefault="003136C5" w:rsidP="00612896">
            <w:pPr>
              <w:jc w:val="right"/>
              <w:rPr>
                <w:rFonts w:ascii="Arial" w:hAnsi="Arial" w:cs="Arial"/>
                <w:sz w:val="20"/>
                <w:szCs w:val="20"/>
              </w:rPr>
            </w:pPr>
            <w:r w:rsidRPr="009C5096">
              <w:rPr>
                <w:rFonts w:ascii="Arial" w:eastAsia="Calibri" w:hAnsi="Arial" w:cs="Arial"/>
                <w:sz w:val="20"/>
                <w:szCs w:val="20"/>
              </w:rPr>
              <w:t>60</w:t>
            </w:r>
          </w:p>
        </w:tc>
        <w:tc>
          <w:tcPr>
            <w:tcW w:w="503"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59</w:t>
            </w:r>
          </w:p>
        </w:tc>
        <w:tc>
          <w:tcPr>
            <w:tcW w:w="541"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60</w:t>
            </w:r>
          </w:p>
        </w:tc>
      </w:tr>
      <w:tr w:rsidR="003136C5" w:rsidRPr="009C5096" w:rsidTr="00612896">
        <w:trPr>
          <w:trHeight w:val="251"/>
        </w:trPr>
        <w:tc>
          <w:tcPr>
            <w:tcW w:w="1851" w:type="pct"/>
            <w:vAlign w:val="bottom"/>
          </w:tcPr>
          <w:p w:rsidR="003136C5" w:rsidRPr="009C5096" w:rsidRDefault="003136C5" w:rsidP="00612896">
            <w:pPr>
              <w:rPr>
                <w:rFonts w:ascii="Arial" w:hAnsi="Arial" w:cs="Arial"/>
                <w:sz w:val="20"/>
                <w:szCs w:val="20"/>
              </w:rPr>
            </w:pPr>
            <w:r w:rsidRPr="009C5096">
              <w:rPr>
                <w:rFonts w:ascii="Arial" w:hAnsi="Arial" w:cs="Arial"/>
                <w:sz w:val="20"/>
                <w:szCs w:val="20"/>
              </w:rPr>
              <w:t>Pastures</w:t>
            </w:r>
          </w:p>
        </w:tc>
        <w:tc>
          <w:tcPr>
            <w:tcW w:w="504"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757</w:t>
            </w:r>
          </w:p>
        </w:tc>
        <w:tc>
          <w:tcPr>
            <w:tcW w:w="493"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751</w:t>
            </w:r>
          </w:p>
        </w:tc>
        <w:tc>
          <w:tcPr>
            <w:tcW w:w="547" w:type="pct"/>
          </w:tcPr>
          <w:p w:rsidR="003136C5" w:rsidRPr="009C5096" w:rsidRDefault="003136C5" w:rsidP="00612896">
            <w:pPr>
              <w:jc w:val="right"/>
              <w:rPr>
                <w:rFonts w:ascii="Arial" w:hAnsi="Arial" w:cs="Arial"/>
                <w:sz w:val="20"/>
                <w:szCs w:val="20"/>
              </w:rPr>
            </w:pPr>
            <w:r w:rsidRPr="009C5096">
              <w:rPr>
                <w:rFonts w:ascii="Arial" w:hAnsi="Arial" w:cs="Arial"/>
                <w:sz w:val="20"/>
                <w:szCs w:val="20"/>
              </w:rPr>
              <w:t>751</w:t>
            </w:r>
          </w:p>
        </w:tc>
        <w:tc>
          <w:tcPr>
            <w:tcW w:w="561" w:type="pct"/>
          </w:tcPr>
          <w:p w:rsidR="003136C5" w:rsidRPr="009C5096" w:rsidRDefault="003136C5" w:rsidP="00612896">
            <w:pPr>
              <w:jc w:val="right"/>
              <w:rPr>
                <w:rFonts w:ascii="Arial" w:hAnsi="Arial" w:cs="Arial"/>
                <w:sz w:val="20"/>
                <w:szCs w:val="20"/>
              </w:rPr>
            </w:pPr>
            <w:r w:rsidRPr="009C5096">
              <w:rPr>
                <w:rFonts w:ascii="Arial" w:eastAsia="Calibri" w:hAnsi="Arial" w:cs="Arial"/>
                <w:sz w:val="20"/>
                <w:szCs w:val="20"/>
              </w:rPr>
              <w:t>750</w:t>
            </w:r>
          </w:p>
        </w:tc>
        <w:tc>
          <w:tcPr>
            <w:tcW w:w="503"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750</w:t>
            </w:r>
          </w:p>
        </w:tc>
        <w:tc>
          <w:tcPr>
            <w:tcW w:w="541"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748</w:t>
            </w:r>
          </w:p>
        </w:tc>
      </w:tr>
      <w:tr w:rsidR="003136C5" w:rsidRPr="009C5096" w:rsidTr="00612896">
        <w:trPr>
          <w:trHeight w:val="251"/>
        </w:trPr>
        <w:tc>
          <w:tcPr>
            <w:tcW w:w="1851" w:type="pct"/>
          </w:tcPr>
          <w:p w:rsidR="003136C5" w:rsidRPr="009C5096" w:rsidRDefault="003136C5" w:rsidP="00612896">
            <w:pPr>
              <w:rPr>
                <w:rFonts w:ascii="Arial" w:hAnsi="Arial" w:cs="Arial"/>
                <w:sz w:val="20"/>
                <w:szCs w:val="20"/>
              </w:rPr>
            </w:pPr>
            <w:r w:rsidRPr="009C5096">
              <w:rPr>
                <w:rFonts w:ascii="Arial" w:hAnsi="Arial" w:cs="Arial"/>
                <w:sz w:val="20"/>
                <w:szCs w:val="20"/>
              </w:rPr>
              <w:t>Ponds, reedbeds and fish ponds</w:t>
            </w:r>
          </w:p>
        </w:tc>
        <w:tc>
          <w:tcPr>
            <w:tcW w:w="504"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1</w:t>
            </w:r>
          </w:p>
        </w:tc>
        <w:tc>
          <w:tcPr>
            <w:tcW w:w="493"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1</w:t>
            </w:r>
          </w:p>
        </w:tc>
        <w:tc>
          <w:tcPr>
            <w:tcW w:w="547"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1</w:t>
            </w:r>
          </w:p>
        </w:tc>
        <w:tc>
          <w:tcPr>
            <w:tcW w:w="561"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1</w:t>
            </w:r>
          </w:p>
        </w:tc>
        <w:tc>
          <w:tcPr>
            <w:tcW w:w="503"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1</w:t>
            </w:r>
          </w:p>
        </w:tc>
        <w:tc>
          <w:tcPr>
            <w:tcW w:w="541" w:type="pct"/>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1</w:t>
            </w:r>
          </w:p>
        </w:tc>
      </w:tr>
    </w:tbl>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rPr>
      </w:pPr>
      <w:r w:rsidRPr="009C5096">
        <w:rPr>
          <w:rFonts w:ascii="Arial" w:hAnsi="Arial" w:cs="Arial"/>
          <w:sz w:val="18"/>
          <w:szCs w:val="18"/>
          <w:lang w:val="en-US"/>
        </w:rPr>
        <w:t>Source: SSO</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There are 178</w:t>
      </w:r>
      <w:r w:rsidR="009C5096">
        <w:rPr>
          <w:rFonts w:ascii="Arial" w:hAnsi="Arial" w:cs="Arial"/>
          <w:sz w:val="22"/>
          <w:szCs w:val="22"/>
          <w:lang w:val="en-US"/>
        </w:rPr>
        <w:t>,</w:t>
      </w:r>
      <w:r w:rsidRPr="009C5096">
        <w:rPr>
          <w:rFonts w:ascii="Arial" w:hAnsi="Arial" w:cs="Arial"/>
          <w:sz w:val="22"/>
          <w:szCs w:val="22"/>
          <w:lang w:val="en-US"/>
        </w:rPr>
        <w:t>125 agricultural holdings in the Republic of North Macedonia. On average, one agricultural holding uses 1</w:t>
      </w:r>
      <w:r w:rsidR="009C5096">
        <w:rPr>
          <w:rFonts w:ascii="Arial" w:hAnsi="Arial" w:cs="Arial"/>
          <w:sz w:val="22"/>
          <w:szCs w:val="22"/>
          <w:lang w:val="en-US"/>
        </w:rPr>
        <w:t>.</w:t>
      </w:r>
      <w:r w:rsidRPr="009C5096">
        <w:rPr>
          <w:rFonts w:ascii="Arial" w:hAnsi="Arial" w:cs="Arial"/>
          <w:sz w:val="22"/>
          <w:szCs w:val="22"/>
          <w:lang w:val="en-US"/>
        </w:rPr>
        <w:t>8 ha of agricultural area and breeds 2</w:t>
      </w:r>
      <w:r w:rsidR="00764319">
        <w:rPr>
          <w:rFonts w:ascii="Arial" w:hAnsi="Arial" w:cs="Arial"/>
          <w:sz w:val="22"/>
          <w:szCs w:val="22"/>
          <w:lang w:val="en-US"/>
        </w:rPr>
        <w:t>.</w:t>
      </w:r>
      <w:r w:rsidRPr="009C5096">
        <w:rPr>
          <w:rFonts w:ascii="Arial" w:hAnsi="Arial" w:cs="Arial"/>
          <w:sz w:val="22"/>
          <w:szCs w:val="22"/>
          <w:lang w:val="en-US"/>
        </w:rPr>
        <w:t xml:space="preserve">1 LSU (livestock units). The total </w:t>
      </w:r>
      <w:r w:rsidR="00764319" w:rsidRPr="009C5096">
        <w:rPr>
          <w:rFonts w:ascii="Arial" w:hAnsi="Arial" w:cs="Arial"/>
          <w:sz w:val="22"/>
          <w:szCs w:val="22"/>
          <w:lang w:val="en-US"/>
        </w:rPr>
        <w:t>utilized</w:t>
      </w:r>
      <w:r w:rsidRPr="009C5096">
        <w:rPr>
          <w:rFonts w:ascii="Arial" w:hAnsi="Arial" w:cs="Arial"/>
          <w:sz w:val="22"/>
          <w:szCs w:val="22"/>
          <w:lang w:val="en-US"/>
        </w:rPr>
        <w:t xml:space="preserve"> agricultural area by agricultural holdings is 320</w:t>
      </w:r>
      <w:r w:rsidR="00764319">
        <w:rPr>
          <w:rFonts w:ascii="Arial" w:hAnsi="Arial" w:cs="Arial"/>
          <w:sz w:val="22"/>
          <w:szCs w:val="22"/>
          <w:lang w:val="en-US"/>
        </w:rPr>
        <w:t>,</w:t>
      </w:r>
      <w:r w:rsidRPr="009C5096">
        <w:rPr>
          <w:rFonts w:ascii="Arial" w:hAnsi="Arial" w:cs="Arial"/>
          <w:sz w:val="22"/>
          <w:szCs w:val="22"/>
          <w:lang w:val="en-US"/>
        </w:rPr>
        <w:t>738 ha, and of the total number of holdings, 60</w:t>
      </w:r>
      <w:r w:rsidR="00764319">
        <w:rPr>
          <w:rFonts w:ascii="Arial" w:hAnsi="Arial" w:cs="Arial"/>
          <w:sz w:val="22"/>
          <w:szCs w:val="22"/>
          <w:lang w:val="en-US"/>
        </w:rPr>
        <w:t>.</w:t>
      </w:r>
      <w:r w:rsidRPr="009C5096">
        <w:rPr>
          <w:rFonts w:ascii="Arial" w:hAnsi="Arial" w:cs="Arial"/>
          <w:sz w:val="22"/>
          <w:szCs w:val="22"/>
          <w:lang w:val="en-US"/>
        </w:rPr>
        <w:t>8% used up to 1 ha of agricultural area. Agricultural holdings have 381</w:t>
      </w:r>
      <w:r w:rsidR="00764319">
        <w:rPr>
          <w:rFonts w:ascii="Arial" w:hAnsi="Arial" w:cs="Arial"/>
          <w:sz w:val="22"/>
          <w:szCs w:val="22"/>
          <w:lang w:val="en-US"/>
        </w:rPr>
        <w:t>,</w:t>
      </w:r>
      <w:r w:rsidRPr="009C5096">
        <w:rPr>
          <w:rFonts w:ascii="Arial" w:hAnsi="Arial" w:cs="Arial"/>
          <w:sz w:val="22"/>
          <w:szCs w:val="22"/>
          <w:lang w:val="en-US"/>
        </w:rPr>
        <w:t>361 LSU. Of the manure application techniques 37</w:t>
      </w:r>
      <w:r w:rsidR="00764319">
        <w:rPr>
          <w:rFonts w:ascii="Arial" w:hAnsi="Arial" w:cs="Arial"/>
          <w:sz w:val="22"/>
          <w:szCs w:val="22"/>
          <w:lang w:val="en-US"/>
        </w:rPr>
        <w:t>.</w:t>
      </w:r>
      <w:r w:rsidRPr="009C5096">
        <w:rPr>
          <w:rFonts w:ascii="Arial" w:hAnsi="Arial" w:cs="Arial"/>
          <w:sz w:val="22"/>
          <w:szCs w:val="22"/>
          <w:lang w:val="en-US"/>
        </w:rPr>
        <w:t>9% of agricultural holdings used broadcast application of manure with no incorporation, while the most used irrigation method is surface irrigation method.</w:t>
      </w:r>
    </w:p>
    <w:p w:rsidR="003136C5" w:rsidRPr="009C5096" w:rsidRDefault="003136C5" w:rsidP="003136C5">
      <w:pPr>
        <w:pStyle w:val="m343668044302477783m-3986873246552044066msolistparagraph"/>
        <w:spacing w:before="120" w:beforeAutospacing="0" w:after="0" w:afterAutospacing="0"/>
        <w:jc w:val="both"/>
        <w:rPr>
          <w:rFonts w:ascii="Arial" w:eastAsia="Times New Roman" w:hAnsi="Arial" w:cs="Arial"/>
          <w:b/>
          <w:i/>
          <w:sz w:val="22"/>
          <w:szCs w:val="22"/>
          <w:lang w:val="en-US" w:eastAsia="en-US"/>
        </w:rPr>
      </w:pPr>
      <w:r w:rsidRPr="009C5096">
        <w:rPr>
          <w:rFonts w:ascii="Arial" w:eastAsia="Times New Roman" w:hAnsi="Arial" w:cs="Arial"/>
          <w:b/>
          <w:i/>
          <w:sz w:val="22"/>
          <w:szCs w:val="22"/>
          <w:lang w:val="en-US" w:eastAsia="en-US"/>
        </w:rPr>
        <w:t>Agricultural production</w:t>
      </w:r>
    </w:p>
    <w:p w:rsidR="003136C5" w:rsidRPr="009C5096" w:rsidRDefault="003136C5" w:rsidP="003136C5">
      <w:pPr>
        <w:pStyle w:val="m343668044302477783m-3986873246552044066msolistparagraph"/>
        <w:spacing w:before="120" w:beforeAutospacing="0" w:after="0" w:afterAutospacing="0"/>
        <w:jc w:val="both"/>
        <w:rPr>
          <w:rFonts w:ascii="Arial" w:eastAsia="Times New Roman" w:hAnsi="Arial" w:cs="Arial"/>
          <w:sz w:val="22"/>
          <w:szCs w:val="22"/>
          <w:lang w:val="en-US" w:eastAsia="en-US"/>
        </w:rPr>
      </w:pPr>
      <w:r w:rsidRPr="009C5096">
        <w:rPr>
          <w:rFonts w:ascii="Arial" w:eastAsia="Times New Roman" w:hAnsi="Arial" w:cs="Arial"/>
          <w:sz w:val="22"/>
          <w:szCs w:val="22"/>
          <w:lang w:val="en-US" w:eastAsia="en-US"/>
        </w:rPr>
        <w:t>The crop production structure in the country is broken down into five main groups: production of cereals, industrial, forage, horticultural crops, orchards and vineyards. The structure of sown area under cultivation and horticultural crops (total 278</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000 ha) account</w:t>
      </w:r>
      <w:r w:rsidR="00764319">
        <w:rPr>
          <w:rFonts w:ascii="Arial" w:eastAsia="Times New Roman" w:hAnsi="Arial" w:cs="Arial"/>
          <w:sz w:val="22"/>
          <w:szCs w:val="22"/>
          <w:lang w:val="en-US" w:eastAsia="en-US"/>
        </w:rPr>
        <w:t xml:space="preserve">s </w:t>
      </w:r>
      <w:r w:rsidRPr="009C5096">
        <w:rPr>
          <w:rFonts w:ascii="Arial" w:eastAsia="Times New Roman" w:hAnsi="Arial" w:cs="Arial"/>
          <w:sz w:val="22"/>
          <w:szCs w:val="22"/>
          <w:lang w:val="en-US" w:eastAsia="en-US"/>
        </w:rPr>
        <w:t>for approximately 58% of cereals, 18% of vegetable crops, 14% of forage crops and 9% of industrial plants. Orchards occup</w:t>
      </w:r>
      <w:r w:rsidR="00764319">
        <w:rPr>
          <w:rFonts w:ascii="Arial" w:eastAsia="Times New Roman" w:hAnsi="Arial" w:cs="Arial"/>
          <w:sz w:val="22"/>
          <w:szCs w:val="22"/>
          <w:lang w:val="en-US" w:eastAsia="en-US"/>
        </w:rPr>
        <w:t xml:space="preserve">y </w:t>
      </w:r>
      <w:r w:rsidRPr="009C5096">
        <w:rPr>
          <w:rFonts w:ascii="Arial" w:eastAsia="Times New Roman" w:hAnsi="Arial" w:cs="Arial"/>
          <w:sz w:val="22"/>
          <w:szCs w:val="22"/>
          <w:lang w:val="en-US" w:eastAsia="en-US"/>
        </w:rPr>
        <w:t>an area of 16</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 xml:space="preserve">000 ha or 4%, while vineyards </w:t>
      </w:r>
      <w:r w:rsidR="00764319">
        <w:rPr>
          <w:rFonts w:ascii="Arial" w:eastAsia="Times New Roman" w:hAnsi="Arial" w:cs="Arial"/>
          <w:sz w:val="22"/>
          <w:szCs w:val="22"/>
          <w:lang w:val="en-US" w:eastAsia="en-US"/>
        </w:rPr>
        <w:t xml:space="preserve">amount to </w:t>
      </w:r>
      <w:r w:rsidRPr="009C5096">
        <w:rPr>
          <w:rFonts w:ascii="Arial" w:eastAsia="Times New Roman" w:hAnsi="Arial" w:cs="Arial"/>
          <w:sz w:val="22"/>
          <w:szCs w:val="22"/>
          <w:lang w:val="en-US" w:eastAsia="en-US"/>
        </w:rPr>
        <w:t>about 22</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 xml:space="preserve">918 ha (according </w:t>
      </w:r>
      <w:r w:rsidR="00764319">
        <w:rPr>
          <w:rFonts w:ascii="Arial" w:eastAsia="Times New Roman" w:hAnsi="Arial" w:cs="Arial"/>
          <w:sz w:val="22"/>
          <w:szCs w:val="22"/>
          <w:lang w:val="en-US" w:eastAsia="en-US"/>
        </w:rPr>
        <w:t xml:space="preserve">to </w:t>
      </w:r>
      <w:r w:rsidRPr="009C5096">
        <w:rPr>
          <w:rFonts w:ascii="Arial" w:eastAsia="Times New Roman" w:hAnsi="Arial" w:cs="Arial"/>
          <w:sz w:val="22"/>
          <w:szCs w:val="22"/>
          <w:lang w:val="en-US" w:eastAsia="en-US"/>
        </w:rPr>
        <w:t>SSO) or 4% of total cultivated land.</w:t>
      </w:r>
    </w:p>
    <w:p w:rsidR="003136C5" w:rsidRPr="009C5096" w:rsidRDefault="003136C5" w:rsidP="003136C5">
      <w:pPr>
        <w:pStyle w:val="m343668044302477783m-3986873246552044066msolistparagraph"/>
        <w:spacing w:before="120" w:beforeAutospacing="0" w:after="0" w:afterAutospacing="0"/>
        <w:jc w:val="both"/>
        <w:rPr>
          <w:rFonts w:ascii="Arial" w:eastAsia="Times New Roman" w:hAnsi="Arial" w:cs="Arial"/>
          <w:sz w:val="22"/>
          <w:szCs w:val="22"/>
          <w:lang w:val="en-US" w:eastAsia="en-US"/>
        </w:rPr>
      </w:pPr>
      <w:r w:rsidRPr="009C5096">
        <w:rPr>
          <w:rFonts w:ascii="Arial" w:eastAsia="Times New Roman" w:hAnsi="Arial" w:cs="Arial"/>
          <w:sz w:val="22"/>
          <w:szCs w:val="22"/>
          <w:lang w:val="en-US" w:eastAsia="en-US"/>
        </w:rPr>
        <w:t xml:space="preserve">According to the 2018 SSO data in comparison to 2017, there is a trend of increase in the cultivated area under cereals from </w:t>
      </w:r>
      <w:r w:rsidR="00430597">
        <w:rPr>
          <w:rFonts w:ascii="Arial" w:eastAsia="Times New Roman" w:hAnsi="Arial" w:cs="Arial"/>
          <w:sz w:val="22"/>
          <w:szCs w:val="22"/>
          <w:lang w:val="en-US" w:eastAsia="en-US"/>
        </w:rPr>
        <w:t xml:space="preserve">an </w:t>
      </w:r>
      <w:r w:rsidRPr="009C5096">
        <w:rPr>
          <w:rFonts w:ascii="Arial" w:eastAsia="Times New Roman" w:hAnsi="Arial" w:cs="Arial"/>
          <w:sz w:val="22"/>
          <w:szCs w:val="22"/>
          <w:lang w:val="en-US" w:eastAsia="en-US"/>
        </w:rPr>
        <w:t>area of 148</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 xml:space="preserve">367 ha to </w:t>
      </w:r>
      <w:r w:rsidR="00430597">
        <w:rPr>
          <w:rFonts w:ascii="Arial" w:eastAsia="Times New Roman" w:hAnsi="Arial" w:cs="Arial"/>
          <w:sz w:val="22"/>
          <w:szCs w:val="22"/>
          <w:lang w:val="en-US" w:eastAsia="en-US"/>
        </w:rPr>
        <w:t xml:space="preserve">an </w:t>
      </w:r>
      <w:r w:rsidRPr="009C5096">
        <w:rPr>
          <w:rFonts w:ascii="Arial" w:eastAsia="Times New Roman" w:hAnsi="Arial" w:cs="Arial"/>
          <w:sz w:val="22"/>
          <w:szCs w:val="22"/>
          <w:lang w:val="en-US" w:eastAsia="en-US"/>
        </w:rPr>
        <w:t>area of 154</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261 ha, industrial crops in 2017 decreased to 20</w:t>
      </w:r>
      <w:r w:rsidR="00430597">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034 ha from 20</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353 ha due to the decreased area under tobacco (15</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 xml:space="preserve">961 ha in 2017). The forage crops are sown </w:t>
      </w:r>
      <w:r w:rsidR="00BA1BA3">
        <w:rPr>
          <w:rFonts w:ascii="Arial" w:eastAsia="Times New Roman" w:hAnsi="Arial" w:cs="Arial"/>
          <w:sz w:val="22"/>
          <w:szCs w:val="22"/>
          <w:lang w:val="en-US" w:eastAsia="en-US"/>
        </w:rPr>
        <w:t xml:space="preserve">over an </w:t>
      </w:r>
      <w:r w:rsidRPr="009C5096">
        <w:rPr>
          <w:rFonts w:ascii="Arial" w:eastAsia="Times New Roman" w:hAnsi="Arial" w:cs="Arial"/>
          <w:sz w:val="22"/>
          <w:szCs w:val="22"/>
          <w:lang w:val="en-US" w:eastAsia="en-US"/>
        </w:rPr>
        <w:t>area of 31</w:t>
      </w:r>
      <w:r w:rsidR="00BA1BA3">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989 ha with slight increase of about 4% in comparison of 2017. Vegetable production also decreased in 2017 to 59</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072 ha from 59</w:t>
      </w:r>
      <w:r w:rsidR="00BA1BA3">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499 ha. Vineyards present</w:t>
      </w:r>
      <w:r w:rsidR="00BA1BA3">
        <w:rPr>
          <w:rFonts w:ascii="Arial" w:eastAsia="Times New Roman" w:hAnsi="Arial" w:cs="Arial"/>
          <w:sz w:val="22"/>
          <w:szCs w:val="22"/>
          <w:lang w:val="en-US" w:eastAsia="en-US"/>
        </w:rPr>
        <w:t>ed</w:t>
      </w:r>
      <w:r w:rsidRPr="009C5096">
        <w:rPr>
          <w:rFonts w:ascii="Arial" w:eastAsia="Times New Roman" w:hAnsi="Arial" w:cs="Arial"/>
          <w:sz w:val="22"/>
          <w:szCs w:val="22"/>
          <w:lang w:val="en-US" w:eastAsia="en-US"/>
        </w:rPr>
        <w:t xml:space="preserve"> 23</w:t>
      </w:r>
      <w:r w:rsidR="00BA1BA3">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 xml:space="preserve">760 ha in 2018, with slight increase </w:t>
      </w:r>
      <w:r w:rsidR="00BA1BA3">
        <w:rPr>
          <w:rFonts w:ascii="Arial" w:eastAsia="Times New Roman" w:hAnsi="Arial" w:cs="Arial"/>
          <w:sz w:val="22"/>
          <w:szCs w:val="22"/>
          <w:lang w:val="en-US" w:eastAsia="en-US"/>
        </w:rPr>
        <w:t>o</w:t>
      </w:r>
      <w:r w:rsidRPr="009C5096">
        <w:rPr>
          <w:rFonts w:ascii="Arial" w:eastAsia="Times New Roman" w:hAnsi="Arial" w:cs="Arial"/>
          <w:sz w:val="22"/>
          <w:szCs w:val="22"/>
          <w:lang w:val="en-US" w:eastAsia="en-US"/>
        </w:rPr>
        <w:t>f 362 ha or about 1</w:t>
      </w:r>
      <w:r w:rsidR="00BA1BA3">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5% compared to previous year. Fruit production suffered significant decrease in production capacities in 2017 compared to 2016 (176</w:t>
      </w:r>
      <w:r w:rsidR="00BA1BA3">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351 ha to 92</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 xml:space="preserve">609 ha). </w:t>
      </w:r>
      <w:r w:rsidR="00BA1BA3">
        <w:rPr>
          <w:rFonts w:ascii="Arial" w:eastAsia="Times New Roman" w:hAnsi="Arial" w:cs="Arial"/>
          <w:sz w:val="22"/>
          <w:szCs w:val="22"/>
          <w:lang w:val="en-US" w:eastAsia="en-US"/>
        </w:rPr>
        <w:t>The a</w:t>
      </w:r>
      <w:r w:rsidRPr="009C5096">
        <w:rPr>
          <w:rFonts w:ascii="Arial" w:eastAsia="Times New Roman" w:hAnsi="Arial" w:cs="Arial"/>
          <w:sz w:val="22"/>
          <w:szCs w:val="22"/>
          <w:lang w:val="en-US" w:eastAsia="en-US"/>
        </w:rPr>
        <w:t>rea in apple production decreased from 101</w:t>
      </w:r>
      <w:r w:rsidR="00BA1BA3">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088 ha to 43</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 xml:space="preserve">366 ha, </w:t>
      </w:r>
      <w:r w:rsidR="00BA1BA3">
        <w:rPr>
          <w:rFonts w:ascii="Arial" w:eastAsia="Times New Roman" w:hAnsi="Arial" w:cs="Arial"/>
          <w:sz w:val="22"/>
          <w:szCs w:val="22"/>
          <w:lang w:val="en-US" w:eastAsia="en-US"/>
        </w:rPr>
        <w:t xml:space="preserve">while </w:t>
      </w:r>
      <w:r w:rsidRPr="009C5096">
        <w:rPr>
          <w:rFonts w:ascii="Arial" w:eastAsia="Times New Roman" w:hAnsi="Arial" w:cs="Arial"/>
          <w:sz w:val="22"/>
          <w:szCs w:val="22"/>
          <w:lang w:val="en-US" w:eastAsia="en-US"/>
        </w:rPr>
        <w:t xml:space="preserve">plums </w:t>
      </w:r>
      <w:r w:rsidR="00BA1BA3">
        <w:rPr>
          <w:rFonts w:ascii="Arial" w:eastAsia="Times New Roman" w:hAnsi="Arial" w:cs="Arial"/>
          <w:sz w:val="22"/>
          <w:szCs w:val="22"/>
          <w:lang w:val="en-US" w:eastAsia="en-US"/>
        </w:rPr>
        <w:t xml:space="preserve">decreased </w:t>
      </w:r>
      <w:r w:rsidRPr="009C5096">
        <w:rPr>
          <w:rFonts w:ascii="Arial" w:eastAsia="Times New Roman" w:hAnsi="Arial" w:cs="Arial"/>
          <w:sz w:val="22"/>
          <w:szCs w:val="22"/>
          <w:lang w:val="en-US" w:eastAsia="en-US"/>
        </w:rPr>
        <w:t>from 33</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684 to 17</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 xml:space="preserve">880 ha. Only sour cherry and </w:t>
      </w:r>
      <w:r w:rsidR="00764319" w:rsidRPr="009C5096">
        <w:rPr>
          <w:rFonts w:ascii="Arial" w:eastAsia="Times New Roman" w:hAnsi="Arial" w:cs="Arial"/>
          <w:sz w:val="22"/>
          <w:szCs w:val="22"/>
          <w:lang w:val="en-US" w:eastAsia="en-US"/>
        </w:rPr>
        <w:t>walnuts</w:t>
      </w:r>
      <w:r w:rsidRPr="009C5096">
        <w:rPr>
          <w:rFonts w:ascii="Arial" w:eastAsia="Times New Roman" w:hAnsi="Arial" w:cs="Arial"/>
          <w:sz w:val="22"/>
          <w:szCs w:val="22"/>
          <w:lang w:val="en-US" w:eastAsia="en-US"/>
        </w:rPr>
        <w:t xml:space="preserve"> production increased, approximately doubl</w:t>
      </w:r>
      <w:r w:rsidR="00BA1BA3">
        <w:rPr>
          <w:rFonts w:ascii="Arial" w:eastAsia="Times New Roman" w:hAnsi="Arial" w:cs="Arial"/>
          <w:sz w:val="22"/>
          <w:szCs w:val="22"/>
          <w:lang w:val="en-US" w:eastAsia="en-US"/>
        </w:rPr>
        <w:t>ing</w:t>
      </w:r>
      <w:r w:rsidRPr="009C5096">
        <w:rPr>
          <w:rFonts w:ascii="Arial" w:eastAsia="Times New Roman" w:hAnsi="Arial" w:cs="Arial"/>
          <w:sz w:val="22"/>
          <w:szCs w:val="22"/>
          <w:lang w:val="en-US" w:eastAsia="en-US"/>
        </w:rPr>
        <w:t xml:space="preserve"> (4</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408 ha to 8</w:t>
      </w:r>
      <w:r w:rsidR="00BA1BA3">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072 ha and 2</w:t>
      </w:r>
      <w:r w:rsidR="00BA1BA3">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341 ha to 5</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147 ha</w:t>
      </w:r>
      <w:r w:rsidR="00BA1BA3">
        <w:rPr>
          <w:rFonts w:ascii="Arial" w:eastAsia="Times New Roman" w:hAnsi="Arial" w:cs="Arial"/>
          <w:sz w:val="22"/>
          <w:szCs w:val="22"/>
          <w:lang w:val="en-US" w:eastAsia="en-US"/>
        </w:rPr>
        <w:t xml:space="preserve"> respectively</w:t>
      </w:r>
      <w:r w:rsidRPr="009C5096">
        <w:rPr>
          <w:rFonts w:ascii="Arial" w:eastAsia="Times New Roman" w:hAnsi="Arial" w:cs="Arial"/>
          <w:sz w:val="22"/>
          <w:szCs w:val="22"/>
          <w:lang w:val="en-US" w:eastAsia="en-US"/>
        </w:rPr>
        <w:t>).</w:t>
      </w:r>
    </w:p>
    <w:p w:rsidR="003136C5" w:rsidRPr="009C5096" w:rsidRDefault="003136C5" w:rsidP="003136C5">
      <w:pPr>
        <w:pStyle w:val="m343668044302477783m-3986873246552044066msolistparagraph"/>
        <w:spacing w:before="120" w:beforeAutospacing="0" w:after="0" w:afterAutospacing="0"/>
        <w:jc w:val="both"/>
        <w:rPr>
          <w:rFonts w:ascii="Arial" w:eastAsia="Times New Roman" w:hAnsi="Arial" w:cs="Arial"/>
          <w:sz w:val="22"/>
          <w:szCs w:val="22"/>
          <w:lang w:val="en-US" w:eastAsia="en-US"/>
        </w:rPr>
      </w:pPr>
      <w:r w:rsidRPr="009C5096">
        <w:rPr>
          <w:rFonts w:ascii="Arial" w:eastAsia="Times New Roman" w:hAnsi="Arial" w:cs="Arial"/>
          <w:sz w:val="22"/>
          <w:szCs w:val="22"/>
          <w:lang w:val="en-US" w:eastAsia="en-US"/>
        </w:rPr>
        <w:t>In 2017</w:t>
      </w:r>
      <w:r w:rsidR="00065138">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 xml:space="preserve"> the total number of sheep was counted at 724</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555 heads</w:t>
      </w:r>
      <w:r w:rsidR="00065138">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 xml:space="preserve"> remaining at almost the same level as the last year (723</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295). Registered cattle were 255</w:t>
      </w:r>
      <w:r w:rsidR="00065138">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 xml:space="preserve">036, also slightly </w:t>
      </w:r>
      <w:r w:rsidRPr="009C5096">
        <w:rPr>
          <w:rFonts w:ascii="Arial" w:eastAsia="Times New Roman" w:hAnsi="Arial" w:cs="Arial"/>
          <w:sz w:val="22"/>
          <w:szCs w:val="22"/>
          <w:lang w:val="en-US" w:eastAsia="en-US"/>
        </w:rPr>
        <w:lastRenderedPageBreak/>
        <w:t>increasing compared to 2016 (254</w:t>
      </w:r>
      <w:r w:rsidR="00764319">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768). In 2017, there was an increase in the number of pigs (202</w:t>
      </w:r>
      <w:r w:rsidR="00D3077C">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197) compared to 2016 and increase of 12</w:t>
      </w:r>
      <w:r w:rsidR="00D3077C">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5% compared to 2012. The domestic production of 13</w:t>
      </w:r>
      <w:r w:rsidR="00D3077C">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105 tons of pig meat covers around 90% of the market demand for fresh pork.</w:t>
      </w:r>
    </w:p>
    <w:p w:rsidR="003136C5" w:rsidRPr="009C5096" w:rsidRDefault="003136C5" w:rsidP="003136C5">
      <w:pPr>
        <w:pStyle w:val="m343668044302477783m-3986873246552044066msolistparagraph"/>
        <w:spacing w:before="120" w:beforeAutospacing="0" w:after="0" w:afterAutospacing="0"/>
        <w:jc w:val="both"/>
        <w:rPr>
          <w:rFonts w:ascii="Arial" w:eastAsia="Times New Roman" w:hAnsi="Arial" w:cs="Arial"/>
          <w:sz w:val="22"/>
          <w:szCs w:val="22"/>
          <w:lang w:val="en-US" w:eastAsia="en-US"/>
        </w:rPr>
      </w:pPr>
      <w:r w:rsidRPr="009C5096">
        <w:rPr>
          <w:rFonts w:ascii="Arial" w:eastAsia="Times New Roman" w:hAnsi="Arial" w:cs="Arial"/>
          <w:sz w:val="22"/>
          <w:szCs w:val="22"/>
          <w:lang w:val="en-US" w:eastAsia="en-US"/>
        </w:rPr>
        <w:t>The total number of poultry in 2017 was 1</w:t>
      </w:r>
      <w:r w:rsidR="00D3077C">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84 million, compared to 2014 being decreased by 361</w:t>
      </w:r>
      <w:r w:rsidR="00D3077C">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377 heads or 16</w:t>
      </w:r>
      <w:r w:rsidR="00D3077C">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4%. The eggs production is primary activity of the Macedonian poultry industry. 1</w:t>
      </w:r>
      <w:r w:rsidR="00D3077C">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47 million heads out of the total belong to the number of laying hens. The number of bee families in 2017 was 75</w:t>
      </w:r>
      <w:r w:rsidR="00D3077C">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406</w:t>
      </w:r>
      <w:r w:rsidR="00D3077C">
        <w:rPr>
          <w:rFonts w:ascii="Arial" w:eastAsia="Times New Roman" w:hAnsi="Arial" w:cs="Arial"/>
          <w:sz w:val="22"/>
          <w:szCs w:val="22"/>
          <w:lang w:val="en-US" w:eastAsia="en-US"/>
        </w:rPr>
        <w:t>,</w:t>
      </w:r>
      <w:r w:rsidRPr="009C5096">
        <w:rPr>
          <w:rFonts w:ascii="Arial" w:eastAsia="Times New Roman" w:hAnsi="Arial" w:cs="Arial"/>
          <w:sz w:val="22"/>
          <w:szCs w:val="22"/>
          <w:lang w:val="en-US" w:eastAsia="en-US"/>
        </w:rPr>
        <w:t xml:space="preserve"> which is close to the average in previous years.</w:t>
      </w:r>
    </w:p>
    <w:p w:rsidR="003136C5" w:rsidRPr="009C5096" w:rsidRDefault="003136C5" w:rsidP="003136C5">
      <w:pPr>
        <w:spacing w:before="120" w:after="120"/>
        <w:jc w:val="both"/>
        <w:rPr>
          <w:rFonts w:ascii="Arial" w:hAnsi="Arial" w:cs="Arial"/>
          <w:b/>
          <w:i/>
        </w:rPr>
      </w:pPr>
      <w:r w:rsidRPr="009C5096">
        <w:rPr>
          <w:rFonts w:ascii="Arial" w:hAnsi="Arial" w:cs="Arial"/>
          <w:b/>
          <w:i/>
        </w:rPr>
        <w:t>Employment in agriculture and rural areas</w:t>
      </w:r>
    </w:p>
    <w:p w:rsidR="003136C5" w:rsidRPr="003B72A1" w:rsidRDefault="003136C5" w:rsidP="003136C5">
      <w:pPr>
        <w:spacing w:before="120" w:after="120"/>
        <w:jc w:val="both"/>
        <w:rPr>
          <w:rFonts w:ascii="Arial" w:hAnsi="Arial" w:cs="Arial"/>
          <w:sz w:val="22"/>
        </w:rPr>
      </w:pPr>
      <w:r w:rsidRPr="003B72A1">
        <w:rPr>
          <w:rFonts w:ascii="Arial" w:hAnsi="Arial" w:cs="Arial"/>
          <w:sz w:val="22"/>
        </w:rPr>
        <w:t xml:space="preserve">The labor force in </w:t>
      </w:r>
      <w:r w:rsidR="003210AF" w:rsidRPr="003B72A1">
        <w:rPr>
          <w:rFonts w:ascii="Arial" w:hAnsi="Arial" w:cs="Arial"/>
          <w:sz w:val="22"/>
        </w:rPr>
        <w:t xml:space="preserve">the </w:t>
      </w:r>
      <w:r w:rsidRPr="003B72A1">
        <w:rPr>
          <w:rFonts w:ascii="Arial" w:hAnsi="Arial" w:cs="Arial"/>
          <w:sz w:val="22"/>
        </w:rPr>
        <w:t xml:space="preserve">agricultural sector in the Republic of North Macedonia is mainly comprised of labor work on the individual farm level. The main part of the rural population is engaged in agricultural activities (primarily within the households) and rarely with other non-agricultural activities where possibilities exist. The average paid salaries in agriculture are among the lowest level compared with other economy sectors. </w:t>
      </w:r>
      <w:r w:rsidR="003210AF" w:rsidRPr="003B72A1">
        <w:rPr>
          <w:rFonts w:ascii="Arial" w:hAnsi="Arial" w:cs="Arial"/>
          <w:sz w:val="22"/>
        </w:rPr>
        <w:t>The salary i</w:t>
      </w:r>
      <w:r w:rsidRPr="003B72A1">
        <w:rPr>
          <w:rFonts w:ascii="Arial" w:hAnsi="Arial" w:cs="Arial"/>
          <w:sz w:val="22"/>
        </w:rPr>
        <w:t xml:space="preserve">ncrease in 2018 is a result of </w:t>
      </w:r>
      <w:r w:rsidR="003210AF" w:rsidRPr="003B72A1">
        <w:rPr>
          <w:rFonts w:ascii="Arial" w:hAnsi="Arial" w:cs="Arial"/>
          <w:sz w:val="22"/>
        </w:rPr>
        <w:t xml:space="preserve">the minimum wage </w:t>
      </w:r>
      <w:r w:rsidRPr="003B72A1">
        <w:rPr>
          <w:rFonts w:ascii="Arial" w:hAnsi="Arial" w:cs="Arial"/>
          <w:sz w:val="22"/>
        </w:rPr>
        <w:t>increase in the country.</w:t>
      </w:r>
    </w:p>
    <w:p w:rsidR="003136C5" w:rsidRPr="009C5096" w:rsidRDefault="003136C5" w:rsidP="003136C5">
      <w:pPr>
        <w:pStyle w:val="Caption"/>
        <w:spacing w:after="120"/>
        <w:rPr>
          <w:rFonts w:ascii="Arial" w:hAnsi="Arial" w:cs="Arial"/>
          <w:i/>
          <w:iCs/>
          <w:sz w:val="22"/>
          <w:szCs w:val="22"/>
        </w:rPr>
      </w:pPr>
      <w:bookmarkStart w:id="9" w:name="_Toc6902269"/>
      <w:r w:rsidRPr="009C5096">
        <w:rPr>
          <w:rFonts w:ascii="Arial" w:hAnsi="Arial" w:cs="Arial"/>
          <w:sz w:val="22"/>
          <w:szCs w:val="22"/>
        </w:rPr>
        <w:t xml:space="preserve">Table </w:t>
      </w:r>
      <w:r w:rsidRPr="009C5096">
        <w:rPr>
          <w:rFonts w:ascii="Arial" w:hAnsi="Arial" w:cs="Arial"/>
          <w:i/>
          <w:sz w:val="22"/>
          <w:szCs w:val="22"/>
        </w:rPr>
        <w:fldChar w:fldCharType="begin"/>
      </w:r>
      <w:r w:rsidRPr="009C5096">
        <w:rPr>
          <w:rFonts w:ascii="Arial" w:hAnsi="Arial" w:cs="Arial"/>
          <w:sz w:val="22"/>
          <w:szCs w:val="22"/>
        </w:rPr>
        <w:instrText xml:space="preserve"> SEQ Table \* ARABIC </w:instrText>
      </w:r>
      <w:r w:rsidRPr="009C5096">
        <w:rPr>
          <w:rFonts w:ascii="Arial" w:hAnsi="Arial" w:cs="Arial"/>
          <w:i/>
          <w:sz w:val="22"/>
          <w:szCs w:val="22"/>
        </w:rPr>
        <w:fldChar w:fldCharType="separate"/>
      </w:r>
      <w:r w:rsidRPr="009C5096">
        <w:rPr>
          <w:rFonts w:ascii="Arial" w:hAnsi="Arial" w:cs="Arial"/>
          <w:sz w:val="22"/>
          <w:szCs w:val="22"/>
        </w:rPr>
        <w:t>3</w:t>
      </w:r>
      <w:r w:rsidRPr="009C5096">
        <w:rPr>
          <w:rFonts w:ascii="Arial" w:hAnsi="Arial" w:cs="Arial"/>
          <w:i/>
          <w:sz w:val="22"/>
          <w:szCs w:val="22"/>
        </w:rPr>
        <w:fldChar w:fldCharType="end"/>
      </w:r>
      <w:r w:rsidRPr="009C5096">
        <w:rPr>
          <w:rFonts w:ascii="Arial" w:hAnsi="Arial" w:cs="Arial"/>
          <w:sz w:val="22"/>
          <w:szCs w:val="22"/>
        </w:rPr>
        <w:t>: Average net salary by employee in €</w:t>
      </w:r>
      <w:bookmarkEnd w:id="9"/>
    </w:p>
    <w:tbl>
      <w:tblPr>
        <w:tblW w:w="50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47"/>
        <w:gridCol w:w="1008"/>
        <w:gridCol w:w="923"/>
        <w:gridCol w:w="930"/>
        <w:gridCol w:w="923"/>
        <w:gridCol w:w="957"/>
        <w:gridCol w:w="928"/>
      </w:tblGrid>
      <w:tr w:rsidR="003136C5" w:rsidRPr="009C5096" w:rsidTr="00612896">
        <w:trPr>
          <w:trHeight w:val="270"/>
        </w:trPr>
        <w:tc>
          <w:tcPr>
            <w:tcW w:w="1890" w:type="pct"/>
          </w:tcPr>
          <w:p w:rsidR="003136C5" w:rsidRPr="009C5096" w:rsidRDefault="003136C5" w:rsidP="00612896">
            <w:pPr>
              <w:keepNext/>
              <w:keepLines/>
              <w:rPr>
                <w:rFonts w:ascii="Arial" w:eastAsia="Calibri" w:hAnsi="Arial" w:cs="Arial"/>
                <w:b/>
                <w:bCs/>
                <w:sz w:val="20"/>
                <w:szCs w:val="20"/>
              </w:rPr>
            </w:pPr>
            <w:r w:rsidRPr="009C5096">
              <w:rPr>
                <w:rFonts w:ascii="Arial" w:eastAsia="Calibri" w:hAnsi="Arial" w:cs="Arial"/>
                <w:b/>
                <w:bCs/>
                <w:sz w:val="20"/>
                <w:szCs w:val="20"/>
              </w:rPr>
              <w:t>Description</w:t>
            </w:r>
          </w:p>
        </w:tc>
        <w:tc>
          <w:tcPr>
            <w:tcW w:w="553" w:type="pct"/>
          </w:tcPr>
          <w:p w:rsidR="003136C5" w:rsidRPr="009C5096" w:rsidRDefault="003136C5" w:rsidP="00612896">
            <w:pPr>
              <w:keepNext/>
              <w:keepLines/>
              <w:jc w:val="center"/>
              <w:rPr>
                <w:rFonts w:ascii="Arial" w:eastAsia="Calibri" w:hAnsi="Arial" w:cs="Arial"/>
                <w:b/>
                <w:bCs/>
                <w:sz w:val="20"/>
                <w:szCs w:val="20"/>
              </w:rPr>
            </w:pPr>
            <w:r w:rsidRPr="009C5096">
              <w:rPr>
                <w:rFonts w:ascii="Arial" w:eastAsia="Calibri" w:hAnsi="Arial" w:cs="Arial"/>
                <w:b/>
                <w:bCs/>
                <w:sz w:val="20"/>
                <w:szCs w:val="20"/>
              </w:rPr>
              <w:t>Jan. 2013</w:t>
            </w:r>
          </w:p>
        </w:tc>
        <w:tc>
          <w:tcPr>
            <w:tcW w:w="506" w:type="pct"/>
          </w:tcPr>
          <w:p w:rsidR="003136C5" w:rsidRPr="009C5096" w:rsidRDefault="003136C5" w:rsidP="00612896">
            <w:pPr>
              <w:keepNext/>
              <w:keepLines/>
              <w:jc w:val="center"/>
              <w:rPr>
                <w:rFonts w:ascii="Arial" w:eastAsia="Calibri" w:hAnsi="Arial" w:cs="Arial"/>
                <w:b/>
                <w:bCs/>
                <w:sz w:val="20"/>
                <w:szCs w:val="20"/>
              </w:rPr>
            </w:pPr>
            <w:r w:rsidRPr="009C5096">
              <w:rPr>
                <w:rFonts w:ascii="Arial" w:eastAsia="Calibri" w:hAnsi="Arial" w:cs="Arial"/>
                <w:b/>
                <w:bCs/>
                <w:sz w:val="20"/>
                <w:szCs w:val="20"/>
              </w:rPr>
              <w:t>Jan. 2014</w:t>
            </w:r>
          </w:p>
        </w:tc>
        <w:tc>
          <w:tcPr>
            <w:tcW w:w="510" w:type="pct"/>
          </w:tcPr>
          <w:p w:rsidR="003136C5" w:rsidRPr="009C5096" w:rsidRDefault="003136C5" w:rsidP="00612896">
            <w:pPr>
              <w:keepNext/>
              <w:keepLines/>
              <w:jc w:val="center"/>
              <w:rPr>
                <w:rFonts w:ascii="Arial" w:eastAsia="Calibri" w:hAnsi="Arial" w:cs="Arial"/>
                <w:b/>
                <w:bCs/>
                <w:sz w:val="20"/>
                <w:szCs w:val="20"/>
              </w:rPr>
            </w:pPr>
            <w:r w:rsidRPr="009C5096">
              <w:rPr>
                <w:rFonts w:ascii="Arial" w:eastAsia="Calibri" w:hAnsi="Arial" w:cs="Arial"/>
                <w:b/>
                <w:bCs/>
                <w:sz w:val="20"/>
                <w:szCs w:val="20"/>
              </w:rPr>
              <w:t>Jan. 2015</w:t>
            </w:r>
          </w:p>
        </w:tc>
        <w:tc>
          <w:tcPr>
            <w:tcW w:w="506" w:type="pct"/>
          </w:tcPr>
          <w:p w:rsidR="003136C5" w:rsidRPr="009C5096" w:rsidRDefault="003136C5" w:rsidP="00612896">
            <w:pPr>
              <w:keepNext/>
              <w:keepLines/>
              <w:jc w:val="center"/>
              <w:rPr>
                <w:rFonts w:ascii="Arial" w:eastAsia="Calibri" w:hAnsi="Arial" w:cs="Arial"/>
                <w:b/>
                <w:bCs/>
                <w:sz w:val="20"/>
                <w:szCs w:val="20"/>
              </w:rPr>
            </w:pPr>
            <w:r w:rsidRPr="009C5096">
              <w:rPr>
                <w:rFonts w:ascii="Arial" w:eastAsia="Calibri" w:hAnsi="Arial" w:cs="Arial"/>
                <w:b/>
                <w:bCs/>
                <w:sz w:val="20"/>
                <w:szCs w:val="20"/>
              </w:rPr>
              <w:t>Jan. 2016</w:t>
            </w:r>
          </w:p>
        </w:tc>
        <w:tc>
          <w:tcPr>
            <w:tcW w:w="525" w:type="pct"/>
          </w:tcPr>
          <w:p w:rsidR="003136C5" w:rsidRPr="009C5096" w:rsidRDefault="003136C5" w:rsidP="00612896">
            <w:pPr>
              <w:keepNext/>
              <w:keepLines/>
              <w:jc w:val="center"/>
              <w:rPr>
                <w:rFonts w:ascii="Arial" w:eastAsia="Calibri" w:hAnsi="Arial" w:cs="Arial"/>
                <w:b/>
                <w:bCs/>
                <w:sz w:val="20"/>
                <w:szCs w:val="20"/>
              </w:rPr>
            </w:pPr>
            <w:r w:rsidRPr="009C5096">
              <w:rPr>
                <w:rFonts w:ascii="Arial" w:eastAsia="Calibri" w:hAnsi="Arial" w:cs="Arial"/>
                <w:b/>
                <w:bCs/>
                <w:sz w:val="20"/>
                <w:szCs w:val="20"/>
              </w:rPr>
              <w:t>Jan. 2017</w:t>
            </w:r>
          </w:p>
        </w:tc>
        <w:tc>
          <w:tcPr>
            <w:tcW w:w="509" w:type="pct"/>
          </w:tcPr>
          <w:p w:rsidR="003136C5" w:rsidRPr="009C5096" w:rsidRDefault="003136C5" w:rsidP="00612896">
            <w:pPr>
              <w:keepNext/>
              <w:keepLines/>
              <w:jc w:val="center"/>
              <w:rPr>
                <w:rFonts w:ascii="Arial" w:eastAsia="Calibri" w:hAnsi="Arial" w:cs="Arial"/>
                <w:b/>
                <w:bCs/>
                <w:sz w:val="20"/>
                <w:szCs w:val="20"/>
              </w:rPr>
            </w:pPr>
            <w:r w:rsidRPr="009C5096">
              <w:rPr>
                <w:rFonts w:ascii="Arial" w:eastAsia="Calibri" w:hAnsi="Arial" w:cs="Arial"/>
                <w:b/>
                <w:bCs/>
                <w:sz w:val="20"/>
                <w:szCs w:val="20"/>
              </w:rPr>
              <w:t>Jan. 2018</w:t>
            </w:r>
          </w:p>
        </w:tc>
      </w:tr>
      <w:tr w:rsidR="003136C5" w:rsidRPr="009C5096" w:rsidTr="003B72A1">
        <w:trPr>
          <w:trHeight w:val="270"/>
        </w:trPr>
        <w:tc>
          <w:tcPr>
            <w:tcW w:w="1890" w:type="pct"/>
          </w:tcPr>
          <w:p w:rsidR="003136C5" w:rsidRPr="009C5096" w:rsidRDefault="003136C5" w:rsidP="003210AF">
            <w:pPr>
              <w:keepNext/>
              <w:keepLines/>
              <w:rPr>
                <w:rFonts w:ascii="Arial" w:eastAsia="Calibri" w:hAnsi="Arial" w:cs="Arial"/>
                <w:sz w:val="20"/>
                <w:szCs w:val="20"/>
              </w:rPr>
            </w:pPr>
            <w:r w:rsidRPr="009C5096">
              <w:rPr>
                <w:rFonts w:ascii="Arial" w:eastAsia="Calibri" w:hAnsi="Arial" w:cs="Arial"/>
                <w:sz w:val="20"/>
                <w:szCs w:val="20"/>
              </w:rPr>
              <w:t>Agriculture, forestry and fisheries</w:t>
            </w:r>
          </w:p>
        </w:tc>
        <w:tc>
          <w:tcPr>
            <w:tcW w:w="553" w:type="pct"/>
            <w:vAlign w:val="center"/>
          </w:tcPr>
          <w:p w:rsidR="003136C5" w:rsidRPr="009C5096" w:rsidRDefault="003136C5" w:rsidP="003210AF">
            <w:pPr>
              <w:keepNext/>
              <w:keepLines/>
              <w:jc w:val="center"/>
              <w:rPr>
                <w:rFonts w:ascii="Arial" w:eastAsia="Calibri" w:hAnsi="Arial" w:cs="Arial"/>
                <w:sz w:val="20"/>
                <w:szCs w:val="20"/>
              </w:rPr>
            </w:pPr>
            <w:r w:rsidRPr="009C5096">
              <w:rPr>
                <w:rFonts w:ascii="Arial" w:eastAsia="Calibri" w:hAnsi="Arial" w:cs="Arial"/>
                <w:sz w:val="20"/>
                <w:szCs w:val="20"/>
              </w:rPr>
              <w:t>257</w:t>
            </w:r>
          </w:p>
        </w:tc>
        <w:tc>
          <w:tcPr>
            <w:tcW w:w="506" w:type="pct"/>
            <w:vAlign w:val="center"/>
          </w:tcPr>
          <w:p w:rsidR="003136C5" w:rsidRPr="009C5096" w:rsidRDefault="003136C5" w:rsidP="00C21B2C">
            <w:pPr>
              <w:keepNext/>
              <w:keepLines/>
              <w:jc w:val="center"/>
              <w:rPr>
                <w:rFonts w:ascii="Arial" w:eastAsia="Calibri" w:hAnsi="Arial" w:cs="Arial"/>
                <w:sz w:val="20"/>
                <w:szCs w:val="20"/>
              </w:rPr>
            </w:pPr>
            <w:r w:rsidRPr="009C5096">
              <w:rPr>
                <w:rFonts w:ascii="Arial" w:eastAsia="Calibri" w:hAnsi="Arial" w:cs="Arial"/>
                <w:sz w:val="20"/>
                <w:szCs w:val="20"/>
              </w:rPr>
              <w:t>255</w:t>
            </w:r>
          </w:p>
        </w:tc>
        <w:tc>
          <w:tcPr>
            <w:tcW w:w="510" w:type="pct"/>
            <w:vAlign w:val="center"/>
          </w:tcPr>
          <w:p w:rsidR="003136C5" w:rsidRPr="009C5096" w:rsidRDefault="003136C5" w:rsidP="007B5F4F">
            <w:pPr>
              <w:keepNext/>
              <w:keepLines/>
              <w:jc w:val="center"/>
              <w:rPr>
                <w:rFonts w:ascii="Arial" w:eastAsia="Calibri" w:hAnsi="Arial" w:cs="Arial"/>
                <w:sz w:val="20"/>
                <w:szCs w:val="20"/>
              </w:rPr>
            </w:pPr>
            <w:r w:rsidRPr="009C5096">
              <w:rPr>
                <w:rFonts w:ascii="Arial" w:eastAsia="Calibri" w:hAnsi="Arial" w:cs="Arial"/>
                <w:sz w:val="20"/>
                <w:szCs w:val="20"/>
              </w:rPr>
              <w:t>247</w:t>
            </w:r>
          </w:p>
        </w:tc>
        <w:tc>
          <w:tcPr>
            <w:tcW w:w="506" w:type="pct"/>
            <w:vAlign w:val="center"/>
          </w:tcPr>
          <w:p w:rsidR="003136C5" w:rsidRPr="009C5096" w:rsidRDefault="003136C5" w:rsidP="005F36F5">
            <w:pPr>
              <w:keepNext/>
              <w:keepLines/>
              <w:jc w:val="center"/>
              <w:rPr>
                <w:rFonts w:ascii="Arial" w:eastAsia="Calibri" w:hAnsi="Arial" w:cs="Arial"/>
                <w:sz w:val="20"/>
                <w:szCs w:val="20"/>
              </w:rPr>
            </w:pPr>
            <w:r w:rsidRPr="009C5096">
              <w:rPr>
                <w:rFonts w:ascii="Arial" w:eastAsia="Calibri" w:hAnsi="Arial" w:cs="Arial"/>
                <w:sz w:val="20"/>
                <w:szCs w:val="20"/>
              </w:rPr>
              <w:t>283</w:t>
            </w:r>
          </w:p>
        </w:tc>
        <w:tc>
          <w:tcPr>
            <w:tcW w:w="525" w:type="pct"/>
            <w:vAlign w:val="center"/>
          </w:tcPr>
          <w:p w:rsidR="003136C5" w:rsidRPr="009C5096" w:rsidRDefault="003136C5">
            <w:pPr>
              <w:keepNext/>
              <w:keepLines/>
              <w:jc w:val="center"/>
              <w:rPr>
                <w:rFonts w:ascii="Arial" w:eastAsia="Calibri" w:hAnsi="Arial" w:cs="Arial"/>
                <w:sz w:val="20"/>
                <w:szCs w:val="20"/>
              </w:rPr>
            </w:pPr>
            <w:r w:rsidRPr="009C5096">
              <w:rPr>
                <w:rFonts w:ascii="Arial" w:eastAsia="Calibri" w:hAnsi="Arial" w:cs="Arial"/>
                <w:sz w:val="20"/>
                <w:szCs w:val="20"/>
              </w:rPr>
              <w:t>272</w:t>
            </w:r>
          </w:p>
        </w:tc>
        <w:tc>
          <w:tcPr>
            <w:tcW w:w="509" w:type="pct"/>
            <w:vAlign w:val="center"/>
          </w:tcPr>
          <w:p w:rsidR="003136C5" w:rsidRPr="009C5096" w:rsidRDefault="003136C5">
            <w:pPr>
              <w:keepNext/>
              <w:keepLines/>
              <w:jc w:val="center"/>
              <w:rPr>
                <w:rFonts w:ascii="Arial" w:eastAsia="Calibri" w:hAnsi="Arial" w:cs="Arial"/>
                <w:sz w:val="20"/>
                <w:szCs w:val="20"/>
              </w:rPr>
            </w:pPr>
            <w:r w:rsidRPr="009C5096">
              <w:rPr>
                <w:rFonts w:ascii="Arial" w:eastAsia="Calibri" w:hAnsi="Arial" w:cs="Arial"/>
                <w:sz w:val="20"/>
                <w:szCs w:val="20"/>
              </w:rPr>
              <w:t>306</w:t>
            </w:r>
          </w:p>
        </w:tc>
      </w:tr>
    </w:tbl>
    <w:p w:rsidR="003136C5" w:rsidRPr="009C5096" w:rsidRDefault="003136C5" w:rsidP="003136C5">
      <w:pPr>
        <w:jc w:val="both"/>
        <w:rPr>
          <w:rFonts w:ascii="Arial" w:hAnsi="Arial" w:cs="Arial"/>
          <w:sz w:val="18"/>
          <w:szCs w:val="18"/>
        </w:rPr>
      </w:pPr>
      <w:r w:rsidRPr="009C5096">
        <w:rPr>
          <w:rFonts w:ascii="Arial" w:hAnsi="Arial" w:cs="Arial"/>
          <w:sz w:val="18"/>
          <w:szCs w:val="18"/>
        </w:rPr>
        <w:t>Source: SSO, 2019</w:t>
      </w:r>
    </w:p>
    <w:p w:rsidR="003136C5" w:rsidRPr="009C5096" w:rsidRDefault="003136C5" w:rsidP="003136C5">
      <w:pPr>
        <w:pStyle w:val="Caption"/>
        <w:spacing w:before="120" w:after="120"/>
        <w:rPr>
          <w:rFonts w:ascii="Arial" w:hAnsi="Arial" w:cs="Arial"/>
          <w:i/>
          <w:iCs/>
          <w:sz w:val="22"/>
          <w:szCs w:val="22"/>
        </w:rPr>
      </w:pPr>
      <w:bookmarkStart w:id="10" w:name="_Toc6902270"/>
      <w:r w:rsidRPr="009C5096">
        <w:rPr>
          <w:rFonts w:ascii="Arial" w:hAnsi="Arial" w:cs="Arial"/>
          <w:sz w:val="22"/>
          <w:szCs w:val="22"/>
        </w:rPr>
        <w:t xml:space="preserve">Table </w:t>
      </w:r>
      <w:r w:rsidRPr="009C5096">
        <w:rPr>
          <w:rFonts w:ascii="Arial" w:hAnsi="Arial" w:cs="Arial"/>
          <w:i/>
          <w:sz w:val="22"/>
          <w:szCs w:val="22"/>
        </w:rPr>
        <w:fldChar w:fldCharType="begin"/>
      </w:r>
      <w:r w:rsidRPr="009C5096">
        <w:rPr>
          <w:rFonts w:ascii="Arial" w:hAnsi="Arial" w:cs="Arial"/>
          <w:sz w:val="22"/>
          <w:szCs w:val="22"/>
        </w:rPr>
        <w:instrText xml:space="preserve"> SEQ Table \* ARABIC </w:instrText>
      </w:r>
      <w:r w:rsidRPr="009C5096">
        <w:rPr>
          <w:rFonts w:ascii="Arial" w:hAnsi="Arial" w:cs="Arial"/>
          <w:i/>
          <w:sz w:val="22"/>
          <w:szCs w:val="22"/>
        </w:rPr>
        <w:fldChar w:fldCharType="separate"/>
      </w:r>
      <w:r w:rsidRPr="009C5096">
        <w:rPr>
          <w:rFonts w:ascii="Arial" w:hAnsi="Arial" w:cs="Arial"/>
          <w:sz w:val="22"/>
          <w:szCs w:val="22"/>
        </w:rPr>
        <w:t>4</w:t>
      </w:r>
      <w:r w:rsidRPr="009C5096">
        <w:rPr>
          <w:rFonts w:ascii="Arial" w:hAnsi="Arial" w:cs="Arial"/>
          <w:i/>
          <w:sz w:val="22"/>
          <w:szCs w:val="22"/>
        </w:rPr>
        <w:fldChar w:fldCharType="end"/>
      </w:r>
      <w:r w:rsidRPr="009C5096">
        <w:rPr>
          <w:rFonts w:ascii="Arial" w:hAnsi="Arial" w:cs="Arial"/>
          <w:sz w:val="22"/>
          <w:szCs w:val="22"/>
        </w:rPr>
        <w:t>: Employees in agriculture, forestry and fisheries</w:t>
      </w:r>
      <w:bookmarkEnd w:id="10"/>
    </w:p>
    <w:tbl>
      <w:tblPr>
        <w:tblW w:w="50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47"/>
        <w:gridCol w:w="1008"/>
        <w:gridCol w:w="923"/>
        <w:gridCol w:w="930"/>
        <w:gridCol w:w="923"/>
        <w:gridCol w:w="957"/>
        <w:gridCol w:w="928"/>
      </w:tblGrid>
      <w:tr w:rsidR="003136C5" w:rsidRPr="009C5096" w:rsidTr="00612896">
        <w:trPr>
          <w:trHeight w:val="270"/>
        </w:trPr>
        <w:tc>
          <w:tcPr>
            <w:tcW w:w="1890" w:type="pct"/>
          </w:tcPr>
          <w:p w:rsidR="003136C5" w:rsidRPr="009C5096" w:rsidRDefault="003136C5" w:rsidP="00612896">
            <w:pPr>
              <w:keepNext/>
              <w:keepLines/>
              <w:rPr>
                <w:rFonts w:ascii="Arial" w:eastAsia="Calibri" w:hAnsi="Arial" w:cs="Arial"/>
                <w:b/>
                <w:bCs/>
                <w:sz w:val="20"/>
                <w:szCs w:val="20"/>
              </w:rPr>
            </w:pPr>
            <w:r w:rsidRPr="009C5096">
              <w:rPr>
                <w:rFonts w:ascii="Arial" w:eastAsia="Calibri" w:hAnsi="Arial" w:cs="Arial"/>
                <w:b/>
                <w:bCs/>
                <w:sz w:val="20"/>
                <w:szCs w:val="20"/>
              </w:rPr>
              <w:t>Description</w:t>
            </w:r>
          </w:p>
        </w:tc>
        <w:tc>
          <w:tcPr>
            <w:tcW w:w="553" w:type="pct"/>
          </w:tcPr>
          <w:p w:rsidR="003136C5" w:rsidRPr="009C5096" w:rsidRDefault="003136C5" w:rsidP="00612896">
            <w:pPr>
              <w:keepNext/>
              <w:keepLines/>
              <w:jc w:val="center"/>
              <w:rPr>
                <w:rFonts w:ascii="Arial" w:eastAsia="Calibri" w:hAnsi="Arial" w:cs="Arial"/>
                <w:b/>
                <w:bCs/>
                <w:sz w:val="20"/>
                <w:szCs w:val="20"/>
              </w:rPr>
            </w:pPr>
            <w:r w:rsidRPr="009C5096">
              <w:rPr>
                <w:rFonts w:ascii="Arial" w:eastAsia="Calibri" w:hAnsi="Arial" w:cs="Arial"/>
                <w:b/>
                <w:bCs/>
                <w:sz w:val="20"/>
                <w:szCs w:val="20"/>
              </w:rPr>
              <w:t>2013</w:t>
            </w:r>
          </w:p>
        </w:tc>
        <w:tc>
          <w:tcPr>
            <w:tcW w:w="506" w:type="pct"/>
          </w:tcPr>
          <w:p w:rsidR="003136C5" w:rsidRPr="009C5096" w:rsidRDefault="003136C5" w:rsidP="00612896">
            <w:pPr>
              <w:keepNext/>
              <w:keepLines/>
              <w:jc w:val="center"/>
              <w:rPr>
                <w:rFonts w:ascii="Arial" w:eastAsia="Calibri" w:hAnsi="Arial" w:cs="Arial"/>
                <w:b/>
                <w:bCs/>
                <w:sz w:val="20"/>
                <w:szCs w:val="20"/>
              </w:rPr>
            </w:pPr>
            <w:r w:rsidRPr="009C5096">
              <w:rPr>
                <w:rFonts w:ascii="Arial" w:eastAsia="Calibri" w:hAnsi="Arial" w:cs="Arial"/>
                <w:b/>
                <w:bCs/>
                <w:sz w:val="20"/>
                <w:szCs w:val="20"/>
              </w:rPr>
              <w:t>2014</w:t>
            </w:r>
          </w:p>
        </w:tc>
        <w:tc>
          <w:tcPr>
            <w:tcW w:w="510" w:type="pct"/>
          </w:tcPr>
          <w:p w:rsidR="003136C5" w:rsidRPr="009C5096" w:rsidRDefault="003136C5" w:rsidP="00612896">
            <w:pPr>
              <w:keepNext/>
              <w:keepLines/>
              <w:jc w:val="center"/>
              <w:rPr>
                <w:rFonts w:ascii="Arial" w:eastAsia="Calibri" w:hAnsi="Arial" w:cs="Arial"/>
                <w:b/>
                <w:bCs/>
                <w:sz w:val="20"/>
                <w:szCs w:val="20"/>
              </w:rPr>
            </w:pPr>
            <w:r w:rsidRPr="009C5096">
              <w:rPr>
                <w:rFonts w:ascii="Arial" w:eastAsia="Calibri" w:hAnsi="Arial" w:cs="Arial"/>
                <w:b/>
                <w:bCs/>
                <w:sz w:val="20"/>
                <w:szCs w:val="20"/>
              </w:rPr>
              <w:t>2015</w:t>
            </w:r>
          </w:p>
        </w:tc>
        <w:tc>
          <w:tcPr>
            <w:tcW w:w="506" w:type="pct"/>
          </w:tcPr>
          <w:p w:rsidR="003136C5" w:rsidRPr="009C5096" w:rsidRDefault="003136C5" w:rsidP="00612896">
            <w:pPr>
              <w:keepNext/>
              <w:keepLines/>
              <w:jc w:val="center"/>
              <w:rPr>
                <w:rFonts w:ascii="Arial" w:eastAsia="Calibri" w:hAnsi="Arial" w:cs="Arial"/>
                <w:b/>
                <w:bCs/>
                <w:sz w:val="20"/>
                <w:szCs w:val="20"/>
              </w:rPr>
            </w:pPr>
            <w:r w:rsidRPr="009C5096">
              <w:rPr>
                <w:rFonts w:ascii="Arial" w:eastAsia="Calibri" w:hAnsi="Arial" w:cs="Arial"/>
                <w:b/>
                <w:bCs/>
                <w:sz w:val="20"/>
                <w:szCs w:val="20"/>
              </w:rPr>
              <w:t>2016</w:t>
            </w:r>
          </w:p>
        </w:tc>
        <w:tc>
          <w:tcPr>
            <w:tcW w:w="525" w:type="pct"/>
          </w:tcPr>
          <w:p w:rsidR="003136C5" w:rsidRPr="009C5096" w:rsidRDefault="003136C5" w:rsidP="00612896">
            <w:pPr>
              <w:keepNext/>
              <w:keepLines/>
              <w:jc w:val="center"/>
              <w:rPr>
                <w:rFonts w:ascii="Arial" w:eastAsia="Calibri" w:hAnsi="Arial" w:cs="Arial"/>
                <w:b/>
                <w:bCs/>
                <w:sz w:val="20"/>
                <w:szCs w:val="20"/>
              </w:rPr>
            </w:pPr>
            <w:r w:rsidRPr="009C5096">
              <w:rPr>
                <w:rFonts w:ascii="Arial" w:eastAsia="Calibri" w:hAnsi="Arial" w:cs="Arial"/>
                <w:b/>
                <w:bCs/>
                <w:sz w:val="20"/>
                <w:szCs w:val="20"/>
              </w:rPr>
              <w:t>2017</w:t>
            </w:r>
          </w:p>
        </w:tc>
        <w:tc>
          <w:tcPr>
            <w:tcW w:w="509" w:type="pct"/>
          </w:tcPr>
          <w:p w:rsidR="003136C5" w:rsidRPr="009C5096" w:rsidRDefault="003136C5" w:rsidP="00612896">
            <w:pPr>
              <w:keepNext/>
              <w:keepLines/>
              <w:jc w:val="center"/>
              <w:rPr>
                <w:rFonts w:ascii="Arial" w:eastAsia="Calibri" w:hAnsi="Arial" w:cs="Arial"/>
                <w:b/>
                <w:bCs/>
                <w:sz w:val="20"/>
                <w:szCs w:val="20"/>
              </w:rPr>
            </w:pPr>
            <w:r w:rsidRPr="009C5096">
              <w:rPr>
                <w:rFonts w:ascii="Arial" w:eastAsia="Calibri" w:hAnsi="Arial" w:cs="Arial"/>
                <w:b/>
                <w:bCs/>
                <w:sz w:val="20"/>
                <w:szCs w:val="20"/>
              </w:rPr>
              <w:t>2018</w:t>
            </w:r>
          </w:p>
        </w:tc>
      </w:tr>
      <w:tr w:rsidR="003136C5" w:rsidRPr="009C5096" w:rsidTr="003B72A1">
        <w:trPr>
          <w:trHeight w:val="270"/>
        </w:trPr>
        <w:tc>
          <w:tcPr>
            <w:tcW w:w="1890" w:type="pct"/>
          </w:tcPr>
          <w:p w:rsidR="003136C5" w:rsidRPr="009C5096" w:rsidRDefault="003136C5" w:rsidP="00612896">
            <w:pPr>
              <w:keepNext/>
              <w:keepLines/>
              <w:rPr>
                <w:rFonts w:ascii="Arial" w:eastAsia="Calibri" w:hAnsi="Arial" w:cs="Arial"/>
                <w:sz w:val="20"/>
                <w:szCs w:val="20"/>
              </w:rPr>
            </w:pPr>
            <w:r w:rsidRPr="009C5096">
              <w:rPr>
                <w:rFonts w:ascii="Arial" w:eastAsia="Calibri" w:hAnsi="Arial" w:cs="Arial"/>
                <w:sz w:val="20"/>
                <w:szCs w:val="20"/>
              </w:rPr>
              <w:t>Agriculture, forestry and, fisheries</w:t>
            </w:r>
          </w:p>
        </w:tc>
        <w:tc>
          <w:tcPr>
            <w:tcW w:w="553" w:type="pct"/>
            <w:vAlign w:val="center"/>
          </w:tcPr>
          <w:p w:rsidR="003136C5" w:rsidRPr="009C5096" w:rsidRDefault="003136C5" w:rsidP="003210AF">
            <w:pPr>
              <w:keepNext/>
              <w:keepLines/>
              <w:jc w:val="center"/>
              <w:rPr>
                <w:rFonts w:ascii="Arial" w:eastAsia="Calibri" w:hAnsi="Arial" w:cs="Arial"/>
                <w:sz w:val="20"/>
                <w:szCs w:val="20"/>
              </w:rPr>
            </w:pPr>
            <w:r w:rsidRPr="009C5096">
              <w:rPr>
                <w:rFonts w:ascii="Arial" w:eastAsia="Calibri" w:hAnsi="Arial" w:cs="Arial"/>
                <w:sz w:val="20"/>
                <w:szCs w:val="20"/>
              </w:rPr>
              <w:t>12</w:t>
            </w:r>
            <w:r w:rsidR="003210AF">
              <w:rPr>
                <w:rFonts w:ascii="Arial" w:eastAsia="Calibri" w:hAnsi="Arial" w:cs="Arial"/>
                <w:sz w:val="20"/>
                <w:szCs w:val="20"/>
              </w:rPr>
              <w:t>,</w:t>
            </w:r>
            <w:r w:rsidRPr="009C5096">
              <w:rPr>
                <w:rFonts w:ascii="Arial" w:eastAsia="Calibri" w:hAnsi="Arial" w:cs="Arial"/>
                <w:sz w:val="20"/>
                <w:szCs w:val="20"/>
              </w:rPr>
              <w:t>348</w:t>
            </w:r>
          </w:p>
        </w:tc>
        <w:tc>
          <w:tcPr>
            <w:tcW w:w="506" w:type="pct"/>
            <w:vAlign w:val="center"/>
          </w:tcPr>
          <w:p w:rsidR="003136C5" w:rsidRPr="009C5096" w:rsidRDefault="003136C5" w:rsidP="003210AF">
            <w:pPr>
              <w:keepNext/>
              <w:keepLines/>
              <w:jc w:val="center"/>
              <w:rPr>
                <w:rFonts w:ascii="Arial" w:eastAsia="Calibri" w:hAnsi="Arial" w:cs="Arial"/>
                <w:sz w:val="20"/>
                <w:szCs w:val="20"/>
              </w:rPr>
            </w:pPr>
            <w:r w:rsidRPr="009C5096">
              <w:rPr>
                <w:rFonts w:ascii="Arial" w:eastAsia="Calibri" w:hAnsi="Arial" w:cs="Arial"/>
                <w:sz w:val="20"/>
                <w:szCs w:val="20"/>
              </w:rPr>
              <w:t>12</w:t>
            </w:r>
            <w:r w:rsidR="003210AF">
              <w:rPr>
                <w:rFonts w:ascii="Arial" w:eastAsia="Calibri" w:hAnsi="Arial" w:cs="Arial"/>
                <w:sz w:val="20"/>
                <w:szCs w:val="20"/>
              </w:rPr>
              <w:t>,</w:t>
            </w:r>
            <w:r w:rsidRPr="009C5096">
              <w:rPr>
                <w:rFonts w:ascii="Arial" w:eastAsia="Calibri" w:hAnsi="Arial" w:cs="Arial"/>
                <w:sz w:val="20"/>
                <w:szCs w:val="20"/>
              </w:rPr>
              <w:t>649</w:t>
            </w:r>
          </w:p>
        </w:tc>
        <w:tc>
          <w:tcPr>
            <w:tcW w:w="510" w:type="pct"/>
            <w:vAlign w:val="center"/>
          </w:tcPr>
          <w:p w:rsidR="003136C5" w:rsidRPr="009C5096" w:rsidRDefault="003136C5" w:rsidP="003210AF">
            <w:pPr>
              <w:keepNext/>
              <w:keepLines/>
              <w:jc w:val="center"/>
              <w:rPr>
                <w:rFonts w:ascii="Arial" w:eastAsia="Calibri" w:hAnsi="Arial" w:cs="Arial"/>
                <w:sz w:val="20"/>
                <w:szCs w:val="20"/>
              </w:rPr>
            </w:pPr>
            <w:r w:rsidRPr="009C5096">
              <w:rPr>
                <w:rFonts w:ascii="Arial" w:eastAsia="Calibri" w:hAnsi="Arial" w:cs="Arial"/>
                <w:sz w:val="20"/>
                <w:szCs w:val="20"/>
              </w:rPr>
              <w:t>11</w:t>
            </w:r>
            <w:r w:rsidR="003210AF">
              <w:rPr>
                <w:rFonts w:ascii="Arial" w:eastAsia="Calibri" w:hAnsi="Arial" w:cs="Arial"/>
                <w:sz w:val="20"/>
                <w:szCs w:val="20"/>
              </w:rPr>
              <w:t>,</w:t>
            </w:r>
            <w:r w:rsidRPr="009C5096">
              <w:rPr>
                <w:rFonts w:ascii="Arial" w:eastAsia="Calibri" w:hAnsi="Arial" w:cs="Arial"/>
                <w:sz w:val="20"/>
                <w:szCs w:val="20"/>
              </w:rPr>
              <w:t>561</w:t>
            </w:r>
          </w:p>
        </w:tc>
        <w:tc>
          <w:tcPr>
            <w:tcW w:w="506" w:type="pct"/>
            <w:vAlign w:val="center"/>
          </w:tcPr>
          <w:p w:rsidR="003136C5" w:rsidRPr="009C5096" w:rsidRDefault="003136C5" w:rsidP="003210AF">
            <w:pPr>
              <w:keepNext/>
              <w:keepLines/>
              <w:jc w:val="center"/>
              <w:rPr>
                <w:rFonts w:ascii="Arial" w:eastAsia="Calibri" w:hAnsi="Arial" w:cs="Arial"/>
                <w:sz w:val="20"/>
                <w:szCs w:val="20"/>
              </w:rPr>
            </w:pPr>
            <w:r w:rsidRPr="009C5096">
              <w:rPr>
                <w:rFonts w:ascii="Arial" w:eastAsia="Calibri" w:hAnsi="Arial" w:cs="Arial"/>
                <w:sz w:val="20"/>
                <w:szCs w:val="20"/>
              </w:rPr>
              <w:t>11</w:t>
            </w:r>
            <w:r w:rsidR="003210AF">
              <w:rPr>
                <w:rFonts w:ascii="Arial" w:eastAsia="Calibri" w:hAnsi="Arial" w:cs="Arial"/>
                <w:sz w:val="20"/>
                <w:szCs w:val="20"/>
              </w:rPr>
              <w:t>,</w:t>
            </w:r>
            <w:r w:rsidRPr="009C5096">
              <w:rPr>
                <w:rFonts w:ascii="Arial" w:eastAsia="Calibri" w:hAnsi="Arial" w:cs="Arial"/>
                <w:sz w:val="20"/>
                <w:szCs w:val="20"/>
              </w:rPr>
              <w:t>133</w:t>
            </w:r>
          </w:p>
        </w:tc>
        <w:tc>
          <w:tcPr>
            <w:tcW w:w="525" w:type="pct"/>
            <w:vAlign w:val="center"/>
          </w:tcPr>
          <w:p w:rsidR="003136C5" w:rsidRPr="009C5096" w:rsidRDefault="003136C5" w:rsidP="00E35603">
            <w:pPr>
              <w:keepNext/>
              <w:keepLines/>
              <w:jc w:val="center"/>
              <w:rPr>
                <w:rFonts w:ascii="Arial" w:eastAsia="Calibri" w:hAnsi="Arial" w:cs="Arial"/>
                <w:sz w:val="20"/>
                <w:szCs w:val="20"/>
              </w:rPr>
            </w:pPr>
            <w:r w:rsidRPr="009C5096">
              <w:rPr>
                <w:rFonts w:ascii="Arial" w:eastAsia="Calibri" w:hAnsi="Arial" w:cs="Arial"/>
                <w:sz w:val="20"/>
                <w:szCs w:val="20"/>
              </w:rPr>
              <w:t>11</w:t>
            </w:r>
            <w:r w:rsidR="003210AF">
              <w:rPr>
                <w:rFonts w:ascii="Arial" w:eastAsia="Calibri" w:hAnsi="Arial" w:cs="Arial"/>
                <w:sz w:val="20"/>
                <w:szCs w:val="20"/>
              </w:rPr>
              <w:t>,</w:t>
            </w:r>
            <w:r w:rsidRPr="009C5096">
              <w:rPr>
                <w:rFonts w:ascii="Arial" w:eastAsia="Calibri" w:hAnsi="Arial" w:cs="Arial"/>
                <w:sz w:val="20"/>
                <w:szCs w:val="20"/>
              </w:rPr>
              <w:t>665</w:t>
            </w:r>
          </w:p>
        </w:tc>
        <w:tc>
          <w:tcPr>
            <w:tcW w:w="509" w:type="pct"/>
            <w:vAlign w:val="center"/>
          </w:tcPr>
          <w:p w:rsidR="003136C5" w:rsidRPr="009C5096" w:rsidRDefault="003136C5" w:rsidP="00E35603">
            <w:pPr>
              <w:keepNext/>
              <w:keepLines/>
              <w:jc w:val="center"/>
              <w:rPr>
                <w:rFonts w:ascii="Arial" w:eastAsia="Calibri" w:hAnsi="Arial" w:cs="Arial"/>
                <w:sz w:val="20"/>
                <w:szCs w:val="20"/>
              </w:rPr>
            </w:pPr>
            <w:r w:rsidRPr="009C5096">
              <w:rPr>
                <w:rFonts w:ascii="Arial" w:eastAsia="Calibri" w:hAnsi="Arial" w:cs="Arial"/>
                <w:sz w:val="20"/>
                <w:szCs w:val="20"/>
              </w:rPr>
              <w:t>11</w:t>
            </w:r>
            <w:r w:rsidR="003210AF">
              <w:rPr>
                <w:rFonts w:ascii="Arial" w:eastAsia="Calibri" w:hAnsi="Arial" w:cs="Arial"/>
                <w:sz w:val="20"/>
                <w:szCs w:val="20"/>
              </w:rPr>
              <w:t>,</w:t>
            </w:r>
            <w:r w:rsidRPr="009C5096">
              <w:rPr>
                <w:rFonts w:ascii="Arial" w:eastAsia="Calibri" w:hAnsi="Arial" w:cs="Arial"/>
                <w:sz w:val="20"/>
                <w:szCs w:val="20"/>
              </w:rPr>
              <w:t>725</w:t>
            </w:r>
          </w:p>
        </w:tc>
      </w:tr>
    </w:tbl>
    <w:p w:rsidR="003136C5" w:rsidRPr="009C5096" w:rsidRDefault="003136C5" w:rsidP="003136C5">
      <w:pPr>
        <w:jc w:val="both"/>
        <w:rPr>
          <w:rFonts w:ascii="Arial" w:hAnsi="Arial" w:cs="Arial"/>
          <w:sz w:val="18"/>
          <w:szCs w:val="18"/>
        </w:rPr>
      </w:pPr>
      <w:r w:rsidRPr="009C5096">
        <w:rPr>
          <w:rFonts w:ascii="Arial" w:hAnsi="Arial" w:cs="Arial"/>
          <w:sz w:val="18"/>
          <w:szCs w:val="18"/>
        </w:rPr>
        <w:t>Source: SSO, 2019</w:t>
      </w:r>
    </w:p>
    <w:p w:rsidR="003136C5" w:rsidRPr="009C5096" w:rsidRDefault="003136C5" w:rsidP="003136C5">
      <w:pPr>
        <w:spacing w:before="120" w:after="120"/>
        <w:rPr>
          <w:rFonts w:ascii="Arial" w:eastAsia="SimSun" w:hAnsi="Arial" w:cs="Arial"/>
          <w:b/>
          <w:bCs/>
          <w:i/>
          <w:kern w:val="32"/>
          <w:lang w:eastAsia="zh-CN"/>
        </w:rPr>
      </w:pPr>
      <w:r w:rsidRPr="009C5096">
        <w:rPr>
          <w:rFonts w:ascii="Arial" w:eastAsia="SimSun" w:hAnsi="Arial" w:cs="Arial"/>
          <w:b/>
          <w:bCs/>
          <w:i/>
          <w:kern w:val="32"/>
          <w:lang w:eastAsia="zh-CN"/>
        </w:rPr>
        <w:t>General trade and trade with agro-food and fishery products</w:t>
      </w:r>
    </w:p>
    <w:p w:rsidR="003136C5" w:rsidRPr="003B72A1" w:rsidRDefault="003136C5" w:rsidP="003136C5">
      <w:pPr>
        <w:spacing w:before="120"/>
        <w:jc w:val="both"/>
        <w:rPr>
          <w:rFonts w:ascii="Arial" w:hAnsi="Arial" w:cs="Arial"/>
          <w:sz w:val="22"/>
        </w:rPr>
      </w:pPr>
      <w:bookmarkStart w:id="11" w:name="_Toc486596997"/>
      <w:r w:rsidRPr="003B72A1">
        <w:rPr>
          <w:rFonts w:ascii="Arial" w:hAnsi="Arial" w:cs="Arial"/>
          <w:sz w:val="22"/>
        </w:rPr>
        <w:t>In 2017, the overall trade (industrial + agro-food products) (export + import) compared to 2016 increased by 13</w:t>
      </w:r>
      <w:r w:rsidR="003210AF" w:rsidRPr="003B72A1">
        <w:rPr>
          <w:rFonts w:ascii="Arial" w:hAnsi="Arial" w:cs="Arial"/>
          <w:sz w:val="22"/>
        </w:rPr>
        <w:t>.</w:t>
      </w:r>
      <w:r w:rsidRPr="003B72A1">
        <w:rPr>
          <w:rFonts w:ascii="Arial" w:hAnsi="Arial" w:cs="Arial"/>
          <w:sz w:val="22"/>
        </w:rPr>
        <w:t>4%. T</w:t>
      </w:r>
      <w:r w:rsidR="00E35603" w:rsidRPr="003B72A1">
        <w:rPr>
          <w:rFonts w:ascii="Arial" w:hAnsi="Arial" w:cs="Arial"/>
          <w:sz w:val="22"/>
        </w:rPr>
        <w:t>he t</w:t>
      </w:r>
      <w:r w:rsidRPr="003B72A1">
        <w:rPr>
          <w:rFonts w:ascii="Arial" w:hAnsi="Arial" w:cs="Arial"/>
          <w:sz w:val="22"/>
        </w:rPr>
        <w:t>otal export (industrial + agro-food products) in 2017 compared with 2016 increased by 15</w:t>
      </w:r>
      <w:r w:rsidR="003210AF" w:rsidRPr="003B72A1">
        <w:rPr>
          <w:rFonts w:ascii="Arial" w:hAnsi="Arial" w:cs="Arial"/>
          <w:sz w:val="22"/>
        </w:rPr>
        <w:t>.</w:t>
      </w:r>
      <w:r w:rsidRPr="003B72A1">
        <w:rPr>
          <w:rFonts w:ascii="Arial" w:hAnsi="Arial" w:cs="Arial"/>
          <w:sz w:val="22"/>
        </w:rPr>
        <w:t xml:space="preserve">6% and </w:t>
      </w:r>
      <w:r w:rsidR="00E35603" w:rsidRPr="003B72A1">
        <w:rPr>
          <w:rFonts w:ascii="Arial" w:hAnsi="Arial" w:cs="Arial"/>
          <w:sz w:val="22"/>
        </w:rPr>
        <w:t xml:space="preserve">the </w:t>
      </w:r>
      <w:r w:rsidRPr="003B72A1">
        <w:rPr>
          <w:rFonts w:ascii="Arial" w:hAnsi="Arial" w:cs="Arial"/>
          <w:sz w:val="22"/>
        </w:rPr>
        <w:t>total import shows increase by 11</w:t>
      </w:r>
      <w:r w:rsidR="003210AF" w:rsidRPr="003B72A1">
        <w:rPr>
          <w:rFonts w:ascii="Arial" w:hAnsi="Arial" w:cs="Arial"/>
          <w:sz w:val="22"/>
        </w:rPr>
        <w:t>.</w:t>
      </w:r>
      <w:r w:rsidRPr="003B72A1">
        <w:rPr>
          <w:rFonts w:ascii="Arial" w:hAnsi="Arial" w:cs="Arial"/>
          <w:sz w:val="22"/>
        </w:rPr>
        <w:t>7%. The export of agro-food products in 2017 compared with 2016 increased by 1% (from €530</w:t>
      </w:r>
      <w:r w:rsidR="003210AF" w:rsidRPr="003B72A1">
        <w:rPr>
          <w:rFonts w:ascii="Arial" w:hAnsi="Arial" w:cs="Arial"/>
          <w:sz w:val="22"/>
        </w:rPr>
        <w:t>.</w:t>
      </w:r>
      <w:r w:rsidRPr="003B72A1">
        <w:rPr>
          <w:rFonts w:ascii="Arial" w:hAnsi="Arial" w:cs="Arial"/>
          <w:sz w:val="22"/>
        </w:rPr>
        <w:t>5 million in 2016 to €536</w:t>
      </w:r>
      <w:r w:rsidR="00E35603" w:rsidRPr="003B72A1">
        <w:rPr>
          <w:rFonts w:ascii="Arial" w:hAnsi="Arial" w:cs="Arial"/>
          <w:sz w:val="22"/>
        </w:rPr>
        <w:t>.</w:t>
      </w:r>
      <w:r w:rsidRPr="003B72A1">
        <w:rPr>
          <w:rFonts w:ascii="Arial" w:hAnsi="Arial" w:cs="Arial"/>
          <w:sz w:val="22"/>
        </w:rPr>
        <w:t>2 million in 2017), and the import of agro-food products in 2017 compared with 2016 increased by 5</w:t>
      </w:r>
      <w:r w:rsidR="003210AF" w:rsidRPr="003B72A1">
        <w:rPr>
          <w:rFonts w:ascii="Arial" w:hAnsi="Arial" w:cs="Arial"/>
          <w:sz w:val="22"/>
        </w:rPr>
        <w:t>.</w:t>
      </w:r>
      <w:r w:rsidRPr="003B72A1">
        <w:rPr>
          <w:rFonts w:ascii="Arial" w:hAnsi="Arial" w:cs="Arial"/>
          <w:sz w:val="22"/>
        </w:rPr>
        <w:t>8% (from €718 million to €759</w:t>
      </w:r>
      <w:r w:rsidR="003210AF" w:rsidRPr="003B72A1">
        <w:rPr>
          <w:rFonts w:ascii="Arial" w:hAnsi="Arial" w:cs="Arial"/>
          <w:sz w:val="22"/>
        </w:rPr>
        <w:t>.</w:t>
      </w:r>
      <w:r w:rsidRPr="003B72A1">
        <w:rPr>
          <w:rFonts w:ascii="Arial" w:hAnsi="Arial" w:cs="Arial"/>
          <w:sz w:val="22"/>
        </w:rPr>
        <w:t>8 million).</w:t>
      </w:r>
    </w:p>
    <w:p w:rsidR="003136C5" w:rsidRPr="003B72A1" w:rsidRDefault="003136C5" w:rsidP="003136C5">
      <w:pPr>
        <w:spacing w:before="120"/>
        <w:jc w:val="both"/>
        <w:rPr>
          <w:rFonts w:ascii="Arial" w:hAnsi="Arial" w:cs="Arial"/>
          <w:sz w:val="22"/>
          <w:szCs w:val="22"/>
        </w:rPr>
      </w:pPr>
      <w:r w:rsidRPr="003B72A1">
        <w:rPr>
          <w:rFonts w:ascii="Arial" w:hAnsi="Arial" w:cs="Arial"/>
          <w:sz w:val="22"/>
        </w:rPr>
        <w:t>In 2018, the overall trade (industrial + agro-food products) (export + import) compared to 2017 has increased by 14</w:t>
      </w:r>
      <w:r w:rsidR="003210AF" w:rsidRPr="003B72A1">
        <w:rPr>
          <w:rFonts w:ascii="Arial" w:hAnsi="Arial" w:cs="Arial"/>
          <w:sz w:val="22"/>
        </w:rPr>
        <w:t>.</w:t>
      </w:r>
      <w:r w:rsidRPr="003B72A1">
        <w:rPr>
          <w:rFonts w:ascii="Arial" w:hAnsi="Arial" w:cs="Arial"/>
          <w:sz w:val="22"/>
        </w:rPr>
        <w:t>4%. Total export (industrial + agro-food products) in 2018 compared with 2017 was increased by 17% and total import shows increase by 12</w:t>
      </w:r>
      <w:r w:rsidR="003210AF" w:rsidRPr="003B72A1">
        <w:rPr>
          <w:rFonts w:ascii="Arial" w:hAnsi="Arial" w:cs="Arial"/>
          <w:sz w:val="22"/>
        </w:rPr>
        <w:t>.</w:t>
      </w:r>
      <w:r w:rsidRPr="003B72A1">
        <w:rPr>
          <w:rFonts w:ascii="Arial" w:hAnsi="Arial" w:cs="Arial"/>
          <w:sz w:val="22"/>
        </w:rPr>
        <w:t>4%. The export of agro-food products in 2018 compared with 2017 has increased by 1</w:t>
      </w:r>
      <w:r w:rsidR="003210AF" w:rsidRPr="003B72A1">
        <w:rPr>
          <w:rFonts w:ascii="Arial" w:hAnsi="Arial" w:cs="Arial"/>
          <w:sz w:val="22"/>
        </w:rPr>
        <w:t>.</w:t>
      </w:r>
      <w:r w:rsidRPr="003B72A1">
        <w:rPr>
          <w:rFonts w:ascii="Arial" w:hAnsi="Arial" w:cs="Arial"/>
          <w:sz w:val="22"/>
        </w:rPr>
        <w:t xml:space="preserve">7% (from €536,2 million in 2017 to €545,5 million in 2018 ), and the import of agro-food products in </w:t>
      </w:r>
      <w:r w:rsidRPr="003B72A1">
        <w:rPr>
          <w:rFonts w:ascii="Arial" w:hAnsi="Arial" w:cs="Arial"/>
          <w:sz w:val="22"/>
          <w:szCs w:val="22"/>
        </w:rPr>
        <w:t>2018 compared with 2017 increased by 4</w:t>
      </w:r>
      <w:r w:rsidR="003210AF" w:rsidRPr="003B72A1">
        <w:rPr>
          <w:rFonts w:ascii="Arial" w:hAnsi="Arial" w:cs="Arial"/>
          <w:sz w:val="22"/>
          <w:szCs w:val="22"/>
        </w:rPr>
        <w:t>.</w:t>
      </w:r>
      <w:r w:rsidRPr="003B72A1">
        <w:rPr>
          <w:rFonts w:ascii="Arial" w:hAnsi="Arial" w:cs="Arial"/>
          <w:sz w:val="22"/>
          <w:szCs w:val="22"/>
        </w:rPr>
        <w:t>2% (from €759</w:t>
      </w:r>
      <w:r w:rsidR="003210AF" w:rsidRPr="003B72A1">
        <w:rPr>
          <w:rFonts w:ascii="Arial" w:hAnsi="Arial" w:cs="Arial"/>
          <w:sz w:val="22"/>
          <w:szCs w:val="22"/>
        </w:rPr>
        <w:t>.</w:t>
      </w:r>
      <w:r w:rsidRPr="003B72A1">
        <w:rPr>
          <w:rFonts w:ascii="Arial" w:hAnsi="Arial" w:cs="Arial"/>
          <w:sz w:val="22"/>
          <w:szCs w:val="22"/>
        </w:rPr>
        <w:t>8 million to €792</w:t>
      </w:r>
      <w:r w:rsidR="003210AF" w:rsidRPr="003B72A1">
        <w:rPr>
          <w:rFonts w:ascii="Arial" w:hAnsi="Arial" w:cs="Arial"/>
          <w:sz w:val="22"/>
          <w:szCs w:val="22"/>
        </w:rPr>
        <w:t>.</w:t>
      </w:r>
      <w:r w:rsidRPr="003B72A1">
        <w:rPr>
          <w:rFonts w:ascii="Arial" w:hAnsi="Arial" w:cs="Arial"/>
          <w:sz w:val="22"/>
          <w:szCs w:val="22"/>
        </w:rPr>
        <w:t>2 million).</w:t>
      </w:r>
    </w:p>
    <w:p w:rsidR="003136C5" w:rsidRPr="003B72A1" w:rsidRDefault="003136C5" w:rsidP="003136C5">
      <w:pPr>
        <w:spacing w:before="120"/>
        <w:jc w:val="both"/>
        <w:rPr>
          <w:rFonts w:ascii="Arial" w:hAnsi="Arial" w:cs="Arial"/>
          <w:sz w:val="22"/>
          <w:szCs w:val="22"/>
        </w:rPr>
      </w:pPr>
      <w:r w:rsidRPr="003B72A1">
        <w:rPr>
          <w:rFonts w:ascii="Arial" w:hAnsi="Arial" w:cs="Arial"/>
          <w:sz w:val="22"/>
          <w:szCs w:val="22"/>
        </w:rPr>
        <w:t xml:space="preserve">The share of export of agro-food and fishery products in </w:t>
      </w:r>
      <w:r w:rsidR="00E6222A" w:rsidRPr="003B72A1">
        <w:rPr>
          <w:rFonts w:ascii="Arial" w:hAnsi="Arial" w:cs="Arial"/>
          <w:sz w:val="22"/>
          <w:szCs w:val="22"/>
        </w:rPr>
        <w:t xml:space="preserve">the </w:t>
      </w:r>
      <w:r w:rsidRPr="003B72A1">
        <w:rPr>
          <w:rFonts w:ascii="Arial" w:hAnsi="Arial" w:cs="Arial"/>
          <w:sz w:val="22"/>
          <w:szCs w:val="22"/>
        </w:rPr>
        <w:t xml:space="preserve">total export from </w:t>
      </w:r>
      <w:r w:rsidR="00E6222A" w:rsidRPr="003B72A1">
        <w:rPr>
          <w:rFonts w:ascii="Arial" w:hAnsi="Arial" w:cs="Arial"/>
          <w:sz w:val="22"/>
          <w:szCs w:val="22"/>
        </w:rPr>
        <w:t xml:space="preserve">the </w:t>
      </w:r>
      <w:r w:rsidRPr="003B72A1">
        <w:rPr>
          <w:rFonts w:ascii="Arial" w:hAnsi="Arial" w:cs="Arial"/>
          <w:sz w:val="22"/>
          <w:szCs w:val="22"/>
        </w:rPr>
        <w:t>Republic of North Macedonia in 2018 decreased compared to the share in 2017 and was 9</w:t>
      </w:r>
      <w:r w:rsidR="003210AF" w:rsidRPr="003B72A1">
        <w:rPr>
          <w:rFonts w:ascii="Arial" w:hAnsi="Arial" w:cs="Arial"/>
          <w:sz w:val="22"/>
          <w:szCs w:val="22"/>
        </w:rPr>
        <w:t>.</w:t>
      </w:r>
      <w:r w:rsidRPr="003B72A1">
        <w:rPr>
          <w:rFonts w:ascii="Arial" w:hAnsi="Arial" w:cs="Arial"/>
          <w:sz w:val="22"/>
          <w:szCs w:val="22"/>
        </w:rPr>
        <w:t xml:space="preserve">31%. The share of import of agro-food and fishery products in </w:t>
      </w:r>
      <w:r w:rsidR="00E6222A" w:rsidRPr="003B72A1">
        <w:rPr>
          <w:rFonts w:ascii="Arial" w:hAnsi="Arial" w:cs="Arial"/>
          <w:sz w:val="22"/>
          <w:szCs w:val="22"/>
        </w:rPr>
        <w:t xml:space="preserve">the </w:t>
      </w:r>
      <w:r w:rsidRPr="003B72A1">
        <w:rPr>
          <w:rFonts w:ascii="Arial" w:hAnsi="Arial" w:cs="Arial"/>
          <w:sz w:val="22"/>
          <w:szCs w:val="22"/>
        </w:rPr>
        <w:t xml:space="preserve">total import into </w:t>
      </w:r>
      <w:r w:rsidR="00E6222A" w:rsidRPr="003B72A1">
        <w:rPr>
          <w:rFonts w:ascii="Arial" w:hAnsi="Arial" w:cs="Arial"/>
          <w:sz w:val="22"/>
          <w:szCs w:val="22"/>
        </w:rPr>
        <w:t xml:space="preserve">the </w:t>
      </w:r>
      <w:r w:rsidRPr="003B72A1">
        <w:rPr>
          <w:rFonts w:ascii="Arial" w:hAnsi="Arial" w:cs="Arial"/>
          <w:sz w:val="22"/>
          <w:szCs w:val="22"/>
        </w:rPr>
        <w:t>Republic of North Macedonia in 2018 also decreased compared to the share in 2017 and it was 10</w:t>
      </w:r>
      <w:r w:rsidR="003210AF" w:rsidRPr="003B72A1">
        <w:rPr>
          <w:rFonts w:ascii="Arial" w:hAnsi="Arial" w:cs="Arial"/>
          <w:sz w:val="22"/>
          <w:szCs w:val="22"/>
        </w:rPr>
        <w:t>.</w:t>
      </w:r>
      <w:r w:rsidRPr="003B72A1">
        <w:rPr>
          <w:rFonts w:ascii="Arial" w:hAnsi="Arial" w:cs="Arial"/>
          <w:sz w:val="22"/>
          <w:szCs w:val="22"/>
        </w:rPr>
        <w:t>32%.</w:t>
      </w:r>
    </w:p>
    <w:p w:rsidR="003136C5" w:rsidRPr="003B72A1" w:rsidRDefault="003136C5" w:rsidP="003136C5">
      <w:pPr>
        <w:spacing w:before="120"/>
        <w:jc w:val="both"/>
        <w:rPr>
          <w:rFonts w:ascii="Arial" w:hAnsi="Arial" w:cs="Arial"/>
          <w:sz w:val="22"/>
          <w:szCs w:val="22"/>
        </w:rPr>
      </w:pPr>
      <w:r w:rsidRPr="003B72A1">
        <w:rPr>
          <w:rFonts w:ascii="Arial" w:hAnsi="Arial" w:cs="Arial"/>
          <w:sz w:val="22"/>
          <w:szCs w:val="22"/>
        </w:rPr>
        <w:t>The trade deficit in 2017 decreased by 19</w:t>
      </w:r>
      <w:r w:rsidR="00E6222A" w:rsidRPr="003B72A1">
        <w:rPr>
          <w:rFonts w:ascii="Arial" w:hAnsi="Arial" w:cs="Arial"/>
          <w:sz w:val="22"/>
          <w:szCs w:val="22"/>
        </w:rPr>
        <w:t>.</w:t>
      </w:r>
      <w:r w:rsidRPr="003B72A1">
        <w:rPr>
          <w:rFonts w:ascii="Arial" w:hAnsi="Arial" w:cs="Arial"/>
          <w:sz w:val="22"/>
          <w:szCs w:val="22"/>
        </w:rPr>
        <w:t>2% and amounted</w:t>
      </w:r>
      <w:r w:rsidR="00E6222A" w:rsidRPr="003B72A1">
        <w:rPr>
          <w:rFonts w:ascii="Arial" w:hAnsi="Arial" w:cs="Arial"/>
          <w:sz w:val="22"/>
          <w:szCs w:val="22"/>
        </w:rPr>
        <w:t xml:space="preserve"> to</w:t>
      </w:r>
      <w:r w:rsidRPr="003B72A1">
        <w:rPr>
          <w:rFonts w:ascii="Arial" w:hAnsi="Arial" w:cs="Arial"/>
          <w:sz w:val="22"/>
          <w:szCs w:val="22"/>
        </w:rPr>
        <w:t xml:space="preserve"> €223</w:t>
      </w:r>
      <w:r w:rsidR="00E6222A" w:rsidRPr="003B72A1">
        <w:rPr>
          <w:rFonts w:ascii="Arial" w:hAnsi="Arial" w:cs="Arial"/>
          <w:sz w:val="22"/>
          <w:szCs w:val="22"/>
        </w:rPr>
        <w:t>.</w:t>
      </w:r>
      <w:r w:rsidRPr="003B72A1">
        <w:rPr>
          <w:rFonts w:ascii="Arial" w:hAnsi="Arial" w:cs="Arial"/>
          <w:sz w:val="22"/>
          <w:szCs w:val="22"/>
        </w:rPr>
        <w:t>6 million</w:t>
      </w:r>
      <w:r w:rsidR="00E6222A" w:rsidRPr="003B72A1">
        <w:rPr>
          <w:rFonts w:ascii="Arial" w:hAnsi="Arial" w:cs="Arial"/>
          <w:sz w:val="22"/>
          <w:szCs w:val="22"/>
        </w:rPr>
        <w:t>,</w:t>
      </w:r>
      <w:r w:rsidRPr="003B72A1">
        <w:rPr>
          <w:rFonts w:ascii="Arial" w:hAnsi="Arial" w:cs="Arial"/>
          <w:sz w:val="22"/>
          <w:szCs w:val="22"/>
        </w:rPr>
        <w:t xml:space="preserve"> while in 2018 the trade deficit increased by 10</w:t>
      </w:r>
      <w:r w:rsidR="00E6222A" w:rsidRPr="003B72A1">
        <w:rPr>
          <w:rFonts w:ascii="Arial" w:hAnsi="Arial" w:cs="Arial"/>
          <w:sz w:val="22"/>
          <w:szCs w:val="22"/>
        </w:rPr>
        <w:t>.</w:t>
      </w:r>
      <w:r w:rsidRPr="003B72A1">
        <w:rPr>
          <w:rFonts w:ascii="Arial" w:hAnsi="Arial" w:cs="Arial"/>
          <w:sz w:val="22"/>
          <w:szCs w:val="22"/>
        </w:rPr>
        <w:t xml:space="preserve">3% and amounted </w:t>
      </w:r>
      <w:r w:rsidR="00E6222A" w:rsidRPr="003B72A1">
        <w:rPr>
          <w:rFonts w:ascii="Arial" w:hAnsi="Arial" w:cs="Arial"/>
          <w:sz w:val="22"/>
          <w:szCs w:val="22"/>
        </w:rPr>
        <w:t xml:space="preserve">to </w:t>
      </w:r>
      <w:r w:rsidRPr="003B72A1">
        <w:rPr>
          <w:rFonts w:ascii="Arial" w:hAnsi="Arial" w:cs="Arial"/>
          <w:sz w:val="22"/>
          <w:szCs w:val="22"/>
        </w:rPr>
        <w:t>€246</w:t>
      </w:r>
      <w:r w:rsidR="00E6222A" w:rsidRPr="003B72A1">
        <w:rPr>
          <w:rFonts w:ascii="Arial" w:hAnsi="Arial" w:cs="Arial"/>
          <w:sz w:val="22"/>
          <w:szCs w:val="22"/>
        </w:rPr>
        <w:t>.</w:t>
      </w:r>
      <w:r w:rsidRPr="003B72A1">
        <w:rPr>
          <w:rFonts w:ascii="Arial" w:hAnsi="Arial" w:cs="Arial"/>
          <w:sz w:val="22"/>
          <w:szCs w:val="22"/>
        </w:rPr>
        <w:t>6 million.</w:t>
      </w:r>
    </w:p>
    <w:p w:rsidR="003B72A1" w:rsidRDefault="003B72A1" w:rsidP="003136C5">
      <w:pPr>
        <w:spacing w:before="120" w:after="120"/>
        <w:jc w:val="both"/>
        <w:rPr>
          <w:rFonts w:ascii="Arial" w:hAnsi="Arial" w:cs="Arial"/>
          <w:sz w:val="22"/>
          <w:szCs w:val="22"/>
        </w:rPr>
      </w:pPr>
      <w:bookmarkStart w:id="12" w:name="_Toc6902271"/>
    </w:p>
    <w:p w:rsidR="003B72A1" w:rsidRDefault="003B72A1" w:rsidP="003136C5">
      <w:pPr>
        <w:spacing w:before="120" w:after="120"/>
        <w:jc w:val="both"/>
        <w:rPr>
          <w:rFonts w:ascii="Arial" w:hAnsi="Arial" w:cs="Arial"/>
          <w:sz w:val="22"/>
          <w:szCs w:val="22"/>
        </w:rPr>
      </w:pPr>
    </w:p>
    <w:p w:rsidR="003B72A1" w:rsidRDefault="003B72A1" w:rsidP="003136C5">
      <w:pPr>
        <w:spacing w:before="120" w:after="120"/>
        <w:jc w:val="both"/>
        <w:rPr>
          <w:rFonts w:ascii="Arial" w:hAnsi="Arial" w:cs="Arial"/>
          <w:sz w:val="22"/>
          <w:szCs w:val="22"/>
        </w:rPr>
      </w:pPr>
    </w:p>
    <w:p w:rsidR="003B72A1" w:rsidRDefault="003B72A1" w:rsidP="003136C5">
      <w:pPr>
        <w:spacing w:before="120" w:after="120"/>
        <w:jc w:val="both"/>
        <w:rPr>
          <w:rFonts w:ascii="Arial" w:hAnsi="Arial" w:cs="Arial"/>
          <w:sz w:val="22"/>
          <w:szCs w:val="22"/>
        </w:rPr>
      </w:pPr>
    </w:p>
    <w:p w:rsidR="003136C5" w:rsidRDefault="003136C5" w:rsidP="003136C5">
      <w:pPr>
        <w:spacing w:before="120" w:after="120"/>
        <w:jc w:val="both"/>
        <w:rPr>
          <w:rFonts w:ascii="Arial" w:hAnsi="Arial" w:cs="Arial"/>
          <w:sz w:val="22"/>
          <w:szCs w:val="22"/>
        </w:rPr>
      </w:pPr>
      <w:r w:rsidRPr="003B72A1">
        <w:rPr>
          <w:rFonts w:ascii="Arial" w:hAnsi="Arial" w:cs="Arial"/>
          <w:sz w:val="22"/>
          <w:szCs w:val="22"/>
        </w:rPr>
        <w:lastRenderedPageBreak/>
        <w:t xml:space="preserve">Table </w:t>
      </w:r>
      <w:r w:rsidRPr="003B72A1">
        <w:rPr>
          <w:rFonts w:ascii="Arial" w:hAnsi="Arial" w:cs="Arial"/>
          <w:i/>
          <w:sz w:val="22"/>
          <w:szCs w:val="22"/>
        </w:rPr>
        <w:fldChar w:fldCharType="begin"/>
      </w:r>
      <w:r w:rsidRPr="003B72A1">
        <w:rPr>
          <w:rFonts w:ascii="Arial" w:hAnsi="Arial" w:cs="Arial"/>
          <w:sz w:val="22"/>
          <w:szCs w:val="22"/>
        </w:rPr>
        <w:instrText xml:space="preserve"> SEQ Table \* ARABIC </w:instrText>
      </w:r>
      <w:r w:rsidRPr="003B72A1">
        <w:rPr>
          <w:rFonts w:ascii="Arial" w:hAnsi="Arial" w:cs="Arial"/>
          <w:i/>
          <w:sz w:val="22"/>
          <w:szCs w:val="22"/>
        </w:rPr>
        <w:fldChar w:fldCharType="separate"/>
      </w:r>
      <w:r w:rsidRPr="003B72A1">
        <w:rPr>
          <w:rFonts w:ascii="Arial" w:hAnsi="Arial" w:cs="Arial"/>
          <w:sz w:val="22"/>
          <w:szCs w:val="22"/>
        </w:rPr>
        <w:t>5</w:t>
      </w:r>
      <w:r w:rsidRPr="003B72A1">
        <w:rPr>
          <w:rFonts w:ascii="Arial" w:hAnsi="Arial" w:cs="Arial"/>
          <w:i/>
          <w:sz w:val="22"/>
          <w:szCs w:val="22"/>
        </w:rPr>
        <w:fldChar w:fldCharType="end"/>
      </w:r>
      <w:r w:rsidRPr="003B72A1">
        <w:rPr>
          <w:rFonts w:ascii="Arial" w:hAnsi="Arial" w:cs="Arial"/>
          <w:sz w:val="22"/>
          <w:szCs w:val="22"/>
        </w:rPr>
        <w:t>: Total trade and trade with agricultural and fishery products 2014-2018 (in million €)</w:t>
      </w:r>
      <w:bookmarkEnd w:id="12"/>
    </w:p>
    <w:p w:rsidR="003B72A1" w:rsidRPr="003B72A1" w:rsidRDefault="003B72A1" w:rsidP="003136C5">
      <w:pPr>
        <w:spacing w:before="120" w:after="120"/>
        <w:jc w:val="both"/>
        <w:rPr>
          <w:rFonts w:ascii="Arial" w:hAnsi="Arial" w:cs="Arial"/>
          <w:sz w:val="22"/>
          <w:szCs w:val="22"/>
        </w:rPr>
      </w:pPr>
    </w:p>
    <w:tbl>
      <w:tblPr>
        <w:tblW w:w="9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7"/>
        <w:gridCol w:w="993"/>
        <w:gridCol w:w="2530"/>
        <w:gridCol w:w="2340"/>
        <w:gridCol w:w="2350"/>
      </w:tblGrid>
      <w:tr w:rsidR="003136C5" w:rsidRPr="009C5096" w:rsidTr="00612896">
        <w:trPr>
          <w:trHeight w:val="1098"/>
          <w:jc w:val="center"/>
        </w:trPr>
        <w:tc>
          <w:tcPr>
            <w:tcW w:w="1980" w:type="dxa"/>
            <w:gridSpan w:val="2"/>
            <w:shd w:val="clear" w:color="auto" w:fill="auto"/>
            <w:vAlign w:val="center"/>
            <w:hideMark/>
          </w:tcPr>
          <w:p w:rsidR="003136C5" w:rsidRPr="009C5096" w:rsidRDefault="003136C5" w:rsidP="00612896">
            <w:pPr>
              <w:rPr>
                <w:rFonts w:ascii="Arial" w:hAnsi="Arial" w:cs="Arial"/>
                <w:color w:val="000000"/>
                <w:sz w:val="20"/>
                <w:szCs w:val="20"/>
              </w:rPr>
            </w:pPr>
            <w:r w:rsidRPr="009C5096">
              <w:rPr>
                <w:rFonts w:ascii="Arial" w:hAnsi="Arial" w:cs="Arial"/>
                <w:color w:val="000000"/>
                <w:sz w:val="20"/>
                <w:szCs w:val="20"/>
              </w:rPr>
              <w:t> </w:t>
            </w:r>
          </w:p>
        </w:tc>
        <w:tc>
          <w:tcPr>
            <w:tcW w:w="2530" w:type="dxa"/>
            <w:shd w:val="clear" w:color="auto" w:fill="auto"/>
            <w:vAlign w:val="center"/>
            <w:hideMark/>
          </w:tcPr>
          <w:p w:rsidR="003136C5" w:rsidRPr="009C5096" w:rsidRDefault="003136C5" w:rsidP="00612896">
            <w:pPr>
              <w:rPr>
                <w:rFonts w:ascii="Arial" w:hAnsi="Arial" w:cs="Arial"/>
                <w:b/>
                <w:bCs/>
                <w:color w:val="000000"/>
                <w:sz w:val="18"/>
                <w:szCs w:val="18"/>
              </w:rPr>
            </w:pPr>
            <w:r w:rsidRPr="009C5096">
              <w:rPr>
                <w:rFonts w:ascii="Arial" w:hAnsi="Arial" w:cs="Arial"/>
                <w:b/>
                <w:bCs/>
                <w:color w:val="000000"/>
                <w:sz w:val="18"/>
                <w:szCs w:val="18"/>
              </w:rPr>
              <w:t>Total trade (industrial + agricultural products)</w:t>
            </w:r>
          </w:p>
        </w:tc>
        <w:tc>
          <w:tcPr>
            <w:tcW w:w="2340" w:type="dxa"/>
            <w:shd w:val="clear" w:color="auto" w:fill="auto"/>
            <w:vAlign w:val="center"/>
            <w:hideMark/>
          </w:tcPr>
          <w:p w:rsidR="003136C5" w:rsidRPr="009C5096" w:rsidRDefault="003136C5" w:rsidP="00612896">
            <w:pPr>
              <w:rPr>
                <w:rFonts w:ascii="Arial" w:hAnsi="Arial" w:cs="Arial"/>
                <w:b/>
                <w:bCs/>
                <w:color w:val="000000"/>
                <w:sz w:val="18"/>
                <w:szCs w:val="18"/>
              </w:rPr>
            </w:pPr>
            <w:r w:rsidRPr="009C5096">
              <w:rPr>
                <w:rFonts w:ascii="Arial" w:hAnsi="Arial" w:cs="Arial"/>
                <w:b/>
                <w:bCs/>
                <w:color w:val="000000"/>
                <w:sz w:val="18"/>
                <w:szCs w:val="18"/>
              </w:rPr>
              <w:t>Total trade with agricultural, processed and fisheries products</w:t>
            </w:r>
          </w:p>
        </w:tc>
        <w:tc>
          <w:tcPr>
            <w:tcW w:w="2350" w:type="dxa"/>
            <w:shd w:val="clear" w:color="auto" w:fill="auto"/>
            <w:vAlign w:val="center"/>
            <w:hideMark/>
          </w:tcPr>
          <w:p w:rsidR="003136C5" w:rsidRPr="009C5096" w:rsidRDefault="003136C5" w:rsidP="00612896">
            <w:pPr>
              <w:rPr>
                <w:rFonts w:ascii="Arial" w:hAnsi="Arial" w:cs="Arial"/>
                <w:b/>
                <w:bCs/>
                <w:color w:val="000000"/>
                <w:sz w:val="18"/>
                <w:szCs w:val="18"/>
              </w:rPr>
            </w:pPr>
            <w:r w:rsidRPr="009C5096">
              <w:rPr>
                <w:rFonts w:ascii="Arial" w:hAnsi="Arial" w:cs="Arial"/>
                <w:b/>
                <w:bCs/>
                <w:color w:val="000000"/>
                <w:sz w:val="18"/>
                <w:szCs w:val="18"/>
              </w:rPr>
              <w:t>Share of agricultural, processed and fisheries products in total trade</w:t>
            </w:r>
          </w:p>
        </w:tc>
      </w:tr>
      <w:tr w:rsidR="003136C5" w:rsidRPr="009C5096" w:rsidTr="00612896">
        <w:trPr>
          <w:trHeight w:val="300"/>
          <w:jc w:val="center"/>
        </w:trPr>
        <w:tc>
          <w:tcPr>
            <w:tcW w:w="987" w:type="dxa"/>
            <w:vMerge w:val="restart"/>
            <w:shd w:val="clear" w:color="auto" w:fill="auto"/>
            <w:vAlign w:val="center"/>
            <w:hideMark/>
          </w:tcPr>
          <w:p w:rsidR="003136C5" w:rsidRPr="009C5096" w:rsidRDefault="003136C5" w:rsidP="00612896">
            <w:pPr>
              <w:jc w:val="right"/>
              <w:rPr>
                <w:rFonts w:ascii="Arial" w:hAnsi="Arial" w:cs="Arial"/>
                <w:b/>
                <w:bCs/>
                <w:color w:val="000000"/>
                <w:sz w:val="20"/>
                <w:szCs w:val="20"/>
              </w:rPr>
            </w:pPr>
            <w:r w:rsidRPr="009C5096">
              <w:rPr>
                <w:rFonts w:ascii="Arial" w:hAnsi="Arial" w:cs="Arial"/>
                <w:b/>
                <w:bCs/>
                <w:color w:val="000000"/>
                <w:sz w:val="20"/>
                <w:szCs w:val="20"/>
              </w:rPr>
              <w:t>2014</w:t>
            </w: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Export</w:t>
            </w:r>
          </w:p>
        </w:tc>
        <w:tc>
          <w:tcPr>
            <w:tcW w:w="2530" w:type="dxa"/>
            <w:shd w:val="clear" w:color="auto" w:fill="auto"/>
            <w:noWrap/>
            <w:vAlign w:val="center"/>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3</w:t>
            </w:r>
            <w:r w:rsidR="00E6222A">
              <w:rPr>
                <w:rFonts w:ascii="Arial" w:hAnsi="Arial" w:cs="Arial"/>
                <w:color w:val="000000"/>
                <w:sz w:val="20"/>
                <w:szCs w:val="20"/>
              </w:rPr>
              <w:t>,</w:t>
            </w:r>
            <w:r w:rsidRPr="009C5096">
              <w:rPr>
                <w:rFonts w:ascii="Arial" w:hAnsi="Arial" w:cs="Arial"/>
                <w:color w:val="000000"/>
                <w:sz w:val="20"/>
                <w:szCs w:val="20"/>
              </w:rPr>
              <w:t>722</w:t>
            </w:r>
            <w:r w:rsidR="00E6222A">
              <w:rPr>
                <w:rFonts w:ascii="Arial" w:hAnsi="Arial" w:cs="Arial"/>
                <w:color w:val="000000"/>
                <w:sz w:val="20"/>
                <w:szCs w:val="20"/>
              </w:rPr>
              <w:t>.</w:t>
            </w:r>
            <w:r w:rsidRPr="009C5096">
              <w:rPr>
                <w:rFonts w:ascii="Arial" w:hAnsi="Arial" w:cs="Arial"/>
                <w:color w:val="000000"/>
                <w:sz w:val="20"/>
                <w:szCs w:val="20"/>
              </w:rPr>
              <w:t>95</w:t>
            </w:r>
          </w:p>
        </w:tc>
        <w:tc>
          <w:tcPr>
            <w:tcW w:w="2340" w:type="dxa"/>
            <w:shd w:val="clear" w:color="auto" w:fill="auto"/>
            <w:noWrap/>
            <w:vAlign w:val="center"/>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486</w:t>
            </w:r>
            <w:r w:rsidR="00FD4C08">
              <w:rPr>
                <w:rFonts w:ascii="Arial" w:hAnsi="Arial" w:cs="Arial"/>
                <w:color w:val="000000"/>
                <w:sz w:val="20"/>
                <w:szCs w:val="20"/>
              </w:rPr>
              <w:t>.</w:t>
            </w:r>
            <w:r w:rsidRPr="009C5096">
              <w:rPr>
                <w:rFonts w:ascii="Arial" w:hAnsi="Arial" w:cs="Arial"/>
                <w:color w:val="000000"/>
                <w:sz w:val="20"/>
                <w:szCs w:val="20"/>
              </w:rPr>
              <w:t>24</w:t>
            </w:r>
          </w:p>
        </w:tc>
        <w:tc>
          <w:tcPr>
            <w:tcW w:w="2350" w:type="dxa"/>
            <w:shd w:val="clear" w:color="auto" w:fill="auto"/>
            <w:noWrap/>
            <w:vAlign w:val="center"/>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13</w:t>
            </w:r>
            <w:r w:rsidR="00FD4C08">
              <w:rPr>
                <w:rFonts w:ascii="Arial" w:hAnsi="Arial" w:cs="Arial"/>
                <w:color w:val="000000"/>
                <w:sz w:val="20"/>
                <w:szCs w:val="20"/>
              </w:rPr>
              <w:t>.</w:t>
            </w:r>
            <w:r w:rsidRPr="009C5096">
              <w:rPr>
                <w:rFonts w:ascii="Arial" w:hAnsi="Arial" w:cs="Arial"/>
                <w:color w:val="000000"/>
                <w:sz w:val="20"/>
                <w:szCs w:val="20"/>
              </w:rPr>
              <w:t>06%</w:t>
            </w:r>
          </w:p>
        </w:tc>
      </w:tr>
      <w:tr w:rsidR="003136C5" w:rsidRPr="009C5096" w:rsidTr="00612896">
        <w:trPr>
          <w:trHeight w:val="285"/>
          <w:jc w:val="center"/>
        </w:trPr>
        <w:tc>
          <w:tcPr>
            <w:tcW w:w="987" w:type="dxa"/>
            <w:vMerge/>
            <w:vAlign w:val="center"/>
            <w:hideMark/>
          </w:tcPr>
          <w:p w:rsidR="003136C5" w:rsidRPr="009C5096" w:rsidRDefault="003136C5" w:rsidP="00612896">
            <w:pPr>
              <w:rPr>
                <w:rFonts w:ascii="Arial" w:hAnsi="Arial" w:cs="Arial"/>
                <w:b/>
                <w:bCs/>
                <w:color w:val="000000"/>
                <w:sz w:val="20"/>
                <w:szCs w:val="20"/>
              </w:rPr>
            </w:pP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Import</w:t>
            </w:r>
          </w:p>
        </w:tc>
        <w:tc>
          <w:tcPr>
            <w:tcW w:w="2530" w:type="dxa"/>
            <w:shd w:val="clear" w:color="auto" w:fill="auto"/>
            <w:noWrap/>
            <w:vAlign w:val="center"/>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5</w:t>
            </w:r>
            <w:r w:rsidR="00E6222A">
              <w:rPr>
                <w:rFonts w:ascii="Arial" w:hAnsi="Arial" w:cs="Arial"/>
                <w:color w:val="000000"/>
                <w:sz w:val="20"/>
                <w:szCs w:val="20"/>
              </w:rPr>
              <w:t>,</w:t>
            </w:r>
            <w:r w:rsidRPr="009C5096">
              <w:rPr>
                <w:rFonts w:ascii="Arial" w:hAnsi="Arial" w:cs="Arial"/>
                <w:color w:val="000000"/>
                <w:sz w:val="20"/>
                <w:szCs w:val="20"/>
              </w:rPr>
              <w:t>484</w:t>
            </w:r>
            <w:r w:rsidR="00E6222A">
              <w:rPr>
                <w:rFonts w:ascii="Arial" w:hAnsi="Arial" w:cs="Arial"/>
                <w:color w:val="000000"/>
                <w:sz w:val="20"/>
                <w:szCs w:val="20"/>
              </w:rPr>
              <w:t>.</w:t>
            </w:r>
            <w:r w:rsidRPr="009C5096">
              <w:rPr>
                <w:rFonts w:ascii="Arial" w:hAnsi="Arial" w:cs="Arial"/>
                <w:color w:val="000000"/>
                <w:sz w:val="20"/>
                <w:szCs w:val="20"/>
              </w:rPr>
              <w:t>96</w:t>
            </w:r>
          </w:p>
        </w:tc>
        <w:tc>
          <w:tcPr>
            <w:tcW w:w="2340" w:type="dxa"/>
            <w:shd w:val="clear" w:color="auto" w:fill="auto"/>
            <w:noWrap/>
            <w:vAlign w:val="center"/>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649</w:t>
            </w:r>
            <w:r w:rsidR="00FD4C08">
              <w:rPr>
                <w:rFonts w:ascii="Arial" w:hAnsi="Arial" w:cs="Arial"/>
                <w:color w:val="000000"/>
                <w:sz w:val="20"/>
                <w:szCs w:val="20"/>
              </w:rPr>
              <w:t>.</w:t>
            </w:r>
            <w:r w:rsidRPr="009C5096">
              <w:rPr>
                <w:rFonts w:ascii="Arial" w:hAnsi="Arial" w:cs="Arial"/>
                <w:color w:val="000000"/>
                <w:sz w:val="20"/>
                <w:szCs w:val="20"/>
              </w:rPr>
              <w:t>02</w:t>
            </w:r>
          </w:p>
        </w:tc>
        <w:tc>
          <w:tcPr>
            <w:tcW w:w="2350" w:type="dxa"/>
            <w:shd w:val="clear" w:color="auto" w:fill="auto"/>
            <w:noWrap/>
            <w:vAlign w:val="center"/>
            <w:hideMark/>
          </w:tcPr>
          <w:p w:rsidR="003136C5" w:rsidRPr="009C5096" w:rsidRDefault="003136C5" w:rsidP="00612896">
            <w:pPr>
              <w:jc w:val="right"/>
              <w:rPr>
                <w:rFonts w:ascii="Arial" w:hAnsi="Arial" w:cs="Arial"/>
                <w:color w:val="000000"/>
                <w:sz w:val="20"/>
                <w:szCs w:val="20"/>
              </w:rPr>
            </w:pPr>
            <w:r w:rsidRPr="009C5096">
              <w:rPr>
                <w:rFonts w:ascii="Arial" w:hAnsi="Arial" w:cs="Arial"/>
                <w:color w:val="000000"/>
                <w:sz w:val="20"/>
                <w:szCs w:val="20"/>
              </w:rPr>
              <w:t>11</w:t>
            </w:r>
            <w:r w:rsidR="00FD4C08">
              <w:rPr>
                <w:rFonts w:ascii="Arial" w:hAnsi="Arial" w:cs="Arial"/>
                <w:color w:val="000000"/>
                <w:sz w:val="20"/>
                <w:szCs w:val="20"/>
              </w:rPr>
              <w:t>.</w:t>
            </w:r>
            <w:r w:rsidRPr="009C5096">
              <w:rPr>
                <w:rFonts w:ascii="Arial" w:hAnsi="Arial" w:cs="Arial"/>
                <w:color w:val="000000"/>
                <w:sz w:val="20"/>
                <w:szCs w:val="20"/>
              </w:rPr>
              <w:t>83%</w:t>
            </w:r>
          </w:p>
        </w:tc>
      </w:tr>
      <w:tr w:rsidR="003136C5" w:rsidRPr="009C5096" w:rsidTr="00612896">
        <w:trPr>
          <w:trHeight w:val="300"/>
          <w:jc w:val="center"/>
        </w:trPr>
        <w:tc>
          <w:tcPr>
            <w:tcW w:w="987" w:type="dxa"/>
            <w:vMerge/>
            <w:vAlign w:val="center"/>
            <w:hideMark/>
          </w:tcPr>
          <w:p w:rsidR="003136C5" w:rsidRPr="009C5096" w:rsidRDefault="003136C5" w:rsidP="00612896">
            <w:pPr>
              <w:rPr>
                <w:rFonts w:ascii="Arial" w:hAnsi="Arial" w:cs="Arial"/>
                <w:b/>
                <w:bCs/>
                <w:color w:val="000000"/>
                <w:sz w:val="20"/>
                <w:szCs w:val="20"/>
              </w:rPr>
            </w:pP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Balance</w:t>
            </w:r>
          </w:p>
        </w:tc>
        <w:tc>
          <w:tcPr>
            <w:tcW w:w="2530" w:type="dxa"/>
            <w:shd w:val="clear" w:color="auto" w:fill="auto"/>
            <w:noWrap/>
            <w:vAlign w:val="center"/>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-1</w:t>
            </w:r>
            <w:r w:rsidR="00E6222A">
              <w:rPr>
                <w:rFonts w:ascii="Arial" w:hAnsi="Arial" w:cs="Arial"/>
                <w:color w:val="000000"/>
                <w:sz w:val="20"/>
                <w:szCs w:val="20"/>
              </w:rPr>
              <w:t>,</w:t>
            </w:r>
            <w:r w:rsidRPr="009C5096">
              <w:rPr>
                <w:rFonts w:ascii="Arial" w:hAnsi="Arial" w:cs="Arial"/>
                <w:color w:val="000000"/>
                <w:sz w:val="20"/>
                <w:szCs w:val="20"/>
              </w:rPr>
              <w:t>762</w:t>
            </w:r>
            <w:r w:rsidR="00E6222A">
              <w:rPr>
                <w:rFonts w:ascii="Arial" w:hAnsi="Arial" w:cs="Arial"/>
                <w:color w:val="000000"/>
                <w:sz w:val="20"/>
                <w:szCs w:val="20"/>
              </w:rPr>
              <w:t>.</w:t>
            </w:r>
            <w:r w:rsidRPr="009C5096">
              <w:rPr>
                <w:rFonts w:ascii="Arial" w:hAnsi="Arial" w:cs="Arial"/>
                <w:color w:val="000000"/>
                <w:sz w:val="20"/>
                <w:szCs w:val="20"/>
              </w:rPr>
              <w:t>01</w:t>
            </w:r>
          </w:p>
        </w:tc>
        <w:tc>
          <w:tcPr>
            <w:tcW w:w="2340" w:type="dxa"/>
            <w:shd w:val="clear" w:color="auto" w:fill="auto"/>
            <w:noWrap/>
            <w:vAlign w:val="center"/>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-162</w:t>
            </w:r>
            <w:r w:rsidR="00FD4C08">
              <w:rPr>
                <w:rFonts w:ascii="Arial" w:hAnsi="Arial" w:cs="Arial"/>
                <w:color w:val="000000"/>
                <w:sz w:val="20"/>
                <w:szCs w:val="20"/>
              </w:rPr>
              <w:t>.</w:t>
            </w:r>
            <w:r w:rsidRPr="009C5096">
              <w:rPr>
                <w:rFonts w:ascii="Arial" w:hAnsi="Arial" w:cs="Arial"/>
                <w:color w:val="000000"/>
                <w:sz w:val="20"/>
                <w:szCs w:val="20"/>
              </w:rPr>
              <w:t>78</w:t>
            </w:r>
          </w:p>
        </w:tc>
        <w:tc>
          <w:tcPr>
            <w:tcW w:w="2350" w:type="dxa"/>
            <w:shd w:val="clear" w:color="auto" w:fill="auto"/>
            <w:noWrap/>
            <w:vAlign w:val="center"/>
            <w:hideMark/>
          </w:tcPr>
          <w:p w:rsidR="003136C5" w:rsidRPr="009C5096" w:rsidRDefault="003136C5" w:rsidP="00612896">
            <w:pPr>
              <w:jc w:val="right"/>
              <w:rPr>
                <w:rFonts w:ascii="Arial" w:hAnsi="Arial" w:cs="Arial"/>
                <w:color w:val="000000"/>
                <w:sz w:val="20"/>
                <w:szCs w:val="20"/>
              </w:rPr>
            </w:pPr>
            <w:r w:rsidRPr="009C5096">
              <w:rPr>
                <w:rFonts w:ascii="Arial" w:hAnsi="Arial" w:cs="Arial"/>
                <w:color w:val="000000"/>
                <w:sz w:val="20"/>
                <w:szCs w:val="20"/>
              </w:rPr>
              <w:t>9</w:t>
            </w:r>
            <w:r w:rsidR="00FD4C08">
              <w:rPr>
                <w:rFonts w:ascii="Arial" w:hAnsi="Arial" w:cs="Arial"/>
                <w:color w:val="000000"/>
                <w:sz w:val="20"/>
                <w:szCs w:val="20"/>
              </w:rPr>
              <w:t>.</w:t>
            </w:r>
            <w:r w:rsidRPr="009C5096">
              <w:rPr>
                <w:rFonts w:ascii="Arial" w:hAnsi="Arial" w:cs="Arial"/>
                <w:color w:val="000000"/>
                <w:sz w:val="20"/>
                <w:szCs w:val="20"/>
              </w:rPr>
              <w:t>24%</w:t>
            </w:r>
          </w:p>
        </w:tc>
      </w:tr>
      <w:tr w:rsidR="003136C5" w:rsidRPr="009C5096" w:rsidTr="00612896">
        <w:trPr>
          <w:trHeight w:val="300"/>
          <w:jc w:val="center"/>
        </w:trPr>
        <w:tc>
          <w:tcPr>
            <w:tcW w:w="987" w:type="dxa"/>
            <w:vMerge w:val="restart"/>
            <w:shd w:val="clear" w:color="auto" w:fill="auto"/>
            <w:vAlign w:val="center"/>
            <w:hideMark/>
          </w:tcPr>
          <w:p w:rsidR="003136C5" w:rsidRPr="009C5096" w:rsidRDefault="003136C5" w:rsidP="00612896">
            <w:pPr>
              <w:jc w:val="right"/>
              <w:rPr>
                <w:rFonts w:ascii="Arial" w:hAnsi="Arial" w:cs="Arial"/>
                <w:b/>
                <w:bCs/>
                <w:color w:val="000000"/>
                <w:sz w:val="20"/>
                <w:szCs w:val="20"/>
              </w:rPr>
            </w:pPr>
            <w:r w:rsidRPr="009C5096">
              <w:rPr>
                <w:rFonts w:ascii="Arial" w:hAnsi="Arial" w:cs="Arial"/>
                <w:b/>
                <w:bCs/>
                <w:color w:val="000000"/>
                <w:sz w:val="20"/>
                <w:szCs w:val="20"/>
              </w:rPr>
              <w:t>2015</w:t>
            </w: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Export</w:t>
            </w:r>
          </w:p>
        </w:tc>
        <w:tc>
          <w:tcPr>
            <w:tcW w:w="2530" w:type="dxa"/>
            <w:shd w:val="clear" w:color="auto" w:fill="auto"/>
            <w:noWrap/>
            <w:vAlign w:val="center"/>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4</w:t>
            </w:r>
            <w:r w:rsidR="00E6222A">
              <w:rPr>
                <w:rFonts w:ascii="Arial" w:hAnsi="Arial" w:cs="Arial"/>
                <w:color w:val="000000"/>
                <w:sz w:val="20"/>
                <w:szCs w:val="20"/>
              </w:rPr>
              <w:t>,</w:t>
            </w:r>
            <w:r w:rsidRPr="009C5096">
              <w:rPr>
                <w:rFonts w:ascii="Arial" w:hAnsi="Arial" w:cs="Arial"/>
                <w:color w:val="000000"/>
                <w:sz w:val="20"/>
                <w:szCs w:val="20"/>
              </w:rPr>
              <w:t>051</w:t>
            </w:r>
            <w:r w:rsidR="00E6222A">
              <w:rPr>
                <w:rFonts w:ascii="Arial" w:hAnsi="Arial" w:cs="Arial"/>
                <w:color w:val="000000"/>
                <w:sz w:val="20"/>
                <w:szCs w:val="20"/>
              </w:rPr>
              <w:t>.</w:t>
            </w:r>
            <w:r w:rsidRPr="009C5096">
              <w:rPr>
                <w:rFonts w:ascii="Arial" w:hAnsi="Arial" w:cs="Arial"/>
                <w:color w:val="000000"/>
                <w:sz w:val="20"/>
                <w:szCs w:val="20"/>
              </w:rPr>
              <w:t>23</w:t>
            </w:r>
          </w:p>
        </w:tc>
        <w:tc>
          <w:tcPr>
            <w:tcW w:w="2340" w:type="dxa"/>
            <w:shd w:val="clear" w:color="auto" w:fill="auto"/>
            <w:noWrap/>
            <w:vAlign w:val="center"/>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486</w:t>
            </w:r>
            <w:r w:rsidR="00FD4C08">
              <w:rPr>
                <w:rFonts w:ascii="Arial" w:hAnsi="Arial" w:cs="Arial"/>
                <w:color w:val="000000"/>
                <w:sz w:val="20"/>
                <w:szCs w:val="20"/>
              </w:rPr>
              <w:t>.</w:t>
            </w:r>
            <w:r w:rsidRPr="009C5096">
              <w:rPr>
                <w:rFonts w:ascii="Arial" w:hAnsi="Arial" w:cs="Arial"/>
                <w:color w:val="000000"/>
                <w:sz w:val="20"/>
                <w:szCs w:val="20"/>
              </w:rPr>
              <w:t>7</w:t>
            </w:r>
          </w:p>
        </w:tc>
        <w:tc>
          <w:tcPr>
            <w:tcW w:w="2350" w:type="dxa"/>
            <w:shd w:val="clear" w:color="auto" w:fill="auto"/>
            <w:noWrap/>
            <w:vAlign w:val="center"/>
            <w:hideMark/>
          </w:tcPr>
          <w:p w:rsidR="003136C5" w:rsidRPr="009C5096" w:rsidRDefault="003136C5" w:rsidP="00612896">
            <w:pPr>
              <w:jc w:val="right"/>
              <w:rPr>
                <w:rFonts w:ascii="Arial" w:hAnsi="Arial" w:cs="Arial"/>
                <w:color w:val="000000"/>
                <w:sz w:val="20"/>
                <w:szCs w:val="20"/>
              </w:rPr>
            </w:pPr>
            <w:r w:rsidRPr="009C5096">
              <w:rPr>
                <w:rFonts w:ascii="Arial" w:hAnsi="Arial" w:cs="Arial"/>
                <w:color w:val="000000"/>
                <w:sz w:val="20"/>
                <w:szCs w:val="20"/>
              </w:rPr>
              <w:t>12</w:t>
            </w:r>
            <w:r w:rsidR="00FD4C08">
              <w:rPr>
                <w:rFonts w:ascii="Arial" w:hAnsi="Arial" w:cs="Arial"/>
                <w:color w:val="000000"/>
                <w:sz w:val="20"/>
                <w:szCs w:val="20"/>
              </w:rPr>
              <w:t>.</w:t>
            </w:r>
            <w:r w:rsidRPr="009C5096">
              <w:rPr>
                <w:rFonts w:ascii="Arial" w:hAnsi="Arial" w:cs="Arial"/>
                <w:color w:val="000000"/>
                <w:sz w:val="20"/>
                <w:szCs w:val="20"/>
              </w:rPr>
              <w:t>01%</w:t>
            </w:r>
          </w:p>
        </w:tc>
      </w:tr>
      <w:tr w:rsidR="003136C5" w:rsidRPr="009C5096" w:rsidTr="00612896">
        <w:trPr>
          <w:trHeight w:val="285"/>
          <w:jc w:val="center"/>
        </w:trPr>
        <w:tc>
          <w:tcPr>
            <w:tcW w:w="987" w:type="dxa"/>
            <w:vMerge/>
            <w:vAlign w:val="center"/>
            <w:hideMark/>
          </w:tcPr>
          <w:p w:rsidR="003136C5" w:rsidRPr="009C5096" w:rsidRDefault="003136C5" w:rsidP="00612896">
            <w:pPr>
              <w:rPr>
                <w:rFonts w:ascii="Arial" w:hAnsi="Arial" w:cs="Arial"/>
                <w:b/>
                <w:bCs/>
                <w:color w:val="000000"/>
                <w:sz w:val="20"/>
                <w:szCs w:val="20"/>
              </w:rPr>
            </w:pP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Import</w:t>
            </w:r>
          </w:p>
        </w:tc>
        <w:tc>
          <w:tcPr>
            <w:tcW w:w="2530" w:type="dxa"/>
            <w:shd w:val="clear" w:color="auto" w:fill="auto"/>
            <w:noWrap/>
            <w:vAlign w:val="center"/>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5</w:t>
            </w:r>
            <w:r w:rsidR="00E6222A">
              <w:rPr>
                <w:rFonts w:ascii="Arial" w:hAnsi="Arial" w:cs="Arial"/>
                <w:color w:val="000000"/>
                <w:sz w:val="20"/>
                <w:szCs w:val="20"/>
              </w:rPr>
              <w:t>,</w:t>
            </w:r>
            <w:r w:rsidRPr="009C5096">
              <w:rPr>
                <w:rFonts w:ascii="Arial" w:hAnsi="Arial" w:cs="Arial"/>
                <w:color w:val="000000"/>
                <w:sz w:val="20"/>
                <w:szCs w:val="20"/>
              </w:rPr>
              <w:t>776</w:t>
            </w:r>
            <w:r w:rsidR="00E6222A">
              <w:rPr>
                <w:rFonts w:ascii="Arial" w:hAnsi="Arial" w:cs="Arial"/>
                <w:color w:val="000000"/>
                <w:sz w:val="20"/>
                <w:szCs w:val="20"/>
              </w:rPr>
              <w:t>.</w:t>
            </w:r>
            <w:r w:rsidRPr="009C5096">
              <w:rPr>
                <w:rFonts w:ascii="Arial" w:hAnsi="Arial" w:cs="Arial"/>
                <w:color w:val="000000"/>
                <w:sz w:val="20"/>
                <w:szCs w:val="20"/>
              </w:rPr>
              <w:t>93</w:t>
            </w:r>
          </w:p>
        </w:tc>
        <w:tc>
          <w:tcPr>
            <w:tcW w:w="2340" w:type="dxa"/>
            <w:shd w:val="clear" w:color="auto" w:fill="auto"/>
            <w:noWrap/>
            <w:vAlign w:val="center"/>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700</w:t>
            </w:r>
            <w:r w:rsidR="00FD4C08">
              <w:rPr>
                <w:rFonts w:ascii="Arial" w:hAnsi="Arial" w:cs="Arial"/>
                <w:color w:val="000000"/>
                <w:sz w:val="20"/>
                <w:szCs w:val="20"/>
              </w:rPr>
              <w:t>.</w:t>
            </w:r>
            <w:r w:rsidRPr="009C5096">
              <w:rPr>
                <w:rFonts w:ascii="Arial" w:hAnsi="Arial" w:cs="Arial"/>
                <w:color w:val="000000"/>
                <w:sz w:val="20"/>
                <w:szCs w:val="20"/>
              </w:rPr>
              <w:t>6</w:t>
            </w:r>
          </w:p>
        </w:tc>
        <w:tc>
          <w:tcPr>
            <w:tcW w:w="2350" w:type="dxa"/>
            <w:shd w:val="clear" w:color="auto" w:fill="auto"/>
            <w:noWrap/>
            <w:vAlign w:val="center"/>
            <w:hideMark/>
          </w:tcPr>
          <w:p w:rsidR="003136C5" w:rsidRPr="009C5096" w:rsidRDefault="003136C5" w:rsidP="00612896">
            <w:pPr>
              <w:jc w:val="right"/>
              <w:rPr>
                <w:rFonts w:ascii="Arial" w:hAnsi="Arial" w:cs="Arial"/>
                <w:color w:val="000000"/>
                <w:sz w:val="20"/>
                <w:szCs w:val="20"/>
              </w:rPr>
            </w:pPr>
            <w:r w:rsidRPr="009C5096">
              <w:rPr>
                <w:rFonts w:ascii="Arial" w:hAnsi="Arial" w:cs="Arial"/>
                <w:color w:val="000000"/>
                <w:sz w:val="20"/>
                <w:szCs w:val="20"/>
              </w:rPr>
              <w:t>12</w:t>
            </w:r>
            <w:r w:rsidR="00FD4C08">
              <w:rPr>
                <w:rFonts w:ascii="Arial" w:hAnsi="Arial" w:cs="Arial"/>
                <w:color w:val="000000"/>
                <w:sz w:val="20"/>
                <w:szCs w:val="20"/>
              </w:rPr>
              <w:t>.</w:t>
            </w:r>
            <w:r w:rsidRPr="009C5096">
              <w:rPr>
                <w:rFonts w:ascii="Arial" w:hAnsi="Arial" w:cs="Arial"/>
                <w:color w:val="000000"/>
                <w:sz w:val="20"/>
                <w:szCs w:val="20"/>
              </w:rPr>
              <w:t>13%</w:t>
            </w:r>
          </w:p>
        </w:tc>
      </w:tr>
      <w:tr w:rsidR="003136C5" w:rsidRPr="009C5096" w:rsidTr="00612896">
        <w:trPr>
          <w:trHeight w:val="300"/>
          <w:jc w:val="center"/>
        </w:trPr>
        <w:tc>
          <w:tcPr>
            <w:tcW w:w="987" w:type="dxa"/>
            <w:vMerge/>
            <w:vAlign w:val="center"/>
            <w:hideMark/>
          </w:tcPr>
          <w:p w:rsidR="003136C5" w:rsidRPr="009C5096" w:rsidRDefault="003136C5" w:rsidP="00612896">
            <w:pPr>
              <w:rPr>
                <w:rFonts w:ascii="Arial" w:hAnsi="Arial" w:cs="Arial"/>
                <w:b/>
                <w:bCs/>
                <w:color w:val="000000"/>
                <w:sz w:val="20"/>
                <w:szCs w:val="20"/>
              </w:rPr>
            </w:pP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Balance</w:t>
            </w:r>
          </w:p>
        </w:tc>
        <w:tc>
          <w:tcPr>
            <w:tcW w:w="2530" w:type="dxa"/>
            <w:shd w:val="clear" w:color="auto" w:fill="auto"/>
            <w:noWrap/>
            <w:vAlign w:val="center"/>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-1</w:t>
            </w:r>
            <w:r w:rsidR="00E6222A">
              <w:rPr>
                <w:rFonts w:ascii="Arial" w:hAnsi="Arial" w:cs="Arial"/>
                <w:color w:val="000000"/>
                <w:sz w:val="20"/>
                <w:szCs w:val="20"/>
              </w:rPr>
              <w:t>,</w:t>
            </w:r>
            <w:r w:rsidRPr="009C5096">
              <w:rPr>
                <w:rFonts w:ascii="Arial" w:hAnsi="Arial" w:cs="Arial"/>
                <w:color w:val="000000"/>
                <w:sz w:val="20"/>
                <w:szCs w:val="20"/>
              </w:rPr>
              <w:t>725</w:t>
            </w:r>
            <w:r w:rsidR="00E6222A">
              <w:rPr>
                <w:rFonts w:ascii="Arial" w:hAnsi="Arial" w:cs="Arial"/>
                <w:color w:val="000000"/>
                <w:sz w:val="20"/>
                <w:szCs w:val="20"/>
              </w:rPr>
              <w:t>.</w:t>
            </w:r>
            <w:r w:rsidRPr="009C5096">
              <w:rPr>
                <w:rFonts w:ascii="Arial" w:hAnsi="Arial" w:cs="Arial"/>
                <w:color w:val="000000"/>
                <w:sz w:val="20"/>
                <w:szCs w:val="20"/>
              </w:rPr>
              <w:t>70</w:t>
            </w:r>
          </w:p>
        </w:tc>
        <w:tc>
          <w:tcPr>
            <w:tcW w:w="2340" w:type="dxa"/>
            <w:shd w:val="clear" w:color="auto" w:fill="auto"/>
            <w:noWrap/>
            <w:vAlign w:val="center"/>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-213</w:t>
            </w:r>
            <w:r w:rsidR="00FD4C08">
              <w:rPr>
                <w:rFonts w:ascii="Arial" w:hAnsi="Arial" w:cs="Arial"/>
                <w:color w:val="000000"/>
                <w:sz w:val="20"/>
                <w:szCs w:val="20"/>
              </w:rPr>
              <w:t>.</w:t>
            </w:r>
            <w:r w:rsidRPr="009C5096">
              <w:rPr>
                <w:rFonts w:ascii="Arial" w:hAnsi="Arial" w:cs="Arial"/>
                <w:color w:val="000000"/>
                <w:sz w:val="20"/>
                <w:szCs w:val="20"/>
              </w:rPr>
              <w:t>9</w:t>
            </w:r>
          </w:p>
        </w:tc>
        <w:tc>
          <w:tcPr>
            <w:tcW w:w="2350" w:type="dxa"/>
            <w:shd w:val="clear" w:color="auto" w:fill="auto"/>
            <w:noWrap/>
            <w:vAlign w:val="center"/>
            <w:hideMark/>
          </w:tcPr>
          <w:p w:rsidR="003136C5" w:rsidRPr="009C5096" w:rsidRDefault="003136C5" w:rsidP="00612896">
            <w:pPr>
              <w:jc w:val="right"/>
              <w:rPr>
                <w:rFonts w:ascii="Arial" w:hAnsi="Arial" w:cs="Arial"/>
                <w:color w:val="000000"/>
                <w:sz w:val="20"/>
                <w:szCs w:val="20"/>
              </w:rPr>
            </w:pPr>
            <w:r w:rsidRPr="009C5096">
              <w:rPr>
                <w:rFonts w:ascii="Arial" w:hAnsi="Arial" w:cs="Arial"/>
                <w:color w:val="000000"/>
                <w:sz w:val="20"/>
                <w:szCs w:val="20"/>
              </w:rPr>
              <w:t>12</w:t>
            </w:r>
            <w:r w:rsidR="00FD4C08">
              <w:rPr>
                <w:rFonts w:ascii="Arial" w:hAnsi="Arial" w:cs="Arial"/>
                <w:color w:val="000000"/>
                <w:sz w:val="20"/>
                <w:szCs w:val="20"/>
              </w:rPr>
              <w:t>.</w:t>
            </w:r>
            <w:r w:rsidRPr="009C5096">
              <w:rPr>
                <w:rFonts w:ascii="Arial" w:hAnsi="Arial" w:cs="Arial"/>
                <w:color w:val="000000"/>
                <w:sz w:val="20"/>
                <w:szCs w:val="20"/>
              </w:rPr>
              <w:t>39%</w:t>
            </w:r>
          </w:p>
        </w:tc>
      </w:tr>
      <w:tr w:rsidR="003136C5" w:rsidRPr="009C5096" w:rsidTr="00612896">
        <w:trPr>
          <w:trHeight w:val="300"/>
          <w:jc w:val="center"/>
        </w:trPr>
        <w:tc>
          <w:tcPr>
            <w:tcW w:w="987" w:type="dxa"/>
            <w:vMerge w:val="restart"/>
            <w:shd w:val="clear" w:color="auto" w:fill="auto"/>
            <w:vAlign w:val="center"/>
            <w:hideMark/>
          </w:tcPr>
          <w:p w:rsidR="003136C5" w:rsidRPr="009C5096" w:rsidRDefault="003136C5" w:rsidP="00612896">
            <w:pPr>
              <w:jc w:val="right"/>
              <w:rPr>
                <w:rFonts w:ascii="Arial" w:hAnsi="Arial" w:cs="Arial"/>
                <w:b/>
                <w:bCs/>
                <w:color w:val="000000"/>
                <w:sz w:val="20"/>
                <w:szCs w:val="20"/>
              </w:rPr>
            </w:pPr>
            <w:r w:rsidRPr="009C5096">
              <w:rPr>
                <w:rFonts w:ascii="Arial" w:hAnsi="Arial" w:cs="Arial"/>
                <w:b/>
                <w:bCs/>
                <w:color w:val="000000"/>
                <w:sz w:val="20"/>
                <w:szCs w:val="20"/>
              </w:rPr>
              <w:t>2016</w:t>
            </w: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Export</w:t>
            </w:r>
          </w:p>
        </w:tc>
        <w:tc>
          <w:tcPr>
            <w:tcW w:w="2530" w:type="dxa"/>
            <w:shd w:val="clear" w:color="auto" w:fill="auto"/>
            <w:noWrap/>
            <w:vAlign w:val="center"/>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4</w:t>
            </w:r>
            <w:r w:rsidR="00E6222A">
              <w:rPr>
                <w:rFonts w:ascii="Arial" w:hAnsi="Arial" w:cs="Arial"/>
                <w:color w:val="000000"/>
                <w:sz w:val="20"/>
                <w:szCs w:val="20"/>
              </w:rPr>
              <w:t>,</w:t>
            </w:r>
            <w:r w:rsidRPr="009C5096">
              <w:rPr>
                <w:rFonts w:ascii="Arial" w:hAnsi="Arial" w:cs="Arial"/>
                <w:color w:val="000000"/>
                <w:sz w:val="20"/>
                <w:szCs w:val="20"/>
              </w:rPr>
              <w:t>329</w:t>
            </w:r>
            <w:r w:rsidR="00E6222A">
              <w:rPr>
                <w:rFonts w:ascii="Arial" w:hAnsi="Arial" w:cs="Arial"/>
                <w:color w:val="000000"/>
                <w:sz w:val="20"/>
                <w:szCs w:val="20"/>
              </w:rPr>
              <w:t>.</w:t>
            </w:r>
            <w:r w:rsidRPr="009C5096">
              <w:rPr>
                <w:rFonts w:ascii="Arial" w:hAnsi="Arial" w:cs="Arial"/>
                <w:color w:val="000000"/>
                <w:sz w:val="20"/>
                <w:szCs w:val="20"/>
              </w:rPr>
              <w:t>27</w:t>
            </w:r>
          </w:p>
        </w:tc>
        <w:tc>
          <w:tcPr>
            <w:tcW w:w="2340" w:type="dxa"/>
            <w:shd w:val="clear" w:color="auto" w:fill="auto"/>
            <w:noWrap/>
            <w:vAlign w:val="center"/>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530</w:t>
            </w:r>
            <w:r w:rsidR="00FD4C08">
              <w:rPr>
                <w:rFonts w:ascii="Arial" w:hAnsi="Arial" w:cs="Arial"/>
                <w:color w:val="000000"/>
                <w:sz w:val="20"/>
                <w:szCs w:val="20"/>
              </w:rPr>
              <w:t>.</w:t>
            </w:r>
            <w:r w:rsidRPr="009C5096">
              <w:rPr>
                <w:rFonts w:ascii="Arial" w:hAnsi="Arial" w:cs="Arial"/>
                <w:color w:val="000000"/>
                <w:sz w:val="20"/>
                <w:szCs w:val="20"/>
              </w:rPr>
              <w:t>52</w:t>
            </w:r>
          </w:p>
        </w:tc>
        <w:tc>
          <w:tcPr>
            <w:tcW w:w="2350" w:type="dxa"/>
            <w:shd w:val="clear" w:color="auto" w:fill="auto"/>
            <w:noWrap/>
            <w:vAlign w:val="center"/>
            <w:hideMark/>
          </w:tcPr>
          <w:p w:rsidR="003136C5" w:rsidRPr="009C5096" w:rsidRDefault="003136C5" w:rsidP="00612896">
            <w:pPr>
              <w:jc w:val="right"/>
              <w:rPr>
                <w:rFonts w:ascii="Arial" w:hAnsi="Arial" w:cs="Arial"/>
                <w:color w:val="000000"/>
                <w:sz w:val="20"/>
                <w:szCs w:val="20"/>
              </w:rPr>
            </w:pPr>
            <w:r w:rsidRPr="009C5096">
              <w:rPr>
                <w:rFonts w:ascii="Arial" w:hAnsi="Arial" w:cs="Arial"/>
                <w:color w:val="000000"/>
                <w:sz w:val="20"/>
                <w:szCs w:val="20"/>
              </w:rPr>
              <w:t>12</w:t>
            </w:r>
            <w:r w:rsidR="00FD4C08">
              <w:rPr>
                <w:rFonts w:ascii="Arial" w:hAnsi="Arial" w:cs="Arial"/>
                <w:color w:val="000000"/>
                <w:sz w:val="20"/>
                <w:szCs w:val="20"/>
              </w:rPr>
              <w:t>.</w:t>
            </w:r>
            <w:r w:rsidRPr="009C5096">
              <w:rPr>
                <w:rFonts w:ascii="Arial" w:hAnsi="Arial" w:cs="Arial"/>
                <w:color w:val="000000"/>
                <w:sz w:val="20"/>
                <w:szCs w:val="20"/>
              </w:rPr>
              <w:t>25%</w:t>
            </w:r>
          </w:p>
        </w:tc>
      </w:tr>
      <w:tr w:rsidR="003136C5" w:rsidRPr="009C5096" w:rsidTr="00612896">
        <w:trPr>
          <w:trHeight w:val="285"/>
          <w:jc w:val="center"/>
        </w:trPr>
        <w:tc>
          <w:tcPr>
            <w:tcW w:w="987" w:type="dxa"/>
            <w:vMerge/>
            <w:vAlign w:val="center"/>
            <w:hideMark/>
          </w:tcPr>
          <w:p w:rsidR="003136C5" w:rsidRPr="009C5096" w:rsidRDefault="003136C5" w:rsidP="00612896">
            <w:pPr>
              <w:rPr>
                <w:rFonts w:ascii="Arial" w:hAnsi="Arial" w:cs="Arial"/>
                <w:b/>
                <w:bCs/>
                <w:color w:val="000000"/>
                <w:sz w:val="20"/>
                <w:szCs w:val="20"/>
              </w:rPr>
            </w:pP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Import</w:t>
            </w:r>
          </w:p>
        </w:tc>
        <w:tc>
          <w:tcPr>
            <w:tcW w:w="2530" w:type="dxa"/>
            <w:shd w:val="clear" w:color="auto" w:fill="auto"/>
            <w:noWrap/>
            <w:vAlign w:val="center"/>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6</w:t>
            </w:r>
            <w:r w:rsidR="00E6222A">
              <w:rPr>
                <w:rFonts w:ascii="Arial" w:hAnsi="Arial" w:cs="Arial"/>
                <w:color w:val="000000"/>
                <w:sz w:val="20"/>
                <w:szCs w:val="20"/>
              </w:rPr>
              <w:t>,</w:t>
            </w:r>
            <w:r w:rsidRPr="009C5096">
              <w:rPr>
                <w:rFonts w:ascii="Arial" w:hAnsi="Arial" w:cs="Arial"/>
                <w:color w:val="000000"/>
                <w:sz w:val="20"/>
                <w:szCs w:val="20"/>
              </w:rPr>
              <w:t>106</w:t>
            </w:r>
            <w:r w:rsidR="00E6222A">
              <w:rPr>
                <w:rFonts w:ascii="Arial" w:hAnsi="Arial" w:cs="Arial"/>
                <w:color w:val="000000"/>
                <w:sz w:val="20"/>
                <w:szCs w:val="20"/>
              </w:rPr>
              <w:t>.</w:t>
            </w:r>
            <w:r w:rsidRPr="009C5096">
              <w:rPr>
                <w:rFonts w:ascii="Arial" w:hAnsi="Arial" w:cs="Arial"/>
                <w:color w:val="000000"/>
                <w:sz w:val="20"/>
                <w:szCs w:val="20"/>
              </w:rPr>
              <w:t>73</w:t>
            </w:r>
          </w:p>
        </w:tc>
        <w:tc>
          <w:tcPr>
            <w:tcW w:w="2340" w:type="dxa"/>
            <w:shd w:val="clear" w:color="auto" w:fill="auto"/>
            <w:noWrap/>
            <w:vAlign w:val="center"/>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718</w:t>
            </w:r>
            <w:r w:rsidR="00FD4C08">
              <w:rPr>
                <w:rFonts w:ascii="Arial" w:hAnsi="Arial" w:cs="Arial"/>
                <w:color w:val="000000"/>
                <w:sz w:val="20"/>
                <w:szCs w:val="20"/>
              </w:rPr>
              <w:t>.</w:t>
            </w:r>
            <w:r w:rsidRPr="009C5096">
              <w:rPr>
                <w:rFonts w:ascii="Arial" w:hAnsi="Arial" w:cs="Arial"/>
                <w:color w:val="000000"/>
                <w:sz w:val="20"/>
                <w:szCs w:val="20"/>
              </w:rPr>
              <w:t>01</w:t>
            </w:r>
          </w:p>
        </w:tc>
        <w:tc>
          <w:tcPr>
            <w:tcW w:w="2350" w:type="dxa"/>
            <w:shd w:val="clear" w:color="auto" w:fill="auto"/>
            <w:noWrap/>
            <w:vAlign w:val="center"/>
            <w:hideMark/>
          </w:tcPr>
          <w:p w:rsidR="003136C5" w:rsidRPr="009C5096" w:rsidRDefault="003136C5" w:rsidP="00612896">
            <w:pPr>
              <w:jc w:val="right"/>
              <w:rPr>
                <w:rFonts w:ascii="Arial" w:hAnsi="Arial" w:cs="Arial"/>
                <w:color w:val="000000"/>
                <w:sz w:val="20"/>
                <w:szCs w:val="20"/>
              </w:rPr>
            </w:pPr>
            <w:r w:rsidRPr="009C5096">
              <w:rPr>
                <w:rFonts w:ascii="Arial" w:hAnsi="Arial" w:cs="Arial"/>
                <w:color w:val="000000"/>
                <w:sz w:val="20"/>
                <w:szCs w:val="20"/>
              </w:rPr>
              <w:t>11</w:t>
            </w:r>
            <w:r w:rsidR="00FD4C08">
              <w:rPr>
                <w:rFonts w:ascii="Arial" w:hAnsi="Arial" w:cs="Arial"/>
                <w:color w:val="000000"/>
                <w:sz w:val="20"/>
                <w:szCs w:val="20"/>
              </w:rPr>
              <w:t>.</w:t>
            </w:r>
            <w:r w:rsidRPr="009C5096">
              <w:rPr>
                <w:rFonts w:ascii="Arial" w:hAnsi="Arial" w:cs="Arial"/>
                <w:color w:val="000000"/>
                <w:sz w:val="20"/>
                <w:szCs w:val="20"/>
              </w:rPr>
              <w:t>76%</w:t>
            </w:r>
          </w:p>
        </w:tc>
      </w:tr>
      <w:tr w:rsidR="003136C5" w:rsidRPr="009C5096" w:rsidTr="00612896">
        <w:trPr>
          <w:trHeight w:val="300"/>
          <w:jc w:val="center"/>
        </w:trPr>
        <w:tc>
          <w:tcPr>
            <w:tcW w:w="987" w:type="dxa"/>
            <w:vMerge/>
            <w:vAlign w:val="center"/>
            <w:hideMark/>
          </w:tcPr>
          <w:p w:rsidR="003136C5" w:rsidRPr="009C5096" w:rsidRDefault="003136C5" w:rsidP="00612896">
            <w:pPr>
              <w:rPr>
                <w:rFonts w:ascii="Arial" w:hAnsi="Arial" w:cs="Arial"/>
                <w:b/>
                <w:bCs/>
                <w:color w:val="000000"/>
                <w:sz w:val="20"/>
                <w:szCs w:val="20"/>
              </w:rPr>
            </w:pP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Balance</w:t>
            </w:r>
          </w:p>
        </w:tc>
        <w:tc>
          <w:tcPr>
            <w:tcW w:w="2530" w:type="dxa"/>
            <w:shd w:val="clear" w:color="auto" w:fill="auto"/>
            <w:noWrap/>
            <w:vAlign w:val="center"/>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-1</w:t>
            </w:r>
            <w:r w:rsidR="00E6222A">
              <w:rPr>
                <w:rFonts w:ascii="Arial" w:hAnsi="Arial" w:cs="Arial"/>
                <w:color w:val="000000"/>
                <w:sz w:val="20"/>
                <w:szCs w:val="20"/>
              </w:rPr>
              <w:t>,</w:t>
            </w:r>
            <w:r w:rsidRPr="009C5096">
              <w:rPr>
                <w:rFonts w:ascii="Arial" w:hAnsi="Arial" w:cs="Arial"/>
                <w:color w:val="000000"/>
                <w:sz w:val="20"/>
                <w:szCs w:val="20"/>
              </w:rPr>
              <w:t>777</w:t>
            </w:r>
            <w:r w:rsidR="00E6222A">
              <w:rPr>
                <w:rFonts w:ascii="Arial" w:hAnsi="Arial" w:cs="Arial"/>
                <w:color w:val="000000"/>
                <w:sz w:val="20"/>
                <w:szCs w:val="20"/>
              </w:rPr>
              <w:t>.</w:t>
            </w:r>
            <w:r w:rsidRPr="009C5096">
              <w:rPr>
                <w:rFonts w:ascii="Arial" w:hAnsi="Arial" w:cs="Arial"/>
                <w:color w:val="000000"/>
                <w:sz w:val="20"/>
                <w:szCs w:val="20"/>
              </w:rPr>
              <w:t>46</w:t>
            </w:r>
          </w:p>
        </w:tc>
        <w:tc>
          <w:tcPr>
            <w:tcW w:w="2340" w:type="dxa"/>
            <w:shd w:val="clear" w:color="auto" w:fill="auto"/>
            <w:noWrap/>
            <w:vAlign w:val="center"/>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-187</w:t>
            </w:r>
            <w:r w:rsidR="00FD4C08">
              <w:rPr>
                <w:rFonts w:ascii="Arial" w:hAnsi="Arial" w:cs="Arial"/>
                <w:color w:val="000000"/>
                <w:sz w:val="20"/>
                <w:szCs w:val="20"/>
              </w:rPr>
              <w:t>.</w:t>
            </w:r>
            <w:r w:rsidRPr="009C5096">
              <w:rPr>
                <w:rFonts w:ascii="Arial" w:hAnsi="Arial" w:cs="Arial"/>
                <w:color w:val="000000"/>
                <w:sz w:val="20"/>
                <w:szCs w:val="20"/>
              </w:rPr>
              <w:t>49</w:t>
            </w:r>
          </w:p>
        </w:tc>
        <w:tc>
          <w:tcPr>
            <w:tcW w:w="2350" w:type="dxa"/>
            <w:shd w:val="clear" w:color="auto" w:fill="auto"/>
            <w:noWrap/>
            <w:vAlign w:val="center"/>
            <w:hideMark/>
          </w:tcPr>
          <w:p w:rsidR="003136C5" w:rsidRPr="009C5096" w:rsidRDefault="003136C5" w:rsidP="00612896">
            <w:pPr>
              <w:jc w:val="right"/>
              <w:rPr>
                <w:rFonts w:ascii="Arial" w:hAnsi="Arial" w:cs="Arial"/>
                <w:color w:val="000000"/>
                <w:sz w:val="20"/>
                <w:szCs w:val="20"/>
              </w:rPr>
            </w:pPr>
            <w:r w:rsidRPr="009C5096">
              <w:rPr>
                <w:rFonts w:ascii="Arial" w:hAnsi="Arial" w:cs="Arial"/>
                <w:color w:val="000000"/>
                <w:sz w:val="20"/>
                <w:szCs w:val="20"/>
              </w:rPr>
              <w:t>10</w:t>
            </w:r>
            <w:r w:rsidR="00FD4C08">
              <w:rPr>
                <w:rFonts w:ascii="Arial" w:hAnsi="Arial" w:cs="Arial"/>
                <w:color w:val="000000"/>
                <w:sz w:val="20"/>
                <w:szCs w:val="20"/>
              </w:rPr>
              <w:t>.</w:t>
            </w:r>
            <w:r w:rsidRPr="009C5096">
              <w:rPr>
                <w:rFonts w:ascii="Arial" w:hAnsi="Arial" w:cs="Arial"/>
                <w:color w:val="000000"/>
                <w:sz w:val="20"/>
                <w:szCs w:val="20"/>
              </w:rPr>
              <w:t>55%</w:t>
            </w:r>
          </w:p>
        </w:tc>
      </w:tr>
      <w:tr w:rsidR="003136C5" w:rsidRPr="009C5096" w:rsidTr="00612896">
        <w:trPr>
          <w:trHeight w:val="300"/>
          <w:jc w:val="center"/>
        </w:trPr>
        <w:tc>
          <w:tcPr>
            <w:tcW w:w="987" w:type="dxa"/>
            <w:vMerge w:val="restart"/>
            <w:shd w:val="clear" w:color="auto" w:fill="auto"/>
            <w:vAlign w:val="center"/>
            <w:hideMark/>
          </w:tcPr>
          <w:p w:rsidR="003136C5" w:rsidRPr="009C5096" w:rsidRDefault="003136C5" w:rsidP="00612896">
            <w:pPr>
              <w:jc w:val="right"/>
              <w:rPr>
                <w:rFonts w:ascii="Arial" w:hAnsi="Arial" w:cs="Arial"/>
                <w:b/>
                <w:bCs/>
                <w:color w:val="000000"/>
                <w:sz w:val="20"/>
                <w:szCs w:val="20"/>
              </w:rPr>
            </w:pPr>
            <w:r w:rsidRPr="009C5096">
              <w:rPr>
                <w:rFonts w:ascii="Arial" w:hAnsi="Arial" w:cs="Arial"/>
                <w:b/>
                <w:bCs/>
                <w:color w:val="000000"/>
                <w:sz w:val="20"/>
                <w:szCs w:val="20"/>
              </w:rPr>
              <w:t>2017</w:t>
            </w: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Export</w:t>
            </w:r>
          </w:p>
        </w:tc>
        <w:tc>
          <w:tcPr>
            <w:tcW w:w="2530" w:type="dxa"/>
            <w:shd w:val="clear" w:color="auto" w:fill="auto"/>
            <w:noWrap/>
            <w:vAlign w:val="center"/>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5</w:t>
            </w:r>
            <w:r w:rsidR="00E6222A">
              <w:rPr>
                <w:rFonts w:ascii="Arial" w:hAnsi="Arial" w:cs="Arial"/>
                <w:color w:val="000000"/>
                <w:sz w:val="20"/>
                <w:szCs w:val="20"/>
              </w:rPr>
              <w:t>,</w:t>
            </w:r>
            <w:r w:rsidRPr="009C5096">
              <w:rPr>
                <w:rFonts w:ascii="Arial" w:hAnsi="Arial" w:cs="Arial"/>
                <w:color w:val="000000"/>
                <w:sz w:val="20"/>
                <w:szCs w:val="20"/>
              </w:rPr>
              <w:t>007</w:t>
            </w:r>
            <w:r w:rsidR="00E6222A">
              <w:rPr>
                <w:rFonts w:ascii="Arial" w:hAnsi="Arial" w:cs="Arial"/>
                <w:color w:val="000000"/>
                <w:sz w:val="20"/>
                <w:szCs w:val="20"/>
              </w:rPr>
              <w:t>.</w:t>
            </w:r>
            <w:r w:rsidRPr="009C5096">
              <w:rPr>
                <w:rFonts w:ascii="Arial" w:hAnsi="Arial" w:cs="Arial"/>
                <w:color w:val="000000"/>
                <w:sz w:val="20"/>
                <w:szCs w:val="20"/>
              </w:rPr>
              <w:t>9</w:t>
            </w:r>
          </w:p>
        </w:tc>
        <w:tc>
          <w:tcPr>
            <w:tcW w:w="2340" w:type="dxa"/>
            <w:shd w:val="clear" w:color="auto" w:fill="auto"/>
            <w:noWrap/>
            <w:vAlign w:val="center"/>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536</w:t>
            </w:r>
            <w:r w:rsidR="00FD4C08">
              <w:rPr>
                <w:rFonts w:ascii="Arial" w:hAnsi="Arial" w:cs="Arial"/>
                <w:color w:val="000000"/>
                <w:sz w:val="20"/>
                <w:szCs w:val="20"/>
              </w:rPr>
              <w:t>.</w:t>
            </w:r>
            <w:r w:rsidRPr="009C5096">
              <w:rPr>
                <w:rFonts w:ascii="Arial" w:hAnsi="Arial" w:cs="Arial"/>
                <w:color w:val="000000"/>
                <w:sz w:val="20"/>
                <w:szCs w:val="20"/>
              </w:rPr>
              <w:t>23</w:t>
            </w:r>
          </w:p>
        </w:tc>
        <w:tc>
          <w:tcPr>
            <w:tcW w:w="2350" w:type="dxa"/>
            <w:shd w:val="clear" w:color="auto" w:fill="auto"/>
            <w:noWrap/>
            <w:vAlign w:val="center"/>
            <w:hideMark/>
          </w:tcPr>
          <w:p w:rsidR="003136C5" w:rsidRPr="009C5096" w:rsidRDefault="003136C5" w:rsidP="00612896">
            <w:pPr>
              <w:jc w:val="right"/>
              <w:rPr>
                <w:rFonts w:ascii="Arial" w:hAnsi="Arial" w:cs="Arial"/>
                <w:color w:val="000000"/>
                <w:sz w:val="20"/>
                <w:szCs w:val="20"/>
              </w:rPr>
            </w:pPr>
            <w:r w:rsidRPr="009C5096">
              <w:rPr>
                <w:rFonts w:ascii="Arial" w:hAnsi="Arial" w:cs="Arial"/>
                <w:color w:val="000000"/>
                <w:sz w:val="20"/>
                <w:szCs w:val="20"/>
              </w:rPr>
              <w:t>10</w:t>
            </w:r>
            <w:r w:rsidR="00FD4C08">
              <w:rPr>
                <w:rFonts w:ascii="Arial" w:hAnsi="Arial" w:cs="Arial"/>
                <w:color w:val="000000"/>
                <w:sz w:val="20"/>
                <w:szCs w:val="20"/>
              </w:rPr>
              <w:t>.</w:t>
            </w:r>
            <w:r w:rsidRPr="009C5096">
              <w:rPr>
                <w:rFonts w:ascii="Arial" w:hAnsi="Arial" w:cs="Arial"/>
                <w:color w:val="000000"/>
                <w:sz w:val="20"/>
                <w:szCs w:val="20"/>
              </w:rPr>
              <w:t>71%</w:t>
            </w:r>
          </w:p>
        </w:tc>
      </w:tr>
      <w:tr w:rsidR="003136C5" w:rsidRPr="009C5096" w:rsidTr="00612896">
        <w:trPr>
          <w:trHeight w:val="285"/>
          <w:jc w:val="center"/>
        </w:trPr>
        <w:tc>
          <w:tcPr>
            <w:tcW w:w="987" w:type="dxa"/>
            <w:vMerge/>
            <w:vAlign w:val="center"/>
            <w:hideMark/>
          </w:tcPr>
          <w:p w:rsidR="003136C5" w:rsidRPr="009C5096" w:rsidRDefault="003136C5" w:rsidP="00612896">
            <w:pPr>
              <w:rPr>
                <w:rFonts w:ascii="Arial" w:hAnsi="Arial" w:cs="Arial"/>
                <w:b/>
                <w:bCs/>
                <w:color w:val="000000"/>
                <w:sz w:val="20"/>
                <w:szCs w:val="20"/>
              </w:rPr>
            </w:pP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Import</w:t>
            </w:r>
          </w:p>
        </w:tc>
        <w:tc>
          <w:tcPr>
            <w:tcW w:w="2530" w:type="dxa"/>
            <w:shd w:val="clear" w:color="auto" w:fill="auto"/>
            <w:noWrap/>
            <w:vAlign w:val="center"/>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6</w:t>
            </w:r>
            <w:r w:rsidR="00E6222A">
              <w:rPr>
                <w:rFonts w:ascii="Arial" w:hAnsi="Arial" w:cs="Arial"/>
                <w:color w:val="000000"/>
                <w:sz w:val="20"/>
                <w:szCs w:val="20"/>
              </w:rPr>
              <w:t>,</w:t>
            </w:r>
            <w:r w:rsidRPr="009C5096">
              <w:rPr>
                <w:rFonts w:ascii="Arial" w:hAnsi="Arial" w:cs="Arial"/>
                <w:color w:val="000000"/>
                <w:sz w:val="20"/>
                <w:szCs w:val="20"/>
              </w:rPr>
              <w:t>824</w:t>
            </w:r>
            <w:r w:rsidR="00E6222A">
              <w:rPr>
                <w:rFonts w:ascii="Arial" w:hAnsi="Arial" w:cs="Arial"/>
                <w:color w:val="000000"/>
                <w:sz w:val="20"/>
                <w:szCs w:val="20"/>
              </w:rPr>
              <w:t>.</w:t>
            </w:r>
            <w:r w:rsidRPr="009C5096">
              <w:rPr>
                <w:rFonts w:ascii="Arial" w:hAnsi="Arial" w:cs="Arial"/>
                <w:color w:val="000000"/>
                <w:sz w:val="20"/>
                <w:szCs w:val="20"/>
              </w:rPr>
              <w:t>92</w:t>
            </w:r>
          </w:p>
        </w:tc>
        <w:tc>
          <w:tcPr>
            <w:tcW w:w="2340" w:type="dxa"/>
            <w:shd w:val="clear" w:color="auto" w:fill="auto"/>
            <w:noWrap/>
            <w:vAlign w:val="center"/>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759</w:t>
            </w:r>
            <w:r w:rsidR="00FD4C08">
              <w:rPr>
                <w:rFonts w:ascii="Arial" w:hAnsi="Arial" w:cs="Arial"/>
                <w:color w:val="000000"/>
                <w:sz w:val="20"/>
                <w:szCs w:val="20"/>
              </w:rPr>
              <w:t>.</w:t>
            </w:r>
            <w:r w:rsidRPr="009C5096">
              <w:rPr>
                <w:rFonts w:ascii="Arial" w:hAnsi="Arial" w:cs="Arial"/>
                <w:color w:val="000000"/>
                <w:sz w:val="20"/>
                <w:szCs w:val="20"/>
              </w:rPr>
              <w:t>84</w:t>
            </w:r>
          </w:p>
        </w:tc>
        <w:tc>
          <w:tcPr>
            <w:tcW w:w="2350" w:type="dxa"/>
            <w:shd w:val="clear" w:color="auto" w:fill="auto"/>
            <w:noWrap/>
            <w:vAlign w:val="center"/>
            <w:hideMark/>
          </w:tcPr>
          <w:p w:rsidR="003136C5" w:rsidRPr="009C5096" w:rsidRDefault="003136C5" w:rsidP="00612896">
            <w:pPr>
              <w:jc w:val="right"/>
              <w:rPr>
                <w:rFonts w:ascii="Arial" w:hAnsi="Arial" w:cs="Arial"/>
                <w:color w:val="000000"/>
                <w:sz w:val="20"/>
                <w:szCs w:val="20"/>
              </w:rPr>
            </w:pPr>
            <w:r w:rsidRPr="009C5096">
              <w:rPr>
                <w:rFonts w:ascii="Arial" w:hAnsi="Arial" w:cs="Arial"/>
                <w:color w:val="000000"/>
                <w:sz w:val="20"/>
                <w:szCs w:val="20"/>
              </w:rPr>
              <w:t>11</w:t>
            </w:r>
            <w:r w:rsidR="00FD4C08">
              <w:rPr>
                <w:rFonts w:ascii="Arial" w:hAnsi="Arial" w:cs="Arial"/>
                <w:color w:val="000000"/>
                <w:sz w:val="20"/>
                <w:szCs w:val="20"/>
              </w:rPr>
              <w:t>.</w:t>
            </w:r>
            <w:r w:rsidRPr="009C5096">
              <w:rPr>
                <w:rFonts w:ascii="Arial" w:hAnsi="Arial" w:cs="Arial"/>
                <w:color w:val="000000"/>
                <w:sz w:val="20"/>
                <w:szCs w:val="20"/>
              </w:rPr>
              <w:t>13%</w:t>
            </w:r>
          </w:p>
        </w:tc>
      </w:tr>
      <w:tr w:rsidR="003136C5" w:rsidRPr="009C5096" w:rsidTr="00612896">
        <w:trPr>
          <w:trHeight w:val="300"/>
          <w:jc w:val="center"/>
        </w:trPr>
        <w:tc>
          <w:tcPr>
            <w:tcW w:w="987" w:type="dxa"/>
            <w:vMerge/>
            <w:vAlign w:val="center"/>
            <w:hideMark/>
          </w:tcPr>
          <w:p w:rsidR="003136C5" w:rsidRPr="009C5096" w:rsidRDefault="003136C5" w:rsidP="00612896">
            <w:pPr>
              <w:rPr>
                <w:rFonts w:ascii="Arial" w:hAnsi="Arial" w:cs="Arial"/>
                <w:b/>
                <w:bCs/>
                <w:color w:val="000000"/>
                <w:sz w:val="20"/>
                <w:szCs w:val="20"/>
              </w:rPr>
            </w:pP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Balance</w:t>
            </w:r>
          </w:p>
        </w:tc>
        <w:tc>
          <w:tcPr>
            <w:tcW w:w="2530" w:type="dxa"/>
            <w:shd w:val="clear" w:color="auto" w:fill="auto"/>
            <w:noWrap/>
            <w:vAlign w:val="center"/>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-1</w:t>
            </w:r>
            <w:r w:rsidR="00E6222A">
              <w:rPr>
                <w:rFonts w:ascii="Arial" w:hAnsi="Arial" w:cs="Arial"/>
                <w:color w:val="000000"/>
                <w:sz w:val="20"/>
                <w:szCs w:val="20"/>
              </w:rPr>
              <w:t>,</w:t>
            </w:r>
            <w:r w:rsidRPr="009C5096">
              <w:rPr>
                <w:rFonts w:ascii="Arial" w:hAnsi="Arial" w:cs="Arial"/>
                <w:color w:val="000000"/>
                <w:sz w:val="20"/>
                <w:szCs w:val="20"/>
              </w:rPr>
              <w:t>817</w:t>
            </w:r>
            <w:r w:rsidR="00E6222A">
              <w:rPr>
                <w:rFonts w:ascii="Arial" w:hAnsi="Arial" w:cs="Arial"/>
                <w:color w:val="000000"/>
                <w:sz w:val="20"/>
                <w:szCs w:val="20"/>
              </w:rPr>
              <w:t>.</w:t>
            </w:r>
            <w:r w:rsidRPr="009C5096">
              <w:rPr>
                <w:rFonts w:ascii="Arial" w:hAnsi="Arial" w:cs="Arial"/>
                <w:color w:val="000000"/>
                <w:sz w:val="20"/>
                <w:szCs w:val="20"/>
              </w:rPr>
              <w:t>73</w:t>
            </w:r>
          </w:p>
        </w:tc>
        <w:tc>
          <w:tcPr>
            <w:tcW w:w="2340" w:type="dxa"/>
            <w:shd w:val="clear" w:color="auto" w:fill="auto"/>
            <w:noWrap/>
            <w:vAlign w:val="center"/>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-223</w:t>
            </w:r>
            <w:r w:rsidR="00FD4C08">
              <w:rPr>
                <w:rFonts w:ascii="Arial" w:hAnsi="Arial" w:cs="Arial"/>
                <w:color w:val="000000"/>
                <w:sz w:val="20"/>
                <w:szCs w:val="20"/>
              </w:rPr>
              <w:t>.</w:t>
            </w:r>
            <w:r w:rsidRPr="009C5096">
              <w:rPr>
                <w:rFonts w:ascii="Arial" w:hAnsi="Arial" w:cs="Arial"/>
                <w:color w:val="000000"/>
                <w:sz w:val="20"/>
                <w:szCs w:val="20"/>
              </w:rPr>
              <w:t>61</w:t>
            </w:r>
          </w:p>
        </w:tc>
        <w:tc>
          <w:tcPr>
            <w:tcW w:w="2350" w:type="dxa"/>
            <w:shd w:val="clear" w:color="auto" w:fill="auto"/>
            <w:noWrap/>
            <w:vAlign w:val="center"/>
            <w:hideMark/>
          </w:tcPr>
          <w:p w:rsidR="003136C5" w:rsidRPr="009C5096" w:rsidRDefault="003136C5" w:rsidP="00612896">
            <w:pPr>
              <w:jc w:val="right"/>
              <w:rPr>
                <w:rFonts w:ascii="Arial" w:hAnsi="Arial" w:cs="Arial"/>
                <w:color w:val="000000"/>
                <w:sz w:val="20"/>
                <w:szCs w:val="20"/>
              </w:rPr>
            </w:pPr>
            <w:r w:rsidRPr="009C5096">
              <w:rPr>
                <w:rFonts w:ascii="Arial" w:hAnsi="Arial" w:cs="Arial"/>
                <w:color w:val="000000"/>
                <w:sz w:val="20"/>
                <w:szCs w:val="20"/>
              </w:rPr>
              <w:t>12</w:t>
            </w:r>
            <w:r w:rsidR="00FD4C08">
              <w:rPr>
                <w:rFonts w:ascii="Arial" w:hAnsi="Arial" w:cs="Arial"/>
                <w:color w:val="000000"/>
                <w:sz w:val="20"/>
                <w:szCs w:val="20"/>
              </w:rPr>
              <w:t>.</w:t>
            </w:r>
            <w:r w:rsidRPr="009C5096">
              <w:rPr>
                <w:rFonts w:ascii="Arial" w:hAnsi="Arial" w:cs="Arial"/>
                <w:color w:val="000000"/>
                <w:sz w:val="20"/>
                <w:szCs w:val="20"/>
              </w:rPr>
              <w:t>30%</w:t>
            </w:r>
          </w:p>
        </w:tc>
      </w:tr>
      <w:tr w:rsidR="003136C5" w:rsidRPr="009C5096" w:rsidTr="00612896">
        <w:trPr>
          <w:trHeight w:val="300"/>
          <w:jc w:val="center"/>
        </w:trPr>
        <w:tc>
          <w:tcPr>
            <w:tcW w:w="987" w:type="dxa"/>
            <w:vMerge w:val="restart"/>
            <w:shd w:val="clear" w:color="auto" w:fill="auto"/>
            <w:vAlign w:val="center"/>
            <w:hideMark/>
          </w:tcPr>
          <w:p w:rsidR="003136C5" w:rsidRPr="009C5096" w:rsidRDefault="003136C5" w:rsidP="00612896">
            <w:pPr>
              <w:jc w:val="right"/>
              <w:rPr>
                <w:rFonts w:ascii="Arial" w:hAnsi="Arial" w:cs="Arial"/>
                <w:b/>
                <w:bCs/>
                <w:color w:val="000000"/>
                <w:sz w:val="20"/>
                <w:szCs w:val="20"/>
              </w:rPr>
            </w:pPr>
            <w:r w:rsidRPr="009C5096">
              <w:rPr>
                <w:rFonts w:ascii="Arial" w:hAnsi="Arial" w:cs="Arial"/>
                <w:b/>
                <w:bCs/>
                <w:color w:val="000000"/>
                <w:sz w:val="20"/>
                <w:szCs w:val="20"/>
              </w:rPr>
              <w:t>2018</w:t>
            </w: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Export</w:t>
            </w:r>
          </w:p>
        </w:tc>
        <w:tc>
          <w:tcPr>
            <w:tcW w:w="2530" w:type="dxa"/>
            <w:shd w:val="clear" w:color="auto" w:fill="auto"/>
            <w:noWrap/>
            <w:vAlign w:val="bottom"/>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5</w:t>
            </w:r>
            <w:r w:rsidR="00E6222A">
              <w:rPr>
                <w:rFonts w:ascii="Arial" w:hAnsi="Arial" w:cs="Arial"/>
                <w:color w:val="000000"/>
                <w:sz w:val="20"/>
                <w:szCs w:val="20"/>
              </w:rPr>
              <w:t>,</w:t>
            </w:r>
            <w:r w:rsidRPr="009C5096">
              <w:rPr>
                <w:rFonts w:ascii="Arial" w:hAnsi="Arial" w:cs="Arial"/>
                <w:color w:val="000000"/>
                <w:sz w:val="20"/>
                <w:szCs w:val="20"/>
              </w:rPr>
              <w:t>860</w:t>
            </w:r>
            <w:r w:rsidR="00E6222A">
              <w:rPr>
                <w:rFonts w:ascii="Arial" w:hAnsi="Arial" w:cs="Arial"/>
                <w:color w:val="000000"/>
                <w:sz w:val="20"/>
                <w:szCs w:val="20"/>
              </w:rPr>
              <w:t>.</w:t>
            </w:r>
            <w:r w:rsidRPr="009C5096">
              <w:rPr>
                <w:rFonts w:ascii="Arial" w:hAnsi="Arial" w:cs="Arial"/>
                <w:color w:val="000000"/>
                <w:sz w:val="20"/>
                <w:szCs w:val="20"/>
              </w:rPr>
              <w:t>83</w:t>
            </w:r>
          </w:p>
        </w:tc>
        <w:tc>
          <w:tcPr>
            <w:tcW w:w="2340" w:type="dxa"/>
            <w:shd w:val="clear" w:color="auto" w:fill="auto"/>
            <w:noWrap/>
            <w:vAlign w:val="bottom"/>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545</w:t>
            </w:r>
            <w:r w:rsidR="00FD4C08">
              <w:rPr>
                <w:rFonts w:ascii="Arial" w:hAnsi="Arial" w:cs="Arial"/>
                <w:color w:val="000000"/>
                <w:sz w:val="20"/>
                <w:szCs w:val="20"/>
              </w:rPr>
              <w:t>.</w:t>
            </w:r>
            <w:r w:rsidRPr="009C5096">
              <w:rPr>
                <w:rFonts w:ascii="Arial" w:hAnsi="Arial" w:cs="Arial"/>
                <w:color w:val="000000"/>
                <w:sz w:val="20"/>
                <w:szCs w:val="20"/>
              </w:rPr>
              <w:t>50</w:t>
            </w:r>
          </w:p>
        </w:tc>
        <w:tc>
          <w:tcPr>
            <w:tcW w:w="2350" w:type="dxa"/>
            <w:shd w:val="clear" w:color="auto" w:fill="auto"/>
            <w:noWrap/>
            <w:vAlign w:val="center"/>
            <w:hideMark/>
          </w:tcPr>
          <w:p w:rsidR="003136C5" w:rsidRPr="009C5096" w:rsidRDefault="003136C5" w:rsidP="00612896">
            <w:pPr>
              <w:jc w:val="right"/>
              <w:rPr>
                <w:rFonts w:ascii="Arial" w:hAnsi="Arial" w:cs="Arial"/>
                <w:color w:val="000000"/>
                <w:sz w:val="20"/>
                <w:szCs w:val="20"/>
              </w:rPr>
            </w:pPr>
            <w:r w:rsidRPr="009C5096">
              <w:rPr>
                <w:rFonts w:ascii="Arial" w:hAnsi="Arial" w:cs="Arial"/>
                <w:color w:val="000000"/>
                <w:sz w:val="20"/>
                <w:szCs w:val="20"/>
              </w:rPr>
              <w:t>9</w:t>
            </w:r>
            <w:r w:rsidR="00FD4C08">
              <w:rPr>
                <w:rFonts w:ascii="Arial" w:hAnsi="Arial" w:cs="Arial"/>
                <w:color w:val="000000"/>
                <w:sz w:val="20"/>
                <w:szCs w:val="20"/>
              </w:rPr>
              <w:t>.</w:t>
            </w:r>
            <w:r w:rsidRPr="009C5096">
              <w:rPr>
                <w:rFonts w:ascii="Arial" w:hAnsi="Arial" w:cs="Arial"/>
                <w:color w:val="000000"/>
                <w:sz w:val="20"/>
                <w:szCs w:val="20"/>
              </w:rPr>
              <w:t>31%</w:t>
            </w:r>
          </w:p>
        </w:tc>
      </w:tr>
      <w:tr w:rsidR="003136C5" w:rsidRPr="009C5096" w:rsidTr="00612896">
        <w:trPr>
          <w:trHeight w:val="285"/>
          <w:jc w:val="center"/>
        </w:trPr>
        <w:tc>
          <w:tcPr>
            <w:tcW w:w="987" w:type="dxa"/>
            <w:vMerge/>
            <w:vAlign w:val="center"/>
            <w:hideMark/>
          </w:tcPr>
          <w:p w:rsidR="003136C5" w:rsidRPr="009C5096" w:rsidRDefault="003136C5" w:rsidP="00612896">
            <w:pPr>
              <w:rPr>
                <w:rFonts w:ascii="Arial" w:hAnsi="Arial" w:cs="Arial"/>
                <w:b/>
                <w:bCs/>
                <w:color w:val="000000"/>
                <w:sz w:val="20"/>
                <w:szCs w:val="20"/>
              </w:rPr>
            </w:pP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Import</w:t>
            </w:r>
          </w:p>
        </w:tc>
        <w:tc>
          <w:tcPr>
            <w:tcW w:w="2530" w:type="dxa"/>
            <w:shd w:val="clear" w:color="auto" w:fill="auto"/>
            <w:noWrap/>
            <w:vAlign w:val="bottom"/>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7</w:t>
            </w:r>
            <w:r w:rsidR="00E6222A">
              <w:rPr>
                <w:rFonts w:ascii="Arial" w:hAnsi="Arial" w:cs="Arial"/>
                <w:color w:val="000000"/>
                <w:sz w:val="20"/>
                <w:szCs w:val="20"/>
              </w:rPr>
              <w:t>,</w:t>
            </w:r>
            <w:r w:rsidRPr="009C5096">
              <w:rPr>
                <w:rFonts w:ascii="Arial" w:hAnsi="Arial" w:cs="Arial"/>
                <w:color w:val="000000"/>
                <w:sz w:val="20"/>
                <w:szCs w:val="20"/>
              </w:rPr>
              <w:t>671</w:t>
            </w:r>
            <w:r w:rsidR="00E6222A">
              <w:rPr>
                <w:rFonts w:ascii="Arial" w:hAnsi="Arial" w:cs="Arial"/>
                <w:color w:val="000000"/>
                <w:sz w:val="20"/>
                <w:szCs w:val="20"/>
              </w:rPr>
              <w:t>.</w:t>
            </w:r>
            <w:r w:rsidRPr="009C5096">
              <w:rPr>
                <w:rFonts w:ascii="Arial" w:hAnsi="Arial" w:cs="Arial"/>
                <w:color w:val="000000"/>
                <w:sz w:val="20"/>
                <w:szCs w:val="20"/>
              </w:rPr>
              <w:t>95</w:t>
            </w:r>
          </w:p>
        </w:tc>
        <w:tc>
          <w:tcPr>
            <w:tcW w:w="2340" w:type="dxa"/>
            <w:shd w:val="clear" w:color="auto" w:fill="auto"/>
            <w:noWrap/>
            <w:vAlign w:val="bottom"/>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792</w:t>
            </w:r>
            <w:r w:rsidR="00FD4C08">
              <w:rPr>
                <w:rFonts w:ascii="Arial" w:hAnsi="Arial" w:cs="Arial"/>
                <w:color w:val="000000"/>
                <w:sz w:val="20"/>
                <w:szCs w:val="20"/>
              </w:rPr>
              <w:t>.</w:t>
            </w:r>
            <w:r w:rsidRPr="009C5096">
              <w:rPr>
                <w:rFonts w:ascii="Arial" w:hAnsi="Arial" w:cs="Arial"/>
                <w:color w:val="000000"/>
                <w:sz w:val="20"/>
                <w:szCs w:val="20"/>
              </w:rPr>
              <w:t>15</w:t>
            </w:r>
          </w:p>
        </w:tc>
        <w:tc>
          <w:tcPr>
            <w:tcW w:w="2350" w:type="dxa"/>
            <w:shd w:val="clear" w:color="auto" w:fill="auto"/>
            <w:noWrap/>
            <w:vAlign w:val="center"/>
            <w:hideMark/>
          </w:tcPr>
          <w:p w:rsidR="003136C5" w:rsidRPr="009C5096" w:rsidRDefault="003136C5" w:rsidP="00612896">
            <w:pPr>
              <w:jc w:val="right"/>
              <w:rPr>
                <w:rFonts w:ascii="Arial" w:hAnsi="Arial" w:cs="Arial"/>
                <w:color w:val="000000"/>
                <w:sz w:val="20"/>
                <w:szCs w:val="20"/>
              </w:rPr>
            </w:pPr>
            <w:r w:rsidRPr="009C5096">
              <w:rPr>
                <w:rFonts w:ascii="Arial" w:hAnsi="Arial" w:cs="Arial"/>
                <w:color w:val="000000"/>
                <w:sz w:val="20"/>
                <w:szCs w:val="20"/>
              </w:rPr>
              <w:t>10</w:t>
            </w:r>
            <w:r w:rsidR="00FD4C08">
              <w:rPr>
                <w:rFonts w:ascii="Arial" w:hAnsi="Arial" w:cs="Arial"/>
                <w:color w:val="000000"/>
                <w:sz w:val="20"/>
                <w:szCs w:val="20"/>
              </w:rPr>
              <w:t>.</w:t>
            </w:r>
            <w:r w:rsidRPr="009C5096">
              <w:rPr>
                <w:rFonts w:ascii="Arial" w:hAnsi="Arial" w:cs="Arial"/>
                <w:color w:val="000000"/>
                <w:sz w:val="20"/>
                <w:szCs w:val="20"/>
              </w:rPr>
              <w:t>32%</w:t>
            </w:r>
          </w:p>
        </w:tc>
      </w:tr>
      <w:tr w:rsidR="003136C5" w:rsidRPr="009C5096" w:rsidTr="00612896">
        <w:trPr>
          <w:trHeight w:val="300"/>
          <w:jc w:val="center"/>
        </w:trPr>
        <w:tc>
          <w:tcPr>
            <w:tcW w:w="987" w:type="dxa"/>
            <w:vMerge/>
            <w:vAlign w:val="center"/>
            <w:hideMark/>
          </w:tcPr>
          <w:p w:rsidR="003136C5" w:rsidRPr="009C5096" w:rsidRDefault="003136C5" w:rsidP="00612896">
            <w:pPr>
              <w:rPr>
                <w:rFonts w:ascii="Arial" w:hAnsi="Arial" w:cs="Arial"/>
                <w:b/>
                <w:bCs/>
                <w:color w:val="000000"/>
                <w:sz w:val="20"/>
                <w:szCs w:val="20"/>
              </w:rPr>
            </w:pPr>
          </w:p>
        </w:tc>
        <w:tc>
          <w:tcPr>
            <w:tcW w:w="993" w:type="dxa"/>
            <w:shd w:val="clear" w:color="auto" w:fill="auto"/>
            <w:noWrap/>
            <w:vAlign w:val="center"/>
            <w:hideMark/>
          </w:tcPr>
          <w:p w:rsidR="003136C5" w:rsidRPr="009C5096" w:rsidRDefault="003136C5" w:rsidP="00612896">
            <w:pPr>
              <w:rPr>
                <w:rFonts w:ascii="Arial" w:hAnsi="Arial" w:cs="Arial"/>
                <w:b/>
                <w:bCs/>
                <w:i/>
                <w:iCs/>
                <w:color w:val="000000"/>
                <w:sz w:val="20"/>
                <w:szCs w:val="20"/>
              </w:rPr>
            </w:pPr>
            <w:r w:rsidRPr="009C5096">
              <w:rPr>
                <w:rFonts w:ascii="Arial" w:hAnsi="Arial" w:cs="Arial"/>
                <w:b/>
                <w:bCs/>
                <w:i/>
                <w:iCs/>
                <w:color w:val="000000"/>
                <w:sz w:val="20"/>
                <w:szCs w:val="20"/>
              </w:rPr>
              <w:t>Balance</w:t>
            </w:r>
          </w:p>
        </w:tc>
        <w:tc>
          <w:tcPr>
            <w:tcW w:w="2530" w:type="dxa"/>
            <w:shd w:val="clear" w:color="auto" w:fill="auto"/>
            <w:noWrap/>
            <w:vAlign w:val="center"/>
            <w:hideMark/>
          </w:tcPr>
          <w:p w:rsidR="003136C5" w:rsidRPr="009C5096" w:rsidRDefault="003136C5" w:rsidP="00E6222A">
            <w:pPr>
              <w:jc w:val="right"/>
              <w:rPr>
                <w:rFonts w:ascii="Arial" w:hAnsi="Arial" w:cs="Arial"/>
                <w:color w:val="000000"/>
                <w:sz w:val="20"/>
                <w:szCs w:val="20"/>
              </w:rPr>
            </w:pPr>
            <w:r w:rsidRPr="009C5096">
              <w:rPr>
                <w:rFonts w:ascii="Arial" w:hAnsi="Arial" w:cs="Arial"/>
                <w:color w:val="000000"/>
                <w:sz w:val="20"/>
                <w:szCs w:val="20"/>
              </w:rPr>
              <w:t>-1</w:t>
            </w:r>
            <w:r w:rsidR="00E6222A">
              <w:rPr>
                <w:rFonts w:ascii="Arial" w:hAnsi="Arial" w:cs="Arial"/>
                <w:color w:val="000000"/>
                <w:sz w:val="20"/>
                <w:szCs w:val="20"/>
              </w:rPr>
              <w:t>,</w:t>
            </w:r>
            <w:r w:rsidRPr="009C5096">
              <w:rPr>
                <w:rFonts w:ascii="Arial" w:hAnsi="Arial" w:cs="Arial"/>
                <w:color w:val="000000"/>
                <w:sz w:val="20"/>
                <w:szCs w:val="20"/>
              </w:rPr>
              <w:t>811</w:t>
            </w:r>
            <w:r w:rsidR="00E6222A">
              <w:rPr>
                <w:rFonts w:ascii="Arial" w:hAnsi="Arial" w:cs="Arial"/>
                <w:color w:val="000000"/>
                <w:sz w:val="20"/>
                <w:szCs w:val="20"/>
              </w:rPr>
              <w:t>.</w:t>
            </w:r>
            <w:r w:rsidRPr="009C5096">
              <w:rPr>
                <w:rFonts w:ascii="Arial" w:hAnsi="Arial" w:cs="Arial"/>
                <w:color w:val="000000"/>
                <w:sz w:val="20"/>
                <w:szCs w:val="20"/>
              </w:rPr>
              <w:t>12</w:t>
            </w:r>
          </w:p>
        </w:tc>
        <w:tc>
          <w:tcPr>
            <w:tcW w:w="2340" w:type="dxa"/>
            <w:shd w:val="clear" w:color="auto" w:fill="auto"/>
            <w:noWrap/>
            <w:vAlign w:val="center"/>
            <w:hideMark/>
          </w:tcPr>
          <w:p w:rsidR="003136C5" w:rsidRPr="009C5096" w:rsidRDefault="003136C5" w:rsidP="00FD4C08">
            <w:pPr>
              <w:jc w:val="right"/>
              <w:rPr>
                <w:rFonts w:ascii="Arial" w:hAnsi="Arial" w:cs="Arial"/>
                <w:color w:val="000000"/>
                <w:sz w:val="20"/>
                <w:szCs w:val="20"/>
              </w:rPr>
            </w:pPr>
            <w:r w:rsidRPr="009C5096">
              <w:rPr>
                <w:rFonts w:ascii="Arial" w:hAnsi="Arial" w:cs="Arial"/>
                <w:color w:val="000000"/>
                <w:sz w:val="20"/>
                <w:szCs w:val="20"/>
              </w:rPr>
              <w:t>-246</w:t>
            </w:r>
            <w:r w:rsidR="00FD4C08">
              <w:rPr>
                <w:rFonts w:ascii="Arial" w:hAnsi="Arial" w:cs="Arial"/>
                <w:color w:val="000000"/>
                <w:sz w:val="20"/>
                <w:szCs w:val="20"/>
              </w:rPr>
              <w:t>.</w:t>
            </w:r>
            <w:r w:rsidRPr="009C5096">
              <w:rPr>
                <w:rFonts w:ascii="Arial" w:hAnsi="Arial" w:cs="Arial"/>
                <w:color w:val="000000"/>
                <w:sz w:val="20"/>
                <w:szCs w:val="20"/>
              </w:rPr>
              <w:t>65</w:t>
            </w:r>
          </w:p>
        </w:tc>
        <w:tc>
          <w:tcPr>
            <w:tcW w:w="2350" w:type="dxa"/>
            <w:shd w:val="clear" w:color="auto" w:fill="auto"/>
            <w:noWrap/>
            <w:vAlign w:val="center"/>
            <w:hideMark/>
          </w:tcPr>
          <w:p w:rsidR="003136C5" w:rsidRPr="009C5096" w:rsidRDefault="003136C5" w:rsidP="00612896">
            <w:pPr>
              <w:jc w:val="right"/>
              <w:rPr>
                <w:rFonts w:ascii="Arial" w:hAnsi="Arial" w:cs="Arial"/>
                <w:color w:val="000000"/>
                <w:sz w:val="20"/>
                <w:szCs w:val="20"/>
              </w:rPr>
            </w:pPr>
            <w:r w:rsidRPr="009C5096">
              <w:rPr>
                <w:rFonts w:ascii="Arial" w:hAnsi="Arial" w:cs="Arial"/>
                <w:color w:val="000000"/>
                <w:sz w:val="20"/>
                <w:szCs w:val="20"/>
              </w:rPr>
              <w:t>13</w:t>
            </w:r>
            <w:r w:rsidR="00FD4C08">
              <w:rPr>
                <w:rFonts w:ascii="Arial" w:hAnsi="Arial" w:cs="Arial"/>
                <w:color w:val="000000"/>
                <w:sz w:val="20"/>
                <w:szCs w:val="20"/>
              </w:rPr>
              <w:t>.</w:t>
            </w:r>
            <w:r w:rsidRPr="009C5096">
              <w:rPr>
                <w:rFonts w:ascii="Arial" w:hAnsi="Arial" w:cs="Arial"/>
                <w:color w:val="000000"/>
                <w:sz w:val="20"/>
                <w:szCs w:val="20"/>
              </w:rPr>
              <w:t>61%</w:t>
            </w:r>
          </w:p>
        </w:tc>
      </w:tr>
    </w:tbl>
    <w:p w:rsidR="003136C5" w:rsidRPr="009C5096" w:rsidRDefault="003136C5" w:rsidP="003136C5">
      <w:pPr>
        <w:rPr>
          <w:rFonts w:ascii="Arial" w:hAnsi="Arial" w:cs="Arial"/>
          <w:sz w:val="18"/>
          <w:szCs w:val="18"/>
        </w:rPr>
      </w:pPr>
      <w:r w:rsidRPr="009C5096">
        <w:rPr>
          <w:rFonts w:ascii="Arial" w:hAnsi="Arial" w:cs="Arial"/>
          <w:sz w:val="18"/>
          <w:szCs w:val="18"/>
        </w:rPr>
        <w:t>Source: SSO</w:t>
      </w:r>
    </w:p>
    <w:p w:rsidR="003136C5" w:rsidRPr="00DF0834" w:rsidRDefault="003136C5" w:rsidP="003136C5">
      <w:pPr>
        <w:spacing w:before="120"/>
        <w:jc w:val="both"/>
        <w:rPr>
          <w:rFonts w:ascii="Arial" w:eastAsia="Calibri" w:hAnsi="Arial" w:cs="Arial"/>
          <w:sz w:val="20"/>
          <w:lang w:eastAsia="en-GB"/>
        </w:rPr>
      </w:pPr>
      <w:bookmarkStart w:id="13" w:name="_Toc6903702"/>
      <w:r w:rsidRPr="00DF0834">
        <w:rPr>
          <w:rFonts w:ascii="Arial" w:hAnsi="Arial" w:cs="Arial"/>
          <w:sz w:val="20"/>
        </w:rPr>
        <w:t xml:space="preserve">Figure </w:t>
      </w:r>
      <w:r w:rsidRPr="00DF0834">
        <w:rPr>
          <w:rFonts w:ascii="Arial" w:hAnsi="Arial" w:cs="Arial"/>
          <w:sz w:val="20"/>
        </w:rPr>
        <w:fldChar w:fldCharType="begin"/>
      </w:r>
      <w:r w:rsidRPr="00DF0834">
        <w:rPr>
          <w:rFonts w:ascii="Arial" w:hAnsi="Arial" w:cs="Arial"/>
          <w:sz w:val="20"/>
        </w:rPr>
        <w:instrText xml:space="preserve"> SEQ Figure \* ARABIC </w:instrText>
      </w:r>
      <w:r w:rsidRPr="00DF0834">
        <w:rPr>
          <w:rFonts w:ascii="Arial" w:hAnsi="Arial" w:cs="Arial"/>
          <w:sz w:val="20"/>
        </w:rPr>
        <w:fldChar w:fldCharType="separate"/>
      </w:r>
      <w:r w:rsidRPr="00DF0834">
        <w:rPr>
          <w:rFonts w:ascii="Arial" w:hAnsi="Arial" w:cs="Arial"/>
          <w:sz w:val="20"/>
        </w:rPr>
        <w:t>2</w:t>
      </w:r>
      <w:r w:rsidRPr="00DF0834">
        <w:rPr>
          <w:rFonts w:ascii="Arial" w:hAnsi="Arial" w:cs="Arial"/>
          <w:sz w:val="20"/>
        </w:rPr>
        <w:fldChar w:fldCharType="end"/>
      </w:r>
      <w:r w:rsidRPr="00DF0834">
        <w:rPr>
          <w:rFonts w:ascii="Arial" w:hAnsi="Arial" w:cs="Arial"/>
          <w:sz w:val="20"/>
        </w:rPr>
        <w:t>:</w:t>
      </w:r>
      <w:r w:rsidRPr="00DF0834">
        <w:rPr>
          <w:rFonts w:ascii="Arial" w:eastAsia="Calibri" w:hAnsi="Arial" w:cs="Arial"/>
          <w:sz w:val="20"/>
          <w:lang w:eastAsia="en-GB"/>
        </w:rPr>
        <w:t xml:space="preserve"> Development of Macedonian agricultural trade (in million €), 2014-2018 period</w:t>
      </w:r>
      <w:bookmarkEnd w:id="13"/>
      <w:r w:rsidRPr="00DF0834">
        <w:rPr>
          <w:rFonts w:ascii="Arial" w:eastAsia="Calibri" w:hAnsi="Arial" w:cs="Arial"/>
          <w:sz w:val="20"/>
          <w:lang w:eastAsia="en-GB"/>
        </w:rPr>
        <w:t xml:space="preserve"> </w:t>
      </w:r>
    </w:p>
    <w:p w:rsidR="003136C5" w:rsidRPr="009C5096" w:rsidRDefault="003136C5" w:rsidP="003136C5">
      <w:pPr>
        <w:spacing w:before="120"/>
        <w:rPr>
          <w:rFonts w:ascii="Arial" w:hAnsi="Arial" w:cs="Arial"/>
          <w:i/>
          <w:u w:val="single"/>
        </w:rPr>
      </w:pPr>
      <w:r w:rsidRPr="009C5096">
        <w:rPr>
          <w:rFonts w:ascii="Arial" w:hAnsi="Arial" w:cs="Arial"/>
          <w:i/>
          <w:noProof/>
          <w:u w:val="single"/>
        </w:rPr>
        <w:drawing>
          <wp:inline distT="0" distB="0" distL="0" distR="0" wp14:anchorId="5649EC1D" wp14:editId="6CF3F15E">
            <wp:extent cx="4590415" cy="2620645"/>
            <wp:effectExtent l="0" t="0" r="63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0415" cy="2620645"/>
                    </a:xfrm>
                    <a:prstGeom prst="rect">
                      <a:avLst/>
                    </a:prstGeom>
                    <a:noFill/>
                  </pic:spPr>
                </pic:pic>
              </a:graphicData>
            </a:graphic>
          </wp:inline>
        </w:drawing>
      </w:r>
    </w:p>
    <w:p w:rsidR="003136C5" w:rsidRPr="009C5096" w:rsidRDefault="003136C5" w:rsidP="003136C5">
      <w:pPr>
        <w:rPr>
          <w:rFonts w:ascii="Arial" w:hAnsi="Arial" w:cs="Arial"/>
        </w:rPr>
      </w:pPr>
      <w:r w:rsidRPr="009C5096">
        <w:rPr>
          <w:rFonts w:ascii="Arial" w:hAnsi="Arial" w:cs="Arial"/>
          <w:sz w:val="18"/>
          <w:szCs w:val="18"/>
        </w:rPr>
        <w:t>Source: MAFWE</w:t>
      </w:r>
    </w:p>
    <w:p w:rsidR="003136C5" w:rsidRPr="00036440" w:rsidRDefault="003136C5" w:rsidP="003136C5">
      <w:pPr>
        <w:spacing w:before="120"/>
        <w:jc w:val="both"/>
        <w:rPr>
          <w:rFonts w:ascii="Arial" w:hAnsi="Arial" w:cs="Arial"/>
          <w:sz w:val="22"/>
          <w:szCs w:val="22"/>
        </w:rPr>
      </w:pPr>
      <w:r w:rsidRPr="00036440">
        <w:rPr>
          <w:rFonts w:ascii="Arial" w:hAnsi="Arial" w:cs="Arial"/>
          <w:sz w:val="22"/>
          <w:szCs w:val="22"/>
        </w:rPr>
        <w:t xml:space="preserve">European Union-28 is definitely the most important partner of the Republic of North Macedonia </w:t>
      </w:r>
      <w:r w:rsidR="00FD4C08" w:rsidRPr="00036440">
        <w:rPr>
          <w:rFonts w:ascii="Arial" w:hAnsi="Arial" w:cs="Arial"/>
          <w:sz w:val="22"/>
          <w:szCs w:val="22"/>
        </w:rPr>
        <w:t xml:space="preserve">regarding </w:t>
      </w:r>
      <w:r w:rsidRPr="00036440">
        <w:rPr>
          <w:rFonts w:ascii="Arial" w:hAnsi="Arial" w:cs="Arial"/>
          <w:sz w:val="22"/>
          <w:szCs w:val="22"/>
        </w:rPr>
        <w:t>trade with agri-food and fisheries products in 2018. T</w:t>
      </w:r>
      <w:r w:rsidR="00FD4C08" w:rsidRPr="00036440">
        <w:rPr>
          <w:rFonts w:ascii="Arial" w:hAnsi="Arial" w:cs="Arial"/>
          <w:sz w:val="22"/>
          <w:szCs w:val="22"/>
        </w:rPr>
        <w:t>he t</w:t>
      </w:r>
      <w:r w:rsidRPr="00036440">
        <w:rPr>
          <w:rFonts w:ascii="Arial" w:hAnsi="Arial" w:cs="Arial"/>
          <w:sz w:val="22"/>
          <w:szCs w:val="22"/>
        </w:rPr>
        <w:t>otal value of trade with EU-28 with agri-food and fisheries products in 2018 (export + import) was €670</w:t>
      </w:r>
      <w:r w:rsidR="00FD4C08" w:rsidRPr="00036440">
        <w:rPr>
          <w:rFonts w:ascii="Arial" w:hAnsi="Arial" w:cs="Arial"/>
          <w:sz w:val="22"/>
          <w:szCs w:val="22"/>
        </w:rPr>
        <w:t>.</w:t>
      </w:r>
      <w:r w:rsidRPr="00036440">
        <w:rPr>
          <w:rFonts w:ascii="Arial" w:hAnsi="Arial" w:cs="Arial"/>
          <w:sz w:val="22"/>
          <w:szCs w:val="22"/>
        </w:rPr>
        <w:t xml:space="preserve">2 million. The share of agro-food and fishery products export to EU-28 in </w:t>
      </w:r>
      <w:r w:rsidR="00FD4C08" w:rsidRPr="00036440">
        <w:rPr>
          <w:rFonts w:ascii="Arial" w:hAnsi="Arial" w:cs="Arial"/>
          <w:sz w:val="22"/>
          <w:szCs w:val="22"/>
        </w:rPr>
        <w:t xml:space="preserve">the </w:t>
      </w:r>
      <w:r w:rsidRPr="00036440">
        <w:rPr>
          <w:rFonts w:ascii="Arial" w:hAnsi="Arial" w:cs="Arial"/>
          <w:sz w:val="22"/>
          <w:szCs w:val="22"/>
        </w:rPr>
        <w:t>total export of these products in 2018 was 50</w:t>
      </w:r>
      <w:r w:rsidR="00FD4C08" w:rsidRPr="00036440">
        <w:rPr>
          <w:rFonts w:ascii="Arial" w:hAnsi="Arial" w:cs="Arial"/>
          <w:sz w:val="22"/>
          <w:szCs w:val="22"/>
        </w:rPr>
        <w:t>.</w:t>
      </w:r>
      <w:r w:rsidRPr="00036440">
        <w:rPr>
          <w:rFonts w:ascii="Arial" w:hAnsi="Arial" w:cs="Arial"/>
          <w:sz w:val="22"/>
          <w:szCs w:val="22"/>
        </w:rPr>
        <w:t xml:space="preserve">5%, while the share of import from EU-28 in </w:t>
      </w:r>
      <w:r w:rsidR="00FD4C08" w:rsidRPr="00036440">
        <w:rPr>
          <w:rFonts w:ascii="Arial" w:hAnsi="Arial" w:cs="Arial"/>
          <w:sz w:val="22"/>
          <w:szCs w:val="22"/>
        </w:rPr>
        <w:t xml:space="preserve">the </w:t>
      </w:r>
      <w:r w:rsidRPr="00036440">
        <w:rPr>
          <w:rFonts w:ascii="Arial" w:hAnsi="Arial" w:cs="Arial"/>
          <w:sz w:val="22"/>
          <w:szCs w:val="22"/>
        </w:rPr>
        <w:t>total agro-food and fishery products import in 2018 was 49</w:t>
      </w:r>
      <w:r w:rsidR="00FD4C08" w:rsidRPr="00036440">
        <w:rPr>
          <w:rFonts w:ascii="Arial" w:hAnsi="Arial" w:cs="Arial"/>
          <w:sz w:val="22"/>
          <w:szCs w:val="22"/>
        </w:rPr>
        <w:t>.</w:t>
      </w:r>
      <w:r w:rsidRPr="00036440">
        <w:rPr>
          <w:rFonts w:ascii="Arial" w:hAnsi="Arial" w:cs="Arial"/>
          <w:sz w:val="22"/>
          <w:szCs w:val="22"/>
        </w:rPr>
        <w:t>8%.</w:t>
      </w:r>
    </w:p>
    <w:p w:rsidR="003136C5" w:rsidRPr="00036440" w:rsidRDefault="00FD4C08" w:rsidP="003136C5">
      <w:pPr>
        <w:spacing w:before="120"/>
        <w:jc w:val="both"/>
        <w:rPr>
          <w:rFonts w:ascii="Arial" w:hAnsi="Arial" w:cs="Arial"/>
          <w:sz w:val="22"/>
        </w:rPr>
      </w:pPr>
      <w:r w:rsidRPr="00036440">
        <w:rPr>
          <w:rFonts w:ascii="Arial" w:hAnsi="Arial" w:cs="Arial"/>
          <w:sz w:val="22"/>
        </w:rPr>
        <w:t>The s</w:t>
      </w:r>
      <w:r w:rsidR="003136C5" w:rsidRPr="00036440">
        <w:rPr>
          <w:rFonts w:ascii="Arial" w:hAnsi="Arial" w:cs="Arial"/>
          <w:sz w:val="22"/>
        </w:rPr>
        <w:t xml:space="preserve">econd important partner of the Republic of North Macedonia in 2018 in </w:t>
      </w:r>
      <w:r w:rsidRPr="00036440">
        <w:rPr>
          <w:rFonts w:ascii="Arial" w:hAnsi="Arial" w:cs="Arial"/>
          <w:sz w:val="22"/>
        </w:rPr>
        <w:t xml:space="preserve">the </w:t>
      </w:r>
      <w:r w:rsidR="003136C5" w:rsidRPr="00036440">
        <w:rPr>
          <w:rFonts w:ascii="Arial" w:hAnsi="Arial" w:cs="Arial"/>
          <w:sz w:val="22"/>
        </w:rPr>
        <w:t xml:space="preserve">trade with agro-food and fishery products were </w:t>
      </w:r>
      <w:r w:rsidR="00C21B2C" w:rsidRPr="00036440">
        <w:rPr>
          <w:rFonts w:ascii="Arial" w:hAnsi="Arial" w:cs="Arial"/>
          <w:sz w:val="22"/>
        </w:rPr>
        <w:t xml:space="preserve">the </w:t>
      </w:r>
      <w:r w:rsidR="003136C5" w:rsidRPr="00036440">
        <w:rPr>
          <w:rFonts w:ascii="Arial" w:hAnsi="Arial" w:cs="Arial"/>
          <w:sz w:val="22"/>
        </w:rPr>
        <w:t xml:space="preserve">CEFTA country members, with total value of trade </w:t>
      </w:r>
      <w:r w:rsidR="003136C5" w:rsidRPr="00036440">
        <w:rPr>
          <w:rFonts w:ascii="Arial" w:hAnsi="Arial" w:cs="Arial"/>
          <w:sz w:val="22"/>
        </w:rPr>
        <w:lastRenderedPageBreak/>
        <w:t>(export + import) of €414</w:t>
      </w:r>
      <w:r w:rsidR="00C21B2C" w:rsidRPr="00036440">
        <w:rPr>
          <w:rFonts w:ascii="Arial" w:hAnsi="Arial" w:cs="Arial"/>
          <w:sz w:val="22"/>
        </w:rPr>
        <w:t>.</w:t>
      </w:r>
      <w:r w:rsidR="003136C5" w:rsidRPr="00036440">
        <w:rPr>
          <w:rFonts w:ascii="Arial" w:hAnsi="Arial" w:cs="Arial"/>
          <w:sz w:val="22"/>
        </w:rPr>
        <w:t xml:space="preserve">7 million. The share of agro-food and fishery products export to CEFTA country members in </w:t>
      </w:r>
      <w:r w:rsidR="00C21B2C" w:rsidRPr="00036440">
        <w:rPr>
          <w:rFonts w:ascii="Arial" w:hAnsi="Arial" w:cs="Arial"/>
          <w:sz w:val="22"/>
        </w:rPr>
        <w:t xml:space="preserve">the </w:t>
      </w:r>
      <w:r w:rsidR="003136C5" w:rsidRPr="00036440">
        <w:rPr>
          <w:rFonts w:ascii="Arial" w:hAnsi="Arial" w:cs="Arial"/>
          <w:sz w:val="22"/>
        </w:rPr>
        <w:t>total export of these products in 2018 was 33</w:t>
      </w:r>
      <w:r w:rsidR="00C21B2C" w:rsidRPr="00036440">
        <w:rPr>
          <w:rFonts w:ascii="Arial" w:hAnsi="Arial" w:cs="Arial"/>
          <w:sz w:val="22"/>
        </w:rPr>
        <w:t>.</w:t>
      </w:r>
      <w:r w:rsidR="003136C5" w:rsidRPr="00036440">
        <w:rPr>
          <w:rFonts w:ascii="Arial" w:hAnsi="Arial" w:cs="Arial"/>
          <w:sz w:val="22"/>
        </w:rPr>
        <w:t xml:space="preserve">9%, while the share of import from CEFTA country members in </w:t>
      </w:r>
      <w:r w:rsidR="00C21B2C" w:rsidRPr="00036440">
        <w:rPr>
          <w:rFonts w:ascii="Arial" w:hAnsi="Arial" w:cs="Arial"/>
          <w:sz w:val="22"/>
        </w:rPr>
        <w:t xml:space="preserve">the </w:t>
      </w:r>
      <w:r w:rsidR="003136C5" w:rsidRPr="00036440">
        <w:rPr>
          <w:rFonts w:ascii="Arial" w:hAnsi="Arial" w:cs="Arial"/>
          <w:sz w:val="22"/>
        </w:rPr>
        <w:t>total agro-food and fishery products import in 2018 was 28</w:t>
      </w:r>
      <w:r w:rsidR="00C21B2C" w:rsidRPr="00036440">
        <w:rPr>
          <w:rFonts w:ascii="Arial" w:hAnsi="Arial" w:cs="Arial"/>
          <w:sz w:val="22"/>
        </w:rPr>
        <w:t>.</w:t>
      </w:r>
      <w:r w:rsidR="003136C5" w:rsidRPr="00036440">
        <w:rPr>
          <w:rFonts w:ascii="Arial" w:hAnsi="Arial" w:cs="Arial"/>
          <w:sz w:val="22"/>
        </w:rPr>
        <w:t>9%. The most important CEFTA trade partner was Serbia</w:t>
      </w:r>
      <w:r w:rsidR="00C21B2C" w:rsidRPr="00036440">
        <w:rPr>
          <w:rFonts w:ascii="Arial" w:hAnsi="Arial" w:cs="Arial"/>
          <w:sz w:val="22"/>
        </w:rPr>
        <w:t>,</w:t>
      </w:r>
      <w:r w:rsidR="003136C5" w:rsidRPr="00036440">
        <w:rPr>
          <w:rFonts w:ascii="Arial" w:hAnsi="Arial" w:cs="Arial"/>
          <w:sz w:val="22"/>
        </w:rPr>
        <w:t xml:space="preserve"> with </w:t>
      </w:r>
      <w:r w:rsidR="00C21B2C" w:rsidRPr="00036440">
        <w:rPr>
          <w:rFonts w:ascii="Arial" w:hAnsi="Arial" w:cs="Arial"/>
          <w:sz w:val="22"/>
        </w:rPr>
        <w:t xml:space="preserve">a </w:t>
      </w:r>
      <w:r w:rsidR="003136C5" w:rsidRPr="00036440">
        <w:rPr>
          <w:rFonts w:ascii="Arial" w:hAnsi="Arial" w:cs="Arial"/>
          <w:sz w:val="22"/>
        </w:rPr>
        <w:t>share of 12</w:t>
      </w:r>
      <w:r w:rsidR="00C21B2C" w:rsidRPr="00036440">
        <w:rPr>
          <w:rFonts w:ascii="Arial" w:hAnsi="Arial" w:cs="Arial"/>
          <w:sz w:val="22"/>
        </w:rPr>
        <w:t>.</w:t>
      </w:r>
      <w:r w:rsidR="003136C5" w:rsidRPr="00036440">
        <w:rPr>
          <w:rFonts w:ascii="Arial" w:hAnsi="Arial" w:cs="Arial"/>
          <w:sz w:val="22"/>
        </w:rPr>
        <w:t xml:space="preserve">7% of </w:t>
      </w:r>
      <w:r w:rsidR="00C21B2C" w:rsidRPr="00036440">
        <w:rPr>
          <w:rFonts w:ascii="Arial" w:hAnsi="Arial" w:cs="Arial"/>
          <w:sz w:val="22"/>
        </w:rPr>
        <w:t xml:space="preserve">the </w:t>
      </w:r>
      <w:r w:rsidR="003136C5" w:rsidRPr="00036440">
        <w:rPr>
          <w:rFonts w:ascii="Arial" w:hAnsi="Arial" w:cs="Arial"/>
          <w:sz w:val="22"/>
        </w:rPr>
        <w:t>total export of agro-food and fishery products and 23</w:t>
      </w:r>
      <w:r w:rsidR="00C21B2C" w:rsidRPr="00036440">
        <w:rPr>
          <w:rFonts w:ascii="Arial" w:hAnsi="Arial" w:cs="Arial"/>
          <w:sz w:val="22"/>
        </w:rPr>
        <w:t>.</w:t>
      </w:r>
      <w:r w:rsidR="003136C5" w:rsidRPr="00036440">
        <w:rPr>
          <w:rFonts w:ascii="Arial" w:hAnsi="Arial" w:cs="Arial"/>
          <w:sz w:val="22"/>
        </w:rPr>
        <w:t xml:space="preserve">6% of </w:t>
      </w:r>
      <w:r w:rsidR="00C21B2C" w:rsidRPr="00036440">
        <w:rPr>
          <w:rFonts w:ascii="Arial" w:hAnsi="Arial" w:cs="Arial"/>
          <w:sz w:val="22"/>
        </w:rPr>
        <w:t xml:space="preserve">the </w:t>
      </w:r>
      <w:r w:rsidR="003136C5" w:rsidRPr="00036440">
        <w:rPr>
          <w:rFonts w:ascii="Arial" w:hAnsi="Arial" w:cs="Arial"/>
          <w:sz w:val="22"/>
        </w:rPr>
        <w:t xml:space="preserve">total import. </w:t>
      </w:r>
      <w:r w:rsidR="00C21B2C" w:rsidRPr="00036440">
        <w:rPr>
          <w:rFonts w:ascii="Arial" w:hAnsi="Arial" w:cs="Arial"/>
          <w:sz w:val="22"/>
        </w:rPr>
        <w:t>It is f</w:t>
      </w:r>
      <w:r w:rsidR="003136C5" w:rsidRPr="00036440">
        <w:rPr>
          <w:rFonts w:ascii="Arial" w:hAnsi="Arial" w:cs="Arial"/>
          <w:sz w:val="22"/>
        </w:rPr>
        <w:t>ollow</w:t>
      </w:r>
      <w:r w:rsidR="00C21B2C" w:rsidRPr="00036440">
        <w:rPr>
          <w:rFonts w:ascii="Arial" w:hAnsi="Arial" w:cs="Arial"/>
          <w:sz w:val="22"/>
        </w:rPr>
        <w:t xml:space="preserve">ed </w:t>
      </w:r>
      <w:r w:rsidR="003136C5" w:rsidRPr="00036440">
        <w:rPr>
          <w:rFonts w:ascii="Arial" w:hAnsi="Arial" w:cs="Arial"/>
          <w:sz w:val="22"/>
        </w:rPr>
        <w:t xml:space="preserve">by Bosnia and Herzegovina (with </w:t>
      </w:r>
      <w:r w:rsidR="00C21B2C" w:rsidRPr="00036440">
        <w:rPr>
          <w:rFonts w:ascii="Arial" w:hAnsi="Arial" w:cs="Arial"/>
          <w:sz w:val="22"/>
        </w:rPr>
        <w:t xml:space="preserve">a </w:t>
      </w:r>
      <w:r w:rsidR="003136C5" w:rsidRPr="00036440">
        <w:rPr>
          <w:rFonts w:ascii="Arial" w:hAnsi="Arial" w:cs="Arial"/>
          <w:sz w:val="22"/>
        </w:rPr>
        <w:t>share of 5</w:t>
      </w:r>
      <w:r w:rsidR="00C21B2C" w:rsidRPr="00036440">
        <w:rPr>
          <w:rFonts w:ascii="Arial" w:hAnsi="Arial" w:cs="Arial"/>
          <w:sz w:val="22"/>
        </w:rPr>
        <w:t>.</w:t>
      </w:r>
      <w:r w:rsidR="003136C5" w:rsidRPr="00036440">
        <w:rPr>
          <w:rFonts w:ascii="Arial" w:hAnsi="Arial" w:cs="Arial"/>
          <w:sz w:val="22"/>
        </w:rPr>
        <w:t xml:space="preserve">6% in </w:t>
      </w:r>
      <w:r w:rsidR="00C21B2C" w:rsidRPr="00036440">
        <w:rPr>
          <w:rFonts w:ascii="Arial" w:hAnsi="Arial" w:cs="Arial"/>
          <w:sz w:val="22"/>
        </w:rPr>
        <w:t xml:space="preserve">the </w:t>
      </w:r>
      <w:r w:rsidR="003136C5" w:rsidRPr="00036440">
        <w:rPr>
          <w:rFonts w:ascii="Arial" w:hAnsi="Arial" w:cs="Arial"/>
          <w:sz w:val="22"/>
        </w:rPr>
        <w:t>total export and 3</w:t>
      </w:r>
      <w:r w:rsidR="00C21B2C" w:rsidRPr="00036440">
        <w:rPr>
          <w:rFonts w:ascii="Arial" w:hAnsi="Arial" w:cs="Arial"/>
          <w:sz w:val="22"/>
        </w:rPr>
        <w:t>.</w:t>
      </w:r>
      <w:r w:rsidR="003136C5" w:rsidRPr="00036440">
        <w:rPr>
          <w:rFonts w:ascii="Arial" w:hAnsi="Arial" w:cs="Arial"/>
          <w:sz w:val="22"/>
        </w:rPr>
        <w:t xml:space="preserve">2% in </w:t>
      </w:r>
      <w:r w:rsidR="00C21B2C" w:rsidRPr="00036440">
        <w:rPr>
          <w:rFonts w:ascii="Arial" w:hAnsi="Arial" w:cs="Arial"/>
          <w:sz w:val="22"/>
        </w:rPr>
        <w:t xml:space="preserve">the </w:t>
      </w:r>
      <w:r w:rsidR="003136C5" w:rsidRPr="00036440">
        <w:rPr>
          <w:rFonts w:ascii="Arial" w:hAnsi="Arial" w:cs="Arial"/>
          <w:sz w:val="22"/>
        </w:rPr>
        <w:t xml:space="preserve">total import). Regarding </w:t>
      </w:r>
      <w:r w:rsidR="00C21B2C" w:rsidRPr="00036440">
        <w:rPr>
          <w:rFonts w:ascii="Arial" w:hAnsi="Arial" w:cs="Arial"/>
          <w:sz w:val="22"/>
        </w:rPr>
        <w:t xml:space="preserve">the </w:t>
      </w:r>
      <w:r w:rsidR="003136C5" w:rsidRPr="00036440">
        <w:rPr>
          <w:rFonts w:ascii="Arial" w:hAnsi="Arial" w:cs="Arial"/>
          <w:sz w:val="22"/>
        </w:rPr>
        <w:t>export</w:t>
      </w:r>
      <w:r w:rsidR="00C21B2C" w:rsidRPr="00036440">
        <w:rPr>
          <w:rFonts w:ascii="Arial" w:hAnsi="Arial" w:cs="Arial"/>
          <w:sz w:val="22"/>
        </w:rPr>
        <w:t>,</w:t>
      </w:r>
      <w:r w:rsidR="003136C5" w:rsidRPr="00036440">
        <w:rPr>
          <w:rFonts w:ascii="Arial" w:hAnsi="Arial" w:cs="Arial"/>
          <w:sz w:val="22"/>
        </w:rPr>
        <w:t xml:space="preserve"> Kosovo is also </w:t>
      </w:r>
      <w:r w:rsidR="00C21B2C" w:rsidRPr="00036440">
        <w:rPr>
          <w:rFonts w:ascii="Arial" w:hAnsi="Arial" w:cs="Arial"/>
          <w:sz w:val="22"/>
        </w:rPr>
        <w:t xml:space="preserve">an </w:t>
      </w:r>
      <w:r w:rsidR="003136C5" w:rsidRPr="00036440">
        <w:rPr>
          <w:rFonts w:ascii="Arial" w:hAnsi="Arial" w:cs="Arial"/>
          <w:sz w:val="22"/>
        </w:rPr>
        <w:t xml:space="preserve">important partner with </w:t>
      </w:r>
      <w:r w:rsidR="00C21B2C" w:rsidRPr="00036440">
        <w:rPr>
          <w:rFonts w:ascii="Arial" w:hAnsi="Arial" w:cs="Arial"/>
          <w:sz w:val="22"/>
        </w:rPr>
        <w:t xml:space="preserve">a </w:t>
      </w:r>
      <w:r w:rsidR="003136C5" w:rsidRPr="00036440">
        <w:rPr>
          <w:rFonts w:ascii="Arial" w:hAnsi="Arial" w:cs="Arial"/>
          <w:sz w:val="22"/>
        </w:rPr>
        <w:t>share of 8</w:t>
      </w:r>
      <w:r w:rsidR="00C21B2C" w:rsidRPr="00036440">
        <w:rPr>
          <w:rFonts w:ascii="Arial" w:hAnsi="Arial" w:cs="Arial"/>
          <w:sz w:val="22"/>
        </w:rPr>
        <w:t>.</w:t>
      </w:r>
      <w:r w:rsidR="003136C5" w:rsidRPr="00036440">
        <w:rPr>
          <w:rFonts w:ascii="Arial" w:hAnsi="Arial" w:cs="Arial"/>
          <w:sz w:val="22"/>
        </w:rPr>
        <w:t xml:space="preserve">9% of </w:t>
      </w:r>
      <w:r w:rsidR="00C21B2C" w:rsidRPr="00036440">
        <w:rPr>
          <w:rFonts w:ascii="Arial" w:hAnsi="Arial" w:cs="Arial"/>
          <w:sz w:val="22"/>
        </w:rPr>
        <w:t xml:space="preserve">the </w:t>
      </w:r>
      <w:r w:rsidR="003136C5" w:rsidRPr="00036440">
        <w:rPr>
          <w:rFonts w:ascii="Arial" w:hAnsi="Arial" w:cs="Arial"/>
          <w:sz w:val="22"/>
        </w:rPr>
        <w:t xml:space="preserve">total export, while the contribution of other CEFTA members countries (Montenegro, Moldova and Albania) is still with lower participation in </w:t>
      </w:r>
      <w:r w:rsidR="00C21B2C" w:rsidRPr="00036440">
        <w:rPr>
          <w:rFonts w:ascii="Arial" w:hAnsi="Arial" w:cs="Arial"/>
          <w:sz w:val="22"/>
        </w:rPr>
        <w:t xml:space="preserve">the </w:t>
      </w:r>
      <w:r w:rsidR="003136C5" w:rsidRPr="00036440">
        <w:rPr>
          <w:rFonts w:ascii="Arial" w:hAnsi="Arial" w:cs="Arial"/>
          <w:sz w:val="22"/>
        </w:rPr>
        <w:t xml:space="preserve">trade. </w:t>
      </w:r>
    </w:p>
    <w:p w:rsidR="003136C5" w:rsidRPr="00036440" w:rsidRDefault="00C21B2C" w:rsidP="003136C5">
      <w:pPr>
        <w:keepNext/>
        <w:spacing w:before="120"/>
        <w:jc w:val="both"/>
        <w:rPr>
          <w:rFonts w:ascii="Arial" w:hAnsi="Arial" w:cs="Arial"/>
          <w:sz w:val="22"/>
        </w:rPr>
      </w:pPr>
      <w:r w:rsidRPr="00036440">
        <w:rPr>
          <w:rFonts w:ascii="Arial" w:hAnsi="Arial" w:cs="Arial"/>
          <w:sz w:val="22"/>
        </w:rPr>
        <w:t>It is w</w:t>
      </w:r>
      <w:r w:rsidR="003136C5" w:rsidRPr="00036440">
        <w:rPr>
          <w:rFonts w:ascii="Arial" w:hAnsi="Arial" w:cs="Arial"/>
          <w:sz w:val="22"/>
        </w:rPr>
        <w:t>orth mention</w:t>
      </w:r>
      <w:r w:rsidRPr="00036440">
        <w:rPr>
          <w:rFonts w:ascii="Arial" w:hAnsi="Arial" w:cs="Arial"/>
          <w:sz w:val="22"/>
        </w:rPr>
        <w:t xml:space="preserve">ing that </w:t>
      </w:r>
      <w:r w:rsidR="003136C5" w:rsidRPr="00036440">
        <w:rPr>
          <w:rFonts w:ascii="Arial" w:hAnsi="Arial" w:cs="Arial"/>
          <w:sz w:val="22"/>
        </w:rPr>
        <w:t>Turkey as a candidate country and an important trade partner of the Republic of North Macedonia takes 0</w:t>
      </w:r>
      <w:r w:rsidRPr="00036440">
        <w:rPr>
          <w:rFonts w:ascii="Arial" w:hAnsi="Arial" w:cs="Arial"/>
          <w:sz w:val="22"/>
        </w:rPr>
        <w:t>.</w:t>
      </w:r>
      <w:r w:rsidR="003136C5" w:rsidRPr="00036440">
        <w:rPr>
          <w:rFonts w:ascii="Arial" w:hAnsi="Arial" w:cs="Arial"/>
          <w:sz w:val="22"/>
        </w:rPr>
        <w:t xml:space="preserve">79% of </w:t>
      </w:r>
      <w:r w:rsidRPr="00036440">
        <w:rPr>
          <w:rFonts w:ascii="Arial" w:hAnsi="Arial" w:cs="Arial"/>
          <w:sz w:val="22"/>
        </w:rPr>
        <w:t xml:space="preserve">the </w:t>
      </w:r>
      <w:r w:rsidR="003136C5" w:rsidRPr="00036440">
        <w:rPr>
          <w:rFonts w:ascii="Arial" w:hAnsi="Arial" w:cs="Arial"/>
          <w:sz w:val="22"/>
        </w:rPr>
        <w:t>total export and 3</w:t>
      </w:r>
      <w:r w:rsidRPr="00036440">
        <w:rPr>
          <w:rFonts w:ascii="Arial" w:hAnsi="Arial" w:cs="Arial"/>
          <w:sz w:val="22"/>
        </w:rPr>
        <w:t>.</w:t>
      </w:r>
      <w:r w:rsidR="003136C5" w:rsidRPr="00036440">
        <w:rPr>
          <w:rFonts w:ascii="Arial" w:hAnsi="Arial" w:cs="Arial"/>
          <w:sz w:val="22"/>
        </w:rPr>
        <w:t>4% of the total import of agro-food and fishery products. Regarding the export of agro-food and fishery products, the largest sole non-EU trade partner with</w:t>
      </w:r>
      <w:r w:rsidRPr="00036440">
        <w:rPr>
          <w:rFonts w:ascii="Arial" w:hAnsi="Arial" w:cs="Arial"/>
          <w:sz w:val="22"/>
        </w:rPr>
        <w:t xml:space="preserve"> a</w:t>
      </w:r>
      <w:r w:rsidR="003136C5" w:rsidRPr="00036440">
        <w:rPr>
          <w:rFonts w:ascii="Arial" w:hAnsi="Arial" w:cs="Arial"/>
          <w:sz w:val="22"/>
        </w:rPr>
        <w:t xml:space="preserve"> share of 4</w:t>
      </w:r>
      <w:r w:rsidRPr="00036440">
        <w:rPr>
          <w:rFonts w:ascii="Arial" w:hAnsi="Arial" w:cs="Arial"/>
          <w:sz w:val="22"/>
        </w:rPr>
        <w:t>.</w:t>
      </w:r>
      <w:r w:rsidR="003136C5" w:rsidRPr="00036440">
        <w:rPr>
          <w:rFonts w:ascii="Arial" w:hAnsi="Arial" w:cs="Arial"/>
          <w:sz w:val="22"/>
        </w:rPr>
        <w:t xml:space="preserve">9% of </w:t>
      </w:r>
      <w:r w:rsidRPr="00036440">
        <w:rPr>
          <w:rFonts w:ascii="Arial" w:hAnsi="Arial" w:cs="Arial"/>
          <w:sz w:val="22"/>
        </w:rPr>
        <w:t xml:space="preserve">the </w:t>
      </w:r>
      <w:r w:rsidR="003136C5" w:rsidRPr="00036440">
        <w:rPr>
          <w:rFonts w:ascii="Arial" w:hAnsi="Arial" w:cs="Arial"/>
          <w:sz w:val="22"/>
        </w:rPr>
        <w:t xml:space="preserve">total export was USA, due to significant export of tobacco, while Brazil with </w:t>
      </w:r>
      <w:r w:rsidRPr="00036440">
        <w:rPr>
          <w:rFonts w:ascii="Arial" w:hAnsi="Arial" w:cs="Arial"/>
          <w:sz w:val="22"/>
        </w:rPr>
        <w:t xml:space="preserve">a </w:t>
      </w:r>
      <w:r w:rsidR="003136C5" w:rsidRPr="00036440">
        <w:rPr>
          <w:rFonts w:ascii="Arial" w:hAnsi="Arial" w:cs="Arial"/>
          <w:sz w:val="22"/>
        </w:rPr>
        <w:t>share of 4</w:t>
      </w:r>
      <w:r w:rsidRPr="00036440">
        <w:rPr>
          <w:rFonts w:ascii="Arial" w:hAnsi="Arial" w:cs="Arial"/>
          <w:sz w:val="22"/>
        </w:rPr>
        <w:t>.</w:t>
      </w:r>
      <w:r w:rsidR="003136C5" w:rsidRPr="00036440">
        <w:rPr>
          <w:rFonts w:ascii="Arial" w:hAnsi="Arial" w:cs="Arial"/>
          <w:sz w:val="22"/>
        </w:rPr>
        <w:t xml:space="preserve">5% of </w:t>
      </w:r>
      <w:r w:rsidRPr="00036440">
        <w:rPr>
          <w:rFonts w:ascii="Arial" w:hAnsi="Arial" w:cs="Arial"/>
          <w:sz w:val="22"/>
        </w:rPr>
        <w:t xml:space="preserve">the </w:t>
      </w:r>
      <w:r w:rsidR="003136C5" w:rsidRPr="00036440">
        <w:rPr>
          <w:rFonts w:ascii="Arial" w:hAnsi="Arial" w:cs="Arial"/>
          <w:sz w:val="22"/>
        </w:rPr>
        <w:t xml:space="preserve">total import was </w:t>
      </w:r>
      <w:r w:rsidRPr="00036440">
        <w:rPr>
          <w:rFonts w:ascii="Arial" w:hAnsi="Arial" w:cs="Arial"/>
          <w:sz w:val="22"/>
        </w:rPr>
        <w:t xml:space="preserve">the </w:t>
      </w:r>
      <w:r w:rsidR="003136C5" w:rsidRPr="00036440">
        <w:rPr>
          <w:rFonts w:ascii="Arial" w:hAnsi="Arial" w:cs="Arial"/>
          <w:sz w:val="22"/>
        </w:rPr>
        <w:t xml:space="preserve">largest sole non-EU import partner, basically due to significant quantities of </w:t>
      </w:r>
      <w:r w:rsidRPr="00036440">
        <w:rPr>
          <w:rFonts w:ascii="Arial" w:hAnsi="Arial" w:cs="Arial"/>
          <w:sz w:val="22"/>
        </w:rPr>
        <w:t xml:space="preserve">frozen </w:t>
      </w:r>
      <w:r w:rsidR="003136C5" w:rsidRPr="00036440">
        <w:rPr>
          <w:rFonts w:ascii="Arial" w:hAnsi="Arial" w:cs="Arial"/>
          <w:sz w:val="22"/>
        </w:rPr>
        <w:t>poultry</w:t>
      </w:r>
      <w:r w:rsidRPr="00036440">
        <w:rPr>
          <w:rFonts w:ascii="Arial" w:hAnsi="Arial" w:cs="Arial"/>
          <w:sz w:val="22"/>
        </w:rPr>
        <w:t xml:space="preserve"> and beef</w:t>
      </w:r>
      <w:r w:rsidR="003136C5" w:rsidRPr="00036440">
        <w:rPr>
          <w:rFonts w:ascii="Arial" w:hAnsi="Arial" w:cs="Arial"/>
          <w:sz w:val="22"/>
        </w:rPr>
        <w:t xml:space="preserve"> and coffee imported in 2018.</w:t>
      </w:r>
      <w:bookmarkEnd w:id="11"/>
    </w:p>
    <w:p w:rsidR="003136C5" w:rsidRPr="009C509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lang w:val="en-US"/>
        </w:rPr>
      </w:pPr>
      <w:bookmarkStart w:id="14" w:name="_Toc8649805"/>
      <w:r w:rsidRPr="009C5096">
        <w:rPr>
          <w:rFonts w:ascii="Arial" w:hAnsi="Arial" w:cs="Arial"/>
          <w:b/>
          <w:lang w:val="en-US"/>
        </w:rPr>
        <w:t>Changes in national and sectoral policies</w:t>
      </w:r>
      <w:bookmarkEnd w:id="14"/>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Within the framework of the National Strategy for Agriculture and Rural Development 2014-2020 (NSARD 2014-2020), the following goals and measures of the policies for development of agriculture and rural areas have been highlighted:</w:t>
      </w:r>
    </w:p>
    <w:p w:rsidR="003136C5" w:rsidRPr="009C5096" w:rsidRDefault="003136C5" w:rsidP="003136C5">
      <w:pPr>
        <w:pStyle w:val="m343668044302477783m-3986873246552044066msolistparagraph"/>
        <w:numPr>
          <w:ilvl w:val="0"/>
          <w:numId w:val="6"/>
        </w:numPr>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Strengthening the competitiveness of Macedonian agriculture in the integrated regional markets of the European Union and South-East Europe through measures to increase the efficiency of agricultural production, processing and sales.</w:t>
      </w:r>
    </w:p>
    <w:p w:rsidR="003136C5" w:rsidRPr="009C5096" w:rsidRDefault="003136C5" w:rsidP="003136C5">
      <w:pPr>
        <w:pStyle w:val="m343668044302477783m-3986873246552044066msolistparagraph"/>
        <w:numPr>
          <w:ilvl w:val="0"/>
          <w:numId w:val="6"/>
        </w:numPr>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Improving the incomes of agricultural holdings.</w:t>
      </w:r>
    </w:p>
    <w:p w:rsidR="003136C5" w:rsidRPr="009C5096" w:rsidRDefault="003136C5" w:rsidP="003136C5">
      <w:pPr>
        <w:pStyle w:val="m343668044302477783m-3986873246552044066msolistparagraph"/>
        <w:numPr>
          <w:ilvl w:val="0"/>
          <w:numId w:val="6"/>
        </w:numPr>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Enabling consumers to have access to safe, healthy food.</w:t>
      </w:r>
    </w:p>
    <w:p w:rsidR="003136C5" w:rsidRPr="009C5096" w:rsidRDefault="003136C5" w:rsidP="003136C5">
      <w:pPr>
        <w:pStyle w:val="m343668044302477783m-3986873246552044066msolistparagraph"/>
        <w:numPr>
          <w:ilvl w:val="0"/>
          <w:numId w:val="6"/>
        </w:numPr>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Optimizing the utilization of limited land, forest and water resources in a way that does not adversely affect the environment.</w:t>
      </w:r>
    </w:p>
    <w:p w:rsidR="003136C5" w:rsidRPr="009C5096" w:rsidRDefault="003136C5" w:rsidP="003136C5">
      <w:pPr>
        <w:pStyle w:val="m343668044302477783m-3986873246552044066msolistparagraph"/>
        <w:numPr>
          <w:ilvl w:val="0"/>
          <w:numId w:val="6"/>
        </w:numPr>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Building sustainable rural communities through integrated rural development.</w:t>
      </w:r>
    </w:p>
    <w:p w:rsidR="003136C5" w:rsidRPr="009C5096" w:rsidRDefault="003136C5" w:rsidP="003136C5">
      <w:pPr>
        <w:pStyle w:val="m343668044302477783m-3986873246552044066msolistparagraph"/>
        <w:numPr>
          <w:ilvl w:val="0"/>
          <w:numId w:val="6"/>
        </w:numPr>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Build appropriate, efficient public and private institutions for implementation of agricultural policy and rural development.</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Achieving the vision and the stated strategic goals for the development of the sector will be realized through the measures and instruments of the following policies in the field of agriculture: agriculture and rural development policy, agricultural support policies and support for rural development policy.</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After setting the financial support, social and tax benefits and credit policies for farmers, fully utilizing the development potential of the sector, increasing its competitiveness and, to a large extent, the development of rural areas, NSARD 2014-2020 in the period ahead will focus on tackling structural problems, small and fragmented land plots, insufficient technical and technological equipment resulting from the long disinvestment period, inadequate grade and racial production structure and the poor age and gender structure of the rural population.</w:t>
      </w:r>
    </w:p>
    <w:p w:rsidR="003136C5" w:rsidRPr="009C509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lang w:val="en-US"/>
        </w:rPr>
      </w:pPr>
      <w:bookmarkStart w:id="15" w:name="_Toc8649806"/>
      <w:r w:rsidRPr="009C5096">
        <w:rPr>
          <w:rFonts w:ascii="Arial" w:hAnsi="Arial" w:cs="Arial"/>
          <w:b/>
          <w:lang w:val="en-US"/>
        </w:rPr>
        <w:t>National support schemes</w:t>
      </w:r>
      <w:bookmarkEnd w:id="15"/>
    </w:p>
    <w:p w:rsidR="003136C5" w:rsidRDefault="003136C5" w:rsidP="003136C5">
      <w:pPr>
        <w:pStyle w:val="m343668044302477783m-3986873246552044066msolistparagraph"/>
        <w:spacing w:before="120" w:beforeAutospacing="0" w:after="120" w:afterAutospacing="0"/>
        <w:jc w:val="both"/>
        <w:rPr>
          <w:rFonts w:ascii="Arial" w:hAnsi="Arial" w:cs="Arial"/>
          <w:sz w:val="22"/>
          <w:szCs w:val="22"/>
          <w:lang w:val="en-US"/>
        </w:rPr>
      </w:pPr>
      <w:r w:rsidRPr="009C5096">
        <w:rPr>
          <w:rFonts w:ascii="Arial" w:hAnsi="Arial" w:cs="Arial"/>
          <w:sz w:val="22"/>
          <w:szCs w:val="22"/>
          <w:lang w:val="en-US"/>
        </w:rPr>
        <w:t>More important tasks in the field of agriculture policy</w:t>
      </w:r>
      <w:r w:rsidR="00042B37">
        <w:rPr>
          <w:rFonts w:ascii="Arial" w:hAnsi="Arial" w:cs="Arial"/>
          <w:sz w:val="22"/>
          <w:szCs w:val="22"/>
          <w:lang w:val="en-US"/>
        </w:rPr>
        <w:t xml:space="preserve"> include the following</w:t>
      </w:r>
      <w:r w:rsidRPr="009C5096">
        <w:rPr>
          <w:rFonts w:ascii="Arial" w:hAnsi="Arial" w:cs="Arial"/>
          <w:sz w:val="22"/>
          <w:szCs w:val="22"/>
          <w:lang w:val="en-US"/>
        </w:rPr>
        <w:t>: directing agricultural subsidies to profitable and market-oriented agricultural holdings; transparency of the budget funds from the national Programme for rural development; consolidation and enlargement of agricultural land; horizontal integration of the entities in the agricultural sector and establishment of cooperatives.</w:t>
      </w:r>
    </w:p>
    <w:p w:rsidR="00DF0834" w:rsidRPr="009C5096" w:rsidRDefault="00DF0834" w:rsidP="003136C5">
      <w:pPr>
        <w:pStyle w:val="m343668044302477783m-3986873246552044066msolistparagraph"/>
        <w:spacing w:before="120" w:beforeAutospacing="0" w:after="120" w:afterAutospacing="0"/>
        <w:jc w:val="both"/>
        <w:rPr>
          <w:rFonts w:ascii="Arial" w:hAnsi="Arial" w:cs="Arial"/>
          <w:sz w:val="22"/>
          <w:szCs w:val="22"/>
          <w:lang w:val="en-US"/>
        </w:rPr>
      </w:pPr>
    </w:p>
    <w:p w:rsidR="003136C5" w:rsidRPr="00036440" w:rsidRDefault="003136C5" w:rsidP="003136C5">
      <w:pPr>
        <w:pStyle w:val="m343668044302477783m-3986873246552044066msolistparagraph"/>
        <w:spacing w:before="120" w:beforeAutospacing="0" w:after="120" w:afterAutospacing="0"/>
        <w:jc w:val="both"/>
        <w:rPr>
          <w:rFonts w:ascii="Arial" w:hAnsi="Arial" w:cs="Arial"/>
          <w:sz w:val="20"/>
          <w:szCs w:val="20"/>
          <w:lang w:val="en-US"/>
        </w:rPr>
      </w:pPr>
      <w:bookmarkStart w:id="16" w:name="_Toc6902272"/>
      <w:r w:rsidRPr="00036440">
        <w:rPr>
          <w:rFonts w:ascii="Arial" w:eastAsia="Times New Roman" w:hAnsi="Arial" w:cs="Arial"/>
          <w:sz w:val="20"/>
          <w:szCs w:val="20"/>
          <w:lang w:val="en-US"/>
        </w:rPr>
        <w:lastRenderedPageBreak/>
        <w:t xml:space="preserve">Table </w:t>
      </w:r>
      <w:r w:rsidRPr="00036440">
        <w:rPr>
          <w:rFonts w:ascii="Arial" w:eastAsia="Times New Roman" w:hAnsi="Arial" w:cs="Arial"/>
          <w:i/>
          <w:sz w:val="20"/>
          <w:szCs w:val="20"/>
          <w:lang w:val="en-US"/>
        </w:rPr>
        <w:fldChar w:fldCharType="begin"/>
      </w:r>
      <w:r w:rsidRPr="00036440">
        <w:rPr>
          <w:rFonts w:ascii="Arial" w:eastAsia="Times New Roman" w:hAnsi="Arial" w:cs="Arial"/>
          <w:sz w:val="20"/>
          <w:szCs w:val="20"/>
          <w:lang w:val="en-US"/>
        </w:rPr>
        <w:instrText xml:space="preserve"> SEQ Table \* ARABIC </w:instrText>
      </w:r>
      <w:r w:rsidRPr="00036440">
        <w:rPr>
          <w:rFonts w:ascii="Arial" w:eastAsia="Times New Roman" w:hAnsi="Arial" w:cs="Arial"/>
          <w:i/>
          <w:sz w:val="20"/>
          <w:szCs w:val="20"/>
          <w:lang w:val="en-US"/>
        </w:rPr>
        <w:fldChar w:fldCharType="separate"/>
      </w:r>
      <w:r w:rsidRPr="00036440">
        <w:rPr>
          <w:rFonts w:ascii="Arial" w:eastAsia="Times New Roman" w:hAnsi="Arial" w:cs="Arial"/>
          <w:sz w:val="20"/>
          <w:szCs w:val="20"/>
          <w:lang w:val="en-US"/>
        </w:rPr>
        <w:t>6</w:t>
      </w:r>
      <w:r w:rsidRPr="00036440">
        <w:rPr>
          <w:rFonts w:ascii="Arial" w:eastAsia="Times New Roman" w:hAnsi="Arial" w:cs="Arial"/>
          <w:i/>
          <w:sz w:val="20"/>
          <w:szCs w:val="20"/>
          <w:lang w:val="en-US"/>
        </w:rPr>
        <w:fldChar w:fldCharType="end"/>
      </w:r>
      <w:r w:rsidRPr="00036440">
        <w:rPr>
          <w:rFonts w:ascii="Arial" w:eastAsia="Times New Roman" w:hAnsi="Arial" w:cs="Arial"/>
          <w:sz w:val="20"/>
          <w:szCs w:val="20"/>
          <w:lang w:val="en-US"/>
        </w:rPr>
        <w:t>: Amounts of support (in €) by the Programme for direct payments</w:t>
      </w:r>
      <w:bookmarkEnd w:id="16"/>
    </w:p>
    <w:tbl>
      <w:tblPr>
        <w:tblStyle w:val="TableGrid"/>
        <w:tblW w:w="9430" w:type="dxa"/>
        <w:tblLook w:val="04A0" w:firstRow="1" w:lastRow="0" w:firstColumn="1" w:lastColumn="0" w:noHBand="0" w:noVBand="1"/>
      </w:tblPr>
      <w:tblGrid>
        <w:gridCol w:w="796"/>
        <w:gridCol w:w="1235"/>
        <w:gridCol w:w="1250"/>
        <w:gridCol w:w="1251"/>
        <w:gridCol w:w="1251"/>
        <w:gridCol w:w="1251"/>
        <w:gridCol w:w="1145"/>
        <w:gridCol w:w="1251"/>
      </w:tblGrid>
      <w:tr w:rsidR="003136C5" w:rsidRPr="009C5096" w:rsidTr="003B72A1">
        <w:tc>
          <w:tcPr>
            <w:tcW w:w="817"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Year</w:t>
            </w:r>
          </w:p>
        </w:tc>
        <w:tc>
          <w:tcPr>
            <w:tcW w:w="1200"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2012</w:t>
            </w:r>
          </w:p>
        </w:tc>
        <w:tc>
          <w:tcPr>
            <w:tcW w:w="1253"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2013</w:t>
            </w:r>
          </w:p>
        </w:tc>
        <w:tc>
          <w:tcPr>
            <w:tcW w:w="1253"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2014</w:t>
            </w:r>
          </w:p>
        </w:tc>
        <w:tc>
          <w:tcPr>
            <w:tcW w:w="1253"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2015</w:t>
            </w:r>
          </w:p>
        </w:tc>
        <w:tc>
          <w:tcPr>
            <w:tcW w:w="1253"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2016</w:t>
            </w:r>
          </w:p>
        </w:tc>
        <w:tc>
          <w:tcPr>
            <w:tcW w:w="1148"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2017</w:t>
            </w:r>
          </w:p>
        </w:tc>
        <w:tc>
          <w:tcPr>
            <w:tcW w:w="1253"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2018</w:t>
            </w:r>
          </w:p>
        </w:tc>
      </w:tr>
      <w:tr w:rsidR="003136C5" w:rsidRPr="009C5096" w:rsidTr="003B72A1">
        <w:tc>
          <w:tcPr>
            <w:tcW w:w="817"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Total</w:t>
            </w:r>
          </w:p>
        </w:tc>
        <w:tc>
          <w:tcPr>
            <w:tcW w:w="1200" w:type="dxa"/>
          </w:tcPr>
          <w:p w:rsidR="003136C5" w:rsidRPr="009C5096" w:rsidRDefault="003136C5" w:rsidP="003B72A1">
            <w:pPr>
              <w:pStyle w:val="m343668044302477783m-3986873246552044066msolistparagraph"/>
              <w:spacing w:before="0" w:beforeAutospacing="0" w:after="0" w:afterAutospacing="0"/>
              <w:ind w:left="-94"/>
              <w:jc w:val="right"/>
              <w:rPr>
                <w:rFonts w:ascii="Arial" w:hAnsi="Arial" w:cs="Arial"/>
                <w:sz w:val="20"/>
                <w:szCs w:val="20"/>
                <w:lang w:val="en-US"/>
              </w:rPr>
            </w:pPr>
            <w:r w:rsidRPr="009C5096">
              <w:rPr>
                <w:rFonts w:ascii="Arial" w:hAnsi="Arial" w:cs="Arial"/>
                <w:sz w:val="20"/>
                <w:szCs w:val="20"/>
                <w:lang w:val="en-US"/>
              </w:rPr>
              <w:t>112</w:t>
            </w:r>
            <w:r w:rsidR="00042B37">
              <w:rPr>
                <w:rFonts w:ascii="Arial" w:hAnsi="Arial" w:cs="Arial"/>
                <w:sz w:val="20"/>
                <w:szCs w:val="20"/>
                <w:lang w:val="en-US"/>
              </w:rPr>
              <w:t>,</w:t>
            </w:r>
            <w:r w:rsidRPr="009C5096">
              <w:rPr>
                <w:rFonts w:ascii="Arial" w:hAnsi="Arial" w:cs="Arial"/>
                <w:sz w:val="20"/>
                <w:szCs w:val="20"/>
                <w:lang w:val="en-US"/>
              </w:rPr>
              <w:t>715</w:t>
            </w:r>
            <w:r w:rsidR="00042B37">
              <w:rPr>
                <w:rFonts w:ascii="Arial" w:hAnsi="Arial" w:cs="Arial"/>
                <w:sz w:val="20"/>
                <w:szCs w:val="20"/>
                <w:lang w:val="en-US"/>
              </w:rPr>
              <w:t>,</w:t>
            </w:r>
            <w:r w:rsidRPr="009C5096">
              <w:rPr>
                <w:rFonts w:ascii="Arial" w:hAnsi="Arial" w:cs="Arial"/>
                <w:sz w:val="20"/>
                <w:szCs w:val="20"/>
                <w:lang w:val="en-US"/>
              </w:rPr>
              <w:t>447</w:t>
            </w:r>
          </w:p>
        </w:tc>
        <w:tc>
          <w:tcPr>
            <w:tcW w:w="1253" w:type="dxa"/>
          </w:tcPr>
          <w:p w:rsidR="003136C5" w:rsidRPr="009C5096" w:rsidRDefault="003136C5" w:rsidP="003B72A1">
            <w:pPr>
              <w:pStyle w:val="m343668044302477783m-3986873246552044066msolistparagraph"/>
              <w:spacing w:before="0" w:beforeAutospacing="0" w:after="0" w:afterAutospacing="0"/>
              <w:ind w:left="-94"/>
              <w:jc w:val="right"/>
              <w:rPr>
                <w:rFonts w:ascii="Arial" w:hAnsi="Arial" w:cs="Arial"/>
                <w:sz w:val="20"/>
                <w:szCs w:val="20"/>
                <w:lang w:val="en-US"/>
              </w:rPr>
            </w:pPr>
            <w:r w:rsidRPr="009C5096">
              <w:rPr>
                <w:rFonts w:ascii="Arial" w:hAnsi="Arial" w:cs="Arial"/>
                <w:sz w:val="20"/>
                <w:szCs w:val="20"/>
                <w:lang w:val="en-US"/>
              </w:rPr>
              <w:t>111</w:t>
            </w:r>
            <w:r w:rsidR="00042B37">
              <w:rPr>
                <w:rFonts w:ascii="Arial" w:hAnsi="Arial" w:cs="Arial"/>
                <w:sz w:val="20"/>
                <w:szCs w:val="20"/>
                <w:lang w:val="en-US"/>
              </w:rPr>
              <w:t>,</w:t>
            </w:r>
            <w:r w:rsidRPr="009C5096">
              <w:rPr>
                <w:rFonts w:ascii="Arial" w:hAnsi="Arial" w:cs="Arial"/>
                <w:sz w:val="20"/>
                <w:szCs w:val="20"/>
                <w:lang w:val="en-US"/>
              </w:rPr>
              <w:t>959</w:t>
            </w:r>
            <w:r w:rsidR="00042B37">
              <w:rPr>
                <w:rFonts w:ascii="Arial" w:hAnsi="Arial" w:cs="Arial"/>
                <w:sz w:val="20"/>
                <w:szCs w:val="20"/>
                <w:lang w:val="en-US"/>
              </w:rPr>
              <w:t>,</w:t>
            </w:r>
            <w:r w:rsidRPr="009C5096">
              <w:rPr>
                <w:rFonts w:ascii="Arial" w:hAnsi="Arial" w:cs="Arial"/>
                <w:sz w:val="20"/>
                <w:szCs w:val="20"/>
                <w:lang w:val="en-US"/>
              </w:rPr>
              <w:t>350</w:t>
            </w:r>
          </w:p>
        </w:tc>
        <w:tc>
          <w:tcPr>
            <w:tcW w:w="1253" w:type="dxa"/>
          </w:tcPr>
          <w:p w:rsidR="003136C5" w:rsidRPr="009C5096" w:rsidRDefault="003136C5" w:rsidP="003B72A1">
            <w:pPr>
              <w:pStyle w:val="m343668044302477783m-3986873246552044066msolistparagraph"/>
              <w:spacing w:before="0" w:beforeAutospacing="0" w:after="0" w:afterAutospacing="0"/>
              <w:ind w:left="-94"/>
              <w:jc w:val="right"/>
              <w:rPr>
                <w:rFonts w:ascii="Arial" w:hAnsi="Arial" w:cs="Arial"/>
                <w:sz w:val="20"/>
                <w:szCs w:val="20"/>
                <w:lang w:val="en-US"/>
              </w:rPr>
            </w:pPr>
            <w:r w:rsidRPr="009C5096">
              <w:rPr>
                <w:rFonts w:ascii="Arial" w:hAnsi="Arial" w:cs="Arial"/>
                <w:sz w:val="20"/>
                <w:szCs w:val="20"/>
                <w:lang w:val="en-US"/>
              </w:rPr>
              <w:t>101</w:t>
            </w:r>
            <w:r w:rsidR="00042B37">
              <w:rPr>
                <w:rFonts w:ascii="Arial" w:hAnsi="Arial" w:cs="Arial"/>
                <w:sz w:val="20"/>
                <w:szCs w:val="20"/>
                <w:lang w:val="en-US"/>
              </w:rPr>
              <w:t>,</w:t>
            </w:r>
            <w:r w:rsidRPr="009C5096">
              <w:rPr>
                <w:rFonts w:ascii="Arial" w:hAnsi="Arial" w:cs="Arial"/>
                <w:sz w:val="20"/>
                <w:szCs w:val="20"/>
                <w:lang w:val="en-US"/>
              </w:rPr>
              <w:t>788</w:t>
            </w:r>
            <w:r w:rsidR="00042B37">
              <w:rPr>
                <w:rFonts w:ascii="Arial" w:hAnsi="Arial" w:cs="Arial"/>
                <w:sz w:val="20"/>
                <w:szCs w:val="20"/>
                <w:lang w:val="en-US"/>
              </w:rPr>
              <w:t>,</w:t>
            </w:r>
            <w:r w:rsidRPr="009C5096">
              <w:rPr>
                <w:rFonts w:ascii="Arial" w:hAnsi="Arial" w:cs="Arial"/>
                <w:sz w:val="20"/>
                <w:szCs w:val="20"/>
                <w:lang w:val="en-US"/>
              </w:rPr>
              <w:t>297</w:t>
            </w:r>
          </w:p>
        </w:tc>
        <w:tc>
          <w:tcPr>
            <w:tcW w:w="1253" w:type="dxa"/>
          </w:tcPr>
          <w:p w:rsidR="003136C5" w:rsidRPr="009C5096" w:rsidRDefault="003136C5" w:rsidP="003B72A1">
            <w:pPr>
              <w:pStyle w:val="m343668044302477783m-3986873246552044066msolistparagraph"/>
              <w:spacing w:before="0" w:beforeAutospacing="0" w:after="0" w:afterAutospacing="0"/>
              <w:ind w:left="-94"/>
              <w:jc w:val="right"/>
              <w:rPr>
                <w:rFonts w:ascii="Arial" w:hAnsi="Arial" w:cs="Arial"/>
                <w:sz w:val="20"/>
                <w:szCs w:val="20"/>
                <w:lang w:val="en-US"/>
              </w:rPr>
            </w:pPr>
            <w:r w:rsidRPr="009C5096">
              <w:rPr>
                <w:rFonts w:ascii="Arial" w:hAnsi="Arial" w:cs="Arial"/>
                <w:sz w:val="20"/>
                <w:szCs w:val="20"/>
                <w:lang w:val="en-US"/>
              </w:rPr>
              <w:t>101</w:t>
            </w:r>
            <w:r w:rsidR="00042B37">
              <w:rPr>
                <w:rFonts w:ascii="Arial" w:hAnsi="Arial" w:cs="Arial"/>
                <w:sz w:val="20"/>
                <w:szCs w:val="20"/>
                <w:lang w:val="en-US"/>
              </w:rPr>
              <w:t>,</w:t>
            </w:r>
            <w:r w:rsidRPr="009C5096">
              <w:rPr>
                <w:rFonts w:ascii="Arial" w:hAnsi="Arial" w:cs="Arial"/>
                <w:sz w:val="20"/>
                <w:szCs w:val="20"/>
                <w:lang w:val="en-US"/>
              </w:rPr>
              <w:t>788</w:t>
            </w:r>
            <w:r w:rsidR="00042B37">
              <w:rPr>
                <w:rFonts w:ascii="Arial" w:hAnsi="Arial" w:cs="Arial"/>
                <w:sz w:val="20"/>
                <w:szCs w:val="20"/>
                <w:lang w:val="en-US"/>
              </w:rPr>
              <w:t>,</w:t>
            </w:r>
            <w:r w:rsidRPr="009C5096">
              <w:rPr>
                <w:rFonts w:ascii="Arial" w:hAnsi="Arial" w:cs="Arial"/>
                <w:sz w:val="20"/>
                <w:szCs w:val="20"/>
                <w:lang w:val="en-US"/>
              </w:rPr>
              <w:t>618</w:t>
            </w:r>
          </w:p>
        </w:tc>
        <w:tc>
          <w:tcPr>
            <w:tcW w:w="1253" w:type="dxa"/>
          </w:tcPr>
          <w:p w:rsidR="003136C5" w:rsidRPr="009C5096" w:rsidRDefault="003136C5" w:rsidP="003B72A1">
            <w:pPr>
              <w:pStyle w:val="m343668044302477783m-3986873246552044066msolistparagraph"/>
              <w:spacing w:before="0" w:beforeAutospacing="0" w:after="0" w:afterAutospacing="0"/>
              <w:ind w:left="-94"/>
              <w:jc w:val="right"/>
              <w:rPr>
                <w:rFonts w:ascii="Arial" w:hAnsi="Arial" w:cs="Arial"/>
                <w:sz w:val="20"/>
                <w:szCs w:val="20"/>
                <w:lang w:val="en-US"/>
              </w:rPr>
            </w:pPr>
            <w:r w:rsidRPr="009C5096">
              <w:rPr>
                <w:rFonts w:ascii="Arial" w:hAnsi="Arial" w:cs="Arial"/>
                <w:sz w:val="20"/>
                <w:szCs w:val="20"/>
                <w:lang w:val="en-US"/>
              </w:rPr>
              <w:t>102</w:t>
            </w:r>
            <w:r w:rsidR="00042B37">
              <w:rPr>
                <w:rFonts w:ascii="Arial" w:hAnsi="Arial" w:cs="Arial"/>
                <w:sz w:val="20"/>
                <w:szCs w:val="20"/>
                <w:lang w:val="en-US"/>
              </w:rPr>
              <w:t>,</w:t>
            </w:r>
            <w:r w:rsidRPr="009C5096">
              <w:rPr>
                <w:rFonts w:ascii="Arial" w:hAnsi="Arial" w:cs="Arial"/>
                <w:sz w:val="20"/>
                <w:szCs w:val="20"/>
                <w:lang w:val="en-US"/>
              </w:rPr>
              <w:t>764</w:t>
            </w:r>
            <w:r w:rsidR="00042B37">
              <w:rPr>
                <w:rFonts w:ascii="Arial" w:hAnsi="Arial" w:cs="Arial"/>
                <w:sz w:val="20"/>
                <w:szCs w:val="20"/>
                <w:lang w:val="en-US"/>
              </w:rPr>
              <w:t>,</w:t>
            </w:r>
            <w:r w:rsidRPr="009C5096">
              <w:rPr>
                <w:rFonts w:ascii="Arial" w:hAnsi="Arial" w:cs="Arial"/>
                <w:sz w:val="20"/>
                <w:szCs w:val="20"/>
                <w:lang w:val="en-US"/>
              </w:rPr>
              <w:t>228</w:t>
            </w:r>
          </w:p>
        </w:tc>
        <w:tc>
          <w:tcPr>
            <w:tcW w:w="1148" w:type="dxa"/>
          </w:tcPr>
          <w:p w:rsidR="003136C5" w:rsidRPr="009C5096" w:rsidRDefault="003136C5" w:rsidP="003B72A1">
            <w:pPr>
              <w:pStyle w:val="m343668044302477783m-3986873246552044066msolistparagraph"/>
              <w:spacing w:before="0" w:beforeAutospacing="0" w:after="0" w:afterAutospacing="0"/>
              <w:ind w:left="-94"/>
              <w:jc w:val="right"/>
              <w:rPr>
                <w:rFonts w:ascii="Arial" w:hAnsi="Arial" w:cs="Arial"/>
                <w:sz w:val="20"/>
                <w:szCs w:val="20"/>
                <w:lang w:val="en-US"/>
              </w:rPr>
            </w:pPr>
            <w:r w:rsidRPr="009C5096">
              <w:rPr>
                <w:rFonts w:ascii="Arial" w:hAnsi="Arial" w:cs="Arial"/>
                <w:sz w:val="20"/>
                <w:szCs w:val="20"/>
                <w:lang w:val="en-US"/>
              </w:rPr>
              <w:t>99</w:t>
            </w:r>
            <w:r w:rsidR="00042B37">
              <w:rPr>
                <w:rFonts w:ascii="Arial" w:hAnsi="Arial" w:cs="Arial"/>
                <w:sz w:val="20"/>
                <w:szCs w:val="20"/>
                <w:lang w:val="en-US"/>
              </w:rPr>
              <w:t>,</w:t>
            </w:r>
            <w:r w:rsidRPr="009C5096">
              <w:rPr>
                <w:rFonts w:ascii="Arial" w:hAnsi="Arial" w:cs="Arial"/>
                <w:sz w:val="20"/>
                <w:szCs w:val="20"/>
                <w:lang w:val="en-US"/>
              </w:rPr>
              <w:t>477</w:t>
            </w:r>
            <w:r w:rsidR="00042B37">
              <w:rPr>
                <w:rFonts w:ascii="Arial" w:hAnsi="Arial" w:cs="Arial"/>
                <w:sz w:val="20"/>
                <w:szCs w:val="20"/>
                <w:lang w:val="en-US"/>
              </w:rPr>
              <w:t>,</w:t>
            </w:r>
            <w:r w:rsidRPr="009C5096">
              <w:rPr>
                <w:rFonts w:ascii="Arial" w:hAnsi="Arial" w:cs="Arial"/>
                <w:sz w:val="20"/>
                <w:szCs w:val="20"/>
                <w:lang w:val="en-US"/>
              </w:rPr>
              <w:t>350</w:t>
            </w:r>
          </w:p>
        </w:tc>
        <w:tc>
          <w:tcPr>
            <w:tcW w:w="1253" w:type="dxa"/>
          </w:tcPr>
          <w:p w:rsidR="003136C5" w:rsidRPr="009C5096" w:rsidRDefault="003136C5" w:rsidP="003B72A1">
            <w:pPr>
              <w:pStyle w:val="m343668044302477783m-3986873246552044066msolistparagraph"/>
              <w:spacing w:before="0" w:beforeAutospacing="0" w:after="0" w:afterAutospacing="0"/>
              <w:ind w:left="-94"/>
              <w:jc w:val="right"/>
              <w:rPr>
                <w:rFonts w:ascii="Arial" w:hAnsi="Arial" w:cs="Arial"/>
                <w:sz w:val="20"/>
                <w:szCs w:val="20"/>
                <w:lang w:val="en-US"/>
              </w:rPr>
            </w:pPr>
            <w:r w:rsidRPr="009C5096">
              <w:rPr>
                <w:rFonts w:ascii="Arial" w:hAnsi="Arial" w:cs="Arial"/>
                <w:sz w:val="20"/>
                <w:szCs w:val="20"/>
                <w:lang w:val="en-US"/>
              </w:rPr>
              <w:t>100</w:t>
            </w:r>
            <w:r w:rsidR="00042B37">
              <w:rPr>
                <w:rFonts w:ascii="Arial" w:hAnsi="Arial" w:cs="Arial"/>
                <w:sz w:val="20"/>
                <w:szCs w:val="20"/>
                <w:lang w:val="en-US"/>
              </w:rPr>
              <w:t>,</w:t>
            </w:r>
            <w:r w:rsidRPr="009C5096">
              <w:rPr>
                <w:rFonts w:ascii="Arial" w:hAnsi="Arial" w:cs="Arial"/>
                <w:sz w:val="20"/>
                <w:szCs w:val="20"/>
                <w:lang w:val="en-US"/>
              </w:rPr>
              <w:t>983</w:t>
            </w:r>
            <w:r w:rsidR="00042B37">
              <w:rPr>
                <w:rFonts w:ascii="Arial" w:hAnsi="Arial" w:cs="Arial"/>
                <w:sz w:val="20"/>
                <w:szCs w:val="20"/>
                <w:lang w:val="en-US"/>
              </w:rPr>
              <w:t>,</w:t>
            </w:r>
            <w:r w:rsidRPr="009C5096">
              <w:rPr>
                <w:rFonts w:ascii="Arial" w:hAnsi="Arial" w:cs="Arial"/>
                <w:sz w:val="20"/>
                <w:szCs w:val="20"/>
                <w:lang w:val="en-US"/>
              </w:rPr>
              <w:t>740</w:t>
            </w:r>
          </w:p>
        </w:tc>
      </w:tr>
    </w:tbl>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rPr>
      </w:pPr>
      <w:r w:rsidRPr="009C5096">
        <w:rPr>
          <w:rFonts w:ascii="Arial" w:hAnsi="Arial" w:cs="Arial"/>
          <w:sz w:val="18"/>
          <w:szCs w:val="18"/>
          <w:lang w:val="en-US"/>
        </w:rPr>
        <w:t>Source: MAFWE, IPARD Agency</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Rural development measures accompany and complement direct support measures (market policies and support for income from agricultural activity) and build on existing support for rural development provided through annual rural development programs.</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Taking into account the analysis of the situation in the agriculture and the sectoral development potentials, as well as the specific needs for rural development, the measures for rural development policy </w:t>
      </w:r>
      <w:r w:rsidR="00042B37" w:rsidRPr="009C5096">
        <w:rPr>
          <w:rFonts w:ascii="Arial" w:hAnsi="Arial" w:cs="Arial"/>
          <w:sz w:val="22"/>
          <w:szCs w:val="22"/>
          <w:lang w:val="en-US"/>
        </w:rPr>
        <w:t xml:space="preserve">implementation </w:t>
      </w:r>
      <w:r w:rsidRPr="009C5096">
        <w:rPr>
          <w:rFonts w:ascii="Arial" w:hAnsi="Arial" w:cs="Arial"/>
          <w:sz w:val="22"/>
          <w:szCs w:val="22"/>
          <w:lang w:val="en-US"/>
        </w:rPr>
        <w:t xml:space="preserve">are prioritized in increasing the competitiveness of the agricultural sector and strengthening the economic and social position of the rural areas by increasing the </w:t>
      </w:r>
      <w:r w:rsidR="00042B37" w:rsidRPr="009C5096">
        <w:rPr>
          <w:rFonts w:ascii="Arial" w:hAnsi="Arial" w:cs="Arial"/>
          <w:sz w:val="22"/>
          <w:szCs w:val="22"/>
          <w:lang w:val="en-US"/>
        </w:rPr>
        <w:t xml:space="preserve">agricultural holdings </w:t>
      </w:r>
      <w:r w:rsidRPr="009C5096">
        <w:rPr>
          <w:rFonts w:ascii="Arial" w:hAnsi="Arial" w:cs="Arial"/>
          <w:sz w:val="22"/>
          <w:szCs w:val="22"/>
          <w:lang w:val="en-US"/>
        </w:rPr>
        <w:t xml:space="preserve">incomes, increasing the </w:t>
      </w:r>
      <w:r w:rsidR="00042B37" w:rsidRPr="009C5096">
        <w:rPr>
          <w:rFonts w:ascii="Arial" w:hAnsi="Arial" w:cs="Arial"/>
          <w:sz w:val="22"/>
          <w:szCs w:val="22"/>
          <w:lang w:val="en-US"/>
        </w:rPr>
        <w:t xml:space="preserve">employment </w:t>
      </w:r>
      <w:r w:rsidRPr="009C5096">
        <w:rPr>
          <w:rFonts w:ascii="Arial" w:hAnsi="Arial" w:cs="Arial"/>
          <w:sz w:val="22"/>
          <w:szCs w:val="22"/>
          <w:lang w:val="en-US"/>
        </w:rPr>
        <w:t>possibility of the rural population outside the agricultural sector. Special attention is given to the introduction of measures for sustainable management and utilization of natural resources, protection of biodiversity and the environment.</w:t>
      </w:r>
    </w:p>
    <w:p w:rsidR="003136C5" w:rsidRPr="00036440" w:rsidRDefault="003136C5" w:rsidP="003136C5">
      <w:pPr>
        <w:pStyle w:val="m343668044302477783m-3986873246552044066msolistparagraph"/>
        <w:spacing w:before="120" w:beforeAutospacing="0" w:after="0" w:afterAutospacing="0"/>
        <w:jc w:val="both"/>
        <w:rPr>
          <w:rFonts w:ascii="Arial" w:hAnsi="Arial" w:cs="Arial"/>
          <w:sz w:val="20"/>
          <w:szCs w:val="20"/>
          <w:lang w:val="en-US"/>
        </w:rPr>
      </w:pPr>
      <w:bookmarkStart w:id="17" w:name="_Toc6902273"/>
      <w:r w:rsidRPr="00036440">
        <w:rPr>
          <w:rFonts w:ascii="Arial" w:eastAsia="Times New Roman" w:hAnsi="Arial" w:cs="Arial"/>
          <w:sz w:val="20"/>
          <w:szCs w:val="20"/>
          <w:lang w:val="en-US"/>
        </w:rPr>
        <w:t xml:space="preserve">Table </w:t>
      </w:r>
      <w:r w:rsidRPr="00036440">
        <w:rPr>
          <w:rFonts w:ascii="Arial" w:eastAsia="Times New Roman" w:hAnsi="Arial" w:cs="Arial"/>
          <w:i/>
          <w:sz w:val="20"/>
          <w:szCs w:val="20"/>
          <w:lang w:val="en-US"/>
        </w:rPr>
        <w:fldChar w:fldCharType="begin"/>
      </w:r>
      <w:r w:rsidRPr="00036440">
        <w:rPr>
          <w:rFonts w:ascii="Arial" w:eastAsia="Times New Roman" w:hAnsi="Arial" w:cs="Arial"/>
          <w:sz w:val="20"/>
          <w:szCs w:val="20"/>
          <w:lang w:val="en-US"/>
        </w:rPr>
        <w:instrText xml:space="preserve"> SEQ Table \* ARABIC </w:instrText>
      </w:r>
      <w:r w:rsidRPr="00036440">
        <w:rPr>
          <w:rFonts w:ascii="Arial" w:eastAsia="Times New Roman" w:hAnsi="Arial" w:cs="Arial"/>
          <w:i/>
          <w:sz w:val="20"/>
          <w:szCs w:val="20"/>
          <w:lang w:val="en-US"/>
        </w:rPr>
        <w:fldChar w:fldCharType="separate"/>
      </w:r>
      <w:r w:rsidRPr="00036440">
        <w:rPr>
          <w:rFonts w:ascii="Arial" w:eastAsia="Times New Roman" w:hAnsi="Arial" w:cs="Arial"/>
          <w:sz w:val="20"/>
          <w:szCs w:val="20"/>
          <w:lang w:val="en-US"/>
        </w:rPr>
        <w:t>7</w:t>
      </w:r>
      <w:r w:rsidRPr="00036440">
        <w:rPr>
          <w:rFonts w:ascii="Arial" w:eastAsia="Times New Roman" w:hAnsi="Arial" w:cs="Arial"/>
          <w:i/>
          <w:sz w:val="20"/>
          <w:szCs w:val="20"/>
          <w:lang w:val="en-US"/>
        </w:rPr>
        <w:fldChar w:fldCharType="end"/>
      </w:r>
      <w:r w:rsidRPr="00036440">
        <w:rPr>
          <w:rFonts w:ascii="Arial" w:eastAsia="Times New Roman" w:hAnsi="Arial" w:cs="Arial"/>
          <w:sz w:val="20"/>
          <w:szCs w:val="20"/>
          <w:lang w:val="en-US"/>
        </w:rPr>
        <w:t>: Amounts of support (in €) by the Programme for rural development</w:t>
      </w:r>
      <w:bookmarkEnd w:id="17"/>
    </w:p>
    <w:tbl>
      <w:tblPr>
        <w:tblStyle w:val="TableGrid"/>
        <w:tblW w:w="9436" w:type="dxa"/>
        <w:tblLook w:val="04A0" w:firstRow="1" w:lastRow="0" w:firstColumn="1" w:lastColumn="0" w:noHBand="0" w:noVBand="1"/>
      </w:tblPr>
      <w:tblGrid>
        <w:gridCol w:w="817"/>
        <w:gridCol w:w="1232"/>
        <w:gridCol w:w="1232"/>
        <w:gridCol w:w="1231"/>
        <w:gridCol w:w="1231"/>
        <w:gridCol w:w="1231"/>
        <w:gridCol w:w="1231"/>
        <w:gridCol w:w="1231"/>
      </w:tblGrid>
      <w:tr w:rsidR="003136C5" w:rsidRPr="009C5096" w:rsidTr="003B72A1">
        <w:tc>
          <w:tcPr>
            <w:tcW w:w="817"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Year</w:t>
            </w:r>
          </w:p>
        </w:tc>
        <w:tc>
          <w:tcPr>
            <w:tcW w:w="1232"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2012</w:t>
            </w:r>
          </w:p>
        </w:tc>
        <w:tc>
          <w:tcPr>
            <w:tcW w:w="1232"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2013</w:t>
            </w:r>
          </w:p>
        </w:tc>
        <w:tc>
          <w:tcPr>
            <w:tcW w:w="1231"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2014</w:t>
            </w:r>
          </w:p>
        </w:tc>
        <w:tc>
          <w:tcPr>
            <w:tcW w:w="1231"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2015</w:t>
            </w:r>
          </w:p>
        </w:tc>
        <w:tc>
          <w:tcPr>
            <w:tcW w:w="1231"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2016</w:t>
            </w:r>
          </w:p>
        </w:tc>
        <w:tc>
          <w:tcPr>
            <w:tcW w:w="1231"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2017</w:t>
            </w:r>
          </w:p>
        </w:tc>
        <w:tc>
          <w:tcPr>
            <w:tcW w:w="1231"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2018</w:t>
            </w:r>
          </w:p>
        </w:tc>
      </w:tr>
      <w:tr w:rsidR="003136C5" w:rsidRPr="009C5096" w:rsidTr="003B72A1">
        <w:tc>
          <w:tcPr>
            <w:tcW w:w="817"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Total</w:t>
            </w:r>
          </w:p>
        </w:tc>
        <w:tc>
          <w:tcPr>
            <w:tcW w:w="1232" w:type="dxa"/>
          </w:tcPr>
          <w:p w:rsidR="003136C5" w:rsidRPr="009C5096" w:rsidRDefault="003136C5" w:rsidP="003B72A1">
            <w:pPr>
              <w:pStyle w:val="m343668044302477783m-3986873246552044066msolistparagraph"/>
              <w:spacing w:before="0" w:beforeAutospacing="0" w:after="0" w:afterAutospacing="0"/>
              <w:ind w:left="-94"/>
              <w:jc w:val="right"/>
              <w:rPr>
                <w:rFonts w:ascii="Arial" w:hAnsi="Arial" w:cs="Arial"/>
                <w:sz w:val="20"/>
                <w:szCs w:val="20"/>
                <w:lang w:val="en-US"/>
              </w:rPr>
            </w:pPr>
            <w:r w:rsidRPr="009C5096">
              <w:rPr>
                <w:rFonts w:ascii="Arial" w:hAnsi="Arial" w:cs="Arial"/>
                <w:sz w:val="20"/>
                <w:szCs w:val="20"/>
                <w:lang w:val="en-US"/>
              </w:rPr>
              <w:t>11</w:t>
            </w:r>
            <w:r w:rsidR="00042B37">
              <w:rPr>
                <w:rFonts w:ascii="Arial" w:hAnsi="Arial" w:cs="Arial"/>
                <w:sz w:val="20"/>
                <w:szCs w:val="20"/>
                <w:lang w:val="en-US"/>
              </w:rPr>
              <w:t>,</w:t>
            </w:r>
            <w:r w:rsidRPr="009C5096">
              <w:rPr>
                <w:rFonts w:ascii="Arial" w:hAnsi="Arial" w:cs="Arial"/>
                <w:sz w:val="20"/>
                <w:szCs w:val="20"/>
                <w:lang w:val="en-US"/>
              </w:rPr>
              <w:t>381</w:t>
            </w:r>
            <w:r w:rsidR="00042B37">
              <w:rPr>
                <w:rFonts w:ascii="Arial" w:hAnsi="Arial" w:cs="Arial"/>
                <w:sz w:val="20"/>
                <w:szCs w:val="20"/>
                <w:lang w:val="en-US"/>
              </w:rPr>
              <w:t>,</w:t>
            </w:r>
            <w:r w:rsidRPr="009C5096">
              <w:rPr>
                <w:rFonts w:ascii="Arial" w:hAnsi="Arial" w:cs="Arial"/>
                <w:sz w:val="20"/>
                <w:szCs w:val="20"/>
                <w:lang w:val="en-US"/>
              </w:rPr>
              <w:t>106</w:t>
            </w:r>
          </w:p>
        </w:tc>
        <w:tc>
          <w:tcPr>
            <w:tcW w:w="1232" w:type="dxa"/>
          </w:tcPr>
          <w:p w:rsidR="003136C5" w:rsidRPr="009C5096" w:rsidRDefault="003136C5" w:rsidP="003B72A1">
            <w:pPr>
              <w:pStyle w:val="m343668044302477783m-3986873246552044066msolistparagraph"/>
              <w:spacing w:before="0" w:beforeAutospacing="0" w:after="0" w:afterAutospacing="0"/>
              <w:ind w:left="-94"/>
              <w:jc w:val="right"/>
              <w:rPr>
                <w:rFonts w:ascii="Arial" w:hAnsi="Arial" w:cs="Arial"/>
                <w:sz w:val="20"/>
                <w:szCs w:val="20"/>
                <w:lang w:val="en-US"/>
              </w:rPr>
            </w:pPr>
            <w:r w:rsidRPr="009C5096">
              <w:rPr>
                <w:rFonts w:ascii="Arial" w:hAnsi="Arial" w:cs="Arial"/>
                <w:sz w:val="20"/>
                <w:szCs w:val="20"/>
                <w:lang w:val="en-US"/>
              </w:rPr>
              <w:t>17</w:t>
            </w:r>
            <w:r w:rsidR="00042B37">
              <w:rPr>
                <w:rFonts w:ascii="Arial" w:hAnsi="Arial" w:cs="Arial"/>
                <w:sz w:val="20"/>
                <w:szCs w:val="20"/>
                <w:lang w:val="en-US"/>
              </w:rPr>
              <w:t>,</w:t>
            </w:r>
            <w:r w:rsidRPr="009C5096">
              <w:rPr>
                <w:rFonts w:ascii="Arial" w:hAnsi="Arial" w:cs="Arial"/>
                <w:sz w:val="20"/>
                <w:szCs w:val="20"/>
                <w:lang w:val="en-US"/>
              </w:rPr>
              <w:t>186</w:t>
            </w:r>
            <w:r w:rsidR="00042B37">
              <w:rPr>
                <w:rFonts w:ascii="Arial" w:hAnsi="Arial" w:cs="Arial"/>
                <w:sz w:val="20"/>
                <w:szCs w:val="20"/>
                <w:lang w:val="en-US"/>
              </w:rPr>
              <w:t>,</w:t>
            </w:r>
            <w:r w:rsidRPr="009C5096">
              <w:rPr>
                <w:rFonts w:ascii="Arial" w:hAnsi="Arial" w:cs="Arial"/>
                <w:sz w:val="20"/>
                <w:szCs w:val="20"/>
                <w:lang w:val="en-US"/>
              </w:rPr>
              <w:t>992</w:t>
            </w:r>
          </w:p>
        </w:tc>
        <w:tc>
          <w:tcPr>
            <w:tcW w:w="1231" w:type="dxa"/>
          </w:tcPr>
          <w:p w:rsidR="003136C5" w:rsidRPr="009C5096" w:rsidRDefault="003136C5" w:rsidP="003B72A1">
            <w:pPr>
              <w:pStyle w:val="m343668044302477783m-3986873246552044066msolistparagraph"/>
              <w:spacing w:before="0" w:beforeAutospacing="0" w:after="0" w:afterAutospacing="0"/>
              <w:ind w:left="-94"/>
              <w:jc w:val="right"/>
              <w:rPr>
                <w:rFonts w:ascii="Arial" w:hAnsi="Arial" w:cs="Arial"/>
                <w:sz w:val="20"/>
                <w:szCs w:val="20"/>
                <w:lang w:val="en-US"/>
              </w:rPr>
            </w:pPr>
            <w:r w:rsidRPr="009C5096">
              <w:rPr>
                <w:rFonts w:ascii="Arial" w:hAnsi="Arial" w:cs="Arial"/>
                <w:sz w:val="20"/>
                <w:szCs w:val="20"/>
                <w:lang w:val="en-US"/>
              </w:rPr>
              <w:t>31</w:t>
            </w:r>
            <w:r w:rsidR="00042B37">
              <w:rPr>
                <w:rFonts w:ascii="Arial" w:hAnsi="Arial" w:cs="Arial"/>
                <w:sz w:val="20"/>
                <w:szCs w:val="20"/>
                <w:lang w:val="en-US"/>
              </w:rPr>
              <w:t>,</w:t>
            </w:r>
            <w:r w:rsidRPr="009C5096">
              <w:rPr>
                <w:rFonts w:ascii="Arial" w:hAnsi="Arial" w:cs="Arial"/>
                <w:sz w:val="20"/>
                <w:szCs w:val="20"/>
                <w:lang w:val="en-US"/>
              </w:rPr>
              <w:t>229</w:t>
            </w:r>
            <w:r w:rsidR="00042B37">
              <w:rPr>
                <w:rFonts w:ascii="Arial" w:hAnsi="Arial" w:cs="Arial"/>
                <w:sz w:val="20"/>
                <w:szCs w:val="20"/>
                <w:lang w:val="en-US"/>
              </w:rPr>
              <w:t>,</w:t>
            </w:r>
            <w:r w:rsidRPr="009C5096">
              <w:rPr>
                <w:rFonts w:ascii="Arial" w:hAnsi="Arial" w:cs="Arial"/>
                <w:sz w:val="20"/>
                <w:szCs w:val="20"/>
                <w:lang w:val="en-US"/>
              </w:rPr>
              <w:t>268</w:t>
            </w:r>
          </w:p>
        </w:tc>
        <w:tc>
          <w:tcPr>
            <w:tcW w:w="1231" w:type="dxa"/>
          </w:tcPr>
          <w:p w:rsidR="003136C5" w:rsidRPr="009C5096" w:rsidRDefault="003136C5" w:rsidP="003B72A1">
            <w:pPr>
              <w:pStyle w:val="m343668044302477783m-3986873246552044066msolistparagraph"/>
              <w:spacing w:before="0" w:beforeAutospacing="0" w:after="0" w:afterAutospacing="0"/>
              <w:ind w:left="-94"/>
              <w:jc w:val="right"/>
              <w:rPr>
                <w:rFonts w:ascii="Arial" w:hAnsi="Arial" w:cs="Arial"/>
                <w:sz w:val="20"/>
                <w:szCs w:val="20"/>
                <w:lang w:val="en-US"/>
              </w:rPr>
            </w:pPr>
            <w:r w:rsidRPr="009C5096">
              <w:rPr>
                <w:rFonts w:ascii="Arial" w:hAnsi="Arial" w:cs="Arial"/>
                <w:sz w:val="20"/>
                <w:szCs w:val="20"/>
                <w:lang w:val="en-US"/>
              </w:rPr>
              <w:t>31</w:t>
            </w:r>
            <w:r w:rsidR="00042B37">
              <w:rPr>
                <w:rFonts w:ascii="Arial" w:hAnsi="Arial" w:cs="Arial"/>
                <w:sz w:val="20"/>
                <w:szCs w:val="20"/>
                <w:lang w:val="en-US"/>
              </w:rPr>
              <w:t>,</w:t>
            </w:r>
            <w:r w:rsidRPr="009C5096">
              <w:rPr>
                <w:rFonts w:ascii="Arial" w:hAnsi="Arial" w:cs="Arial"/>
                <w:sz w:val="20"/>
                <w:szCs w:val="20"/>
                <w:lang w:val="en-US"/>
              </w:rPr>
              <w:t>400</w:t>
            </w:r>
            <w:r w:rsidR="00042B37">
              <w:rPr>
                <w:rFonts w:ascii="Arial" w:hAnsi="Arial" w:cs="Arial"/>
                <w:sz w:val="20"/>
                <w:szCs w:val="20"/>
                <w:lang w:val="en-US"/>
              </w:rPr>
              <w:t>,</w:t>
            </w:r>
            <w:r w:rsidRPr="009C5096">
              <w:rPr>
                <w:rFonts w:ascii="Arial" w:hAnsi="Arial" w:cs="Arial"/>
                <w:sz w:val="20"/>
                <w:szCs w:val="20"/>
                <w:lang w:val="en-US"/>
              </w:rPr>
              <w:t>000</w:t>
            </w:r>
          </w:p>
        </w:tc>
        <w:tc>
          <w:tcPr>
            <w:tcW w:w="1231" w:type="dxa"/>
          </w:tcPr>
          <w:p w:rsidR="003136C5" w:rsidRPr="009C5096" w:rsidRDefault="003136C5" w:rsidP="003B72A1">
            <w:pPr>
              <w:pStyle w:val="m343668044302477783m-3986873246552044066msolistparagraph"/>
              <w:spacing w:before="0" w:beforeAutospacing="0" w:after="0" w:afterAutospacing="0"/>
              <w:ind w:left="-94"/>
              <w:jc w:val="right"/>
              <w:rPr>
                <w:rFonts w:ascii="Arial" w:hAnsi="Arial" w:cs="Arial"/>
                <w:sz w:val="20"/>
                <w:szCs w:val="20"/>
                <w:lang w:val="en-US"/>
              </w:rPr>
            </w:pPr>
            <w:r w:rsidRPr="009C5096">
              <w:rPr>
                <w:rFonts w:ascii="Arial" w:hAnsi="Arial" w:cs="Arial"/>
                <w:sz w:val="20"/>
                <w:szCs w:val="20"/>
                <w:lang w:val="en-US"/>
              </w:rPr>
              <w:t>29</w:t>
            </w:r>
            <w:r w:rsidR="00042B37">
              <w:rPr>
                <w:rFonts w:ascii="Arial" w:hAnsi="Arial" w:cs="Arial"/>
                <w:sz w:val="20"/>
                <w:szCs w:val="20"/>
                <w:lang w:val="en-US"/>
              </w:rPr>
              <w:t>,</w:t>
            </w:r>
            <w:r w:rsidRPr="009C5096">
              <w:rPr>
                <w:rFonts w:ascii="Arial" w:hAnsi="Arial" w:cs="Arial"/>
                <w:sz w:val="20"/>
                <w:szCs w:val="20"/>
                <w:lang w:val="en-US"/>
              </w:rPr>
              <w:t>356</w:t>
            </w:r>
            <w:r w:rsidR="00042B37">
              <w:rPr>
                <w:rFonts w:ascii="Arial" w:hAnsi="Arial" w:cs="Arial"/>
                <w:sz w:val="20"/>
                <w:szCs w:val="20"/>
                <w:lang w:val="en-US"/>
              </w:rPr>
              <w:t>,</w:t>
            </w:r>
            <w:r w:rsidRPr="009C5096">
              <w:rPr>
                <w:rFonts w:ascii="Arial" w:hAnsi="Arial" w:cs="Arial"/>
                <w:sz w:val="20"/>
                <w:szCs w:val="20"/>
                <w:lang w:val="en-US"/>
              </w:rPr>
              <w:t>016</w:t>
            </w:r>
          </w:p>
        </w:tc>
        <w:tc>
          <w:tcPr>
            <w:tcW w:w="1231" w:type="dxa"/>
          </w:tcPr>
          <w:p w:rsidR="003136C5" w:rsidRPr="009C5096" w:rsidRDefault="003136C5" w:rsidP="003B72A1">
            <w:pPr>
              <w:pStyle w:val="m343668044302477783m-3986873246552044066msolistparagraph"/>
              <w:spacing w:before="0" w:beforeAutospacing="0" w:after="0" w:afterAutospacing="0"/>
              <w:ind w:left="-94"/>
              <w:jc w:val="right"/>
              <w:rPr>
                <w:rFonts w:ascii="Arial" w:hAnsi="Arial" w:cs="Arial"/>
                <w:sz w:val="20"/>
                <w:szCs w:val="20"/>
                <w:lang w:val="en-US"/>
              </w:rPr>
            </w:pPr>
            <w:r w:rsidRPr="009C5096">
              <w:rPr>
                <w:rFonts w:ascii="Arial" w:hAnsi="Arial" w:cs="Arial"/>
                <w:sz w:val="20"/>
                <w:szCs w:val="20"/>
                <w:lang w:val="en-US"/>
              </w:rPr>
              <w:t>32</w:t>
            </w:r>
            <w:r w:rsidR="00042B37">
              <w:rPr>
                <w:rFonts w:ascii="Arial" w:hAnsi="Arial" w:cs="Arial"/>
                <w:sz w:val="20"/>
                <w:szCs w:val="20"/>
                <w:lang w:val="en-US"/>
              </w:rPr>
              <w:t>,</w:t>
            </w:r>
            <w:r w:rsidRPr="009C5096">
              <w:rPr>
                <w:rFonts w:ascii="Arial" w:hAnsi="Arial" w:cs="Arial"/>
                <w:sz w:val="20"/>
                <w:szCs w:val="20"/>
                <w:lang w:val="en-US"/>
              </w:rPr>
              <w:t>906</w:t>
            </w:r>
            <w:r w:rsidR="00042B37">
              <w:rPr>
                <w:rFonts w:ascii="Arial" w:hAnsi="Arial" w:cs="Arial"/>
                <w:sz w:val="20"/>
                <w:szCs w:val="20"/>
                <w:lang w:val="en-US"/>
              </w:rPr>
              <w:t>,</w:t>
            </w:r>
            <w:r w:rsidRPr="009C5096">
              <w:rPr>
                <w:rFonts w:ascii="Arial" w:hAnsi="Arial" w:cs="Arial"/>
                <w:sz w:val="20"/>
                <w:szCs w:val="20"/>
                <w:lang w:val="en-US"/>
              </w:rPr>
              <w:t>390</w:t>
            </w:r>
          </w:p>
        </w:tc>
        <w:tc>
          <w:tcPr>
            <w:tcW w:w="1231" w:type="dxa"/>
          </w:tcPr>
          <w:p w:rsidR="003136C5" w:rsidRPr="009C5096" w:rsidRDefault="003136C5" w:rsidP="003B72A1">
            <w:pPr>
              <w:pStyle w:val="m343668044302477783m-3986873246552044066msolistparagraph"/>
              <w:spacing w:before="0" w:beforeAutospacing="0" w:after="0" w:afterAutospacing="0"/>
              <w:ind w:left="-94"/>
              <w:jc w:val="right"/>
              <w:rPr>
                <w:rFonts w:ascii="Arial" w:hAnsi="Arial" w:cs="Arial"/>
                <w:sz w:val="20"/>
                <w:szCs w:val="20"/>
                <w:lang w:val="en-US"/>
              </w:rPr>
            </w:pPr>
            <w:r w:rsidRPr="009C5096">
              <w:rPr>
                <w:rFonts w:ascii="Arial" w:hAnsi="Arial" w:cs="Arial"/>
                <w:sz w:val="20"/>
                <w:szCs w:val="20"/>
                <w:lang w:val="en-US"/>
              </w:rPr>
              <w:t>32</w:t>
            </w:r>
            <w:r w:rsidR="00042B37">
              <w:rPr>
                <w:rFonts w:ascii="Arial" w:hAnsi="Arial" w:cs="Arial"/>
                <w:sz w:val="20"/>
                <w:szCs w:val="20"/>
                <w:lang w:val="en-US"/>
              </w:rPr>
              <w:t>,</w:t>
            </w:r>
            <w:r w:rsidRPr="009C5096">
              <w:rPr>
                <w:rFonts w:ascii="Arial" w:hAnsi="Arial" w:cs="Arial"/>
                <w:sz w:val="20"/>
                <w:szCs w:val="20"/>
                <w:lang w:val="en-US"/>
              </w:rPr>
              <w:t>295</w:t>
            </w:r>
            <w:r w:rsidR="00042B37">
              <w:rPr>
                <w:rFonts w:ascii="Arial" w:hAnsi="Arial" w:cs="Arial"/>
                <w:sz w:val="20"/>
                <w:szCs w:val="20"/>
                <w:lang w:val="en-US"/>
              </w:rPr>
              <w:t>,</w:t>
            </w:r>
            <w:r w:rsidRPr="009C5096">
              <w:rPr>
                <w:rFonts w:ascii="Arial" w:hAnsi="Arial" w:cs="Arial"/>
                <w:sz w:val="20"/>
                <w:szCs w:val="20"/>
                <w:lang w:val="en-US"/>
              </w:rPr>
              <w:t>935</w:t>
            </w:r>
          </w:p>
        </w:tc>
      </w:tr>
    </w:tbl>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rPr>
      </w:pPr>
      <w:r w:rsidRPr="009C5096">
        <w:rPr>
          <w:rFonts w:ascii="Arial" w:hAnsi="Arial" w:cs="Arial"/>
          <w:sz w:val="18"/>
          <w:szCs w:val="18"/>
          <w:lang w:val="en-US"/>
        </w:rPr>
        <w:t>Source: MAFWE, IPARD Agency</w:t>
      </w:r>
    </w:p>
    <w:p w:rsidR="003136C5" w:rsidRPr="009C5096" w:rsidRDefault="003136C5" w:rsidP="003136C5">
      <w:pPr>
        <w:rPr>
          <w:rFonts w:ascii="Arial" w:eastAsia="Calibri" w:hAnsi="Arial" w:cs="Arial"/>
          <w:sz w:val="18"/>
          <w:szCs w:val="18"/>
          <w:lang w:eastAsia="en-GB"/>
        </w:rPr>
      </w:pPr>
      <w:r w:rsidRPr="009C5096">
        <w:rPr>
          <w:rFonts w:ascii="Arial" w:hAnsi="Arial" w:cs="Arial"/>
          <w:sz w:val="18"/>
          <w:szCs w:val="18"/>
        </w:rPr>
        <w:br w:type="page"/>
      </w:r>
    </w:p>
    <w:p w:rsidR="003136C5" w:rsidRPr="009C5096" w:rsidRDefault="003136C5" w:rsidP="003136C5">
      <w:pPr>
        <w:pStyle w:val="ListParagraph"/>
        <w:numPr>
          <w:ilvl w:val="0"/>
          <w:numId w:val="2"/>
        </w:numPr>
        <w:contextualSpacing/>
        <w:jc w:val="both"/>
        <w:outlineLvl w:val="0"/>
        <w:rPr>
          <w:rFonts w:ascii="Arial" w:hAnsi="Arial" w:cs="Arial"/>
          <w:b/>
          <w:sz w:val="28"/>
          <w:szCs w:val="28"/>
        </w:rPr>
      </w:pPr>
      <w:bookmarkStart w:id="18" w:name="_Toc8649807"/>
      <w:r w:rsidRPr="009C5096">
        <w:rPr>
          <w:rFonts w:ascii="Arial" w:hAnsi="Arial" w:cs="Arial"/>
          <w:b/>
          <w:sz w:val="28"/>
          <w:szCs w:val="28"/>
        </w:rPr>
        <w:lastRenderedPageBreak/>
        <w:t>Assessment of the progress in the implementation of objectives, priorities, measures and group of investments</w:t>
      </w:r>
      <w:bookmarkEnd w:id="18"/>
    </w:p>
    <w:p w:rsidR="003136C5" w:rsidRPr="009C5096" w:rsidRDefault="003136C5" w:rsidP="009B1D75">
      <w:pPr>
        <w:pStyle w:val="ListParagraph"/>
        <w:spacing w:before="120"/>
        <w:jc w:val="both"/>
        <w:outlineLvl w:val="1"/>
        <w:rPr>
          <w:rFonts w:ascii="Arial" w:eastAsia="Calibri" w:hAnsi="Arial" w:cs="Arial"/>
          <w:b/>
          <w:vanish/>
          <w:lang w:eastAsia="en-GB"/>
        </w:rPr>
      </w:pPr>
      <w:bookmarkStart w:id="19" w:name="_Toc6577097"/>
      <w:bookmarkStart w:id="20" w:name="_Toc6577174"/>
      <w:bookmarkStart w:id="21" w:name="_Toc6577218"/>
      <w:bookmarkStart w:id="22" w:name="_Toc6577244"/>
      <w:bookmarkStart w:id="23" w:name="_Toc6578171"/>
      <w:bookmarkStart w:id="24" w:name="_Toc6578198"/>
      <w:bookmarkStart w:id="25" w:name="_Toc6578407"/>
      <w:bookmarkStart w:id="26" w:name="_Toc6578627"/>
      <w:bookmarkStart w:id="27" w:name="_Toc6832327"/>
      <w:bookmarkStart w:id="28" w:name="_Toc8649808"/>
      <w:bookmarkEnd w:id="19"/>
      <w:bookmarkEnd w:id="20"/>
      <w:bookmarkEnd w:id="21"/>
      <w:bookmarkEnd w:id="22"/>
      <w:bookmarkEnd w:id="23"/>
      <w:bookmarkEnd w:id="24"/>
      <w:bookmarkEnd w:id="25"/>
      <w:bookmarkEnd w:id="26"/>
      <w:bookmarkEnd w:id="27"/>
      <w:bookmarkEnd w:id="28"/>
    </w:p>
    <w:p w:rsidR="003136C5" w:rsidRPr="009C509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lang w:val="en-US"/>
        </w:rPr>
      </w:pPr>
      <w:bookmarkStart w:id="29" w:name="_Toc8649809"/>
      <w:r w:rsidRPr="009C5096">
        <w:rPr>
          <w:rFonts w:ascii="Arial" w:hAnsi="Arial" w:cs="Arial"/>
          <w:b/>
          <w:lang w:val="en-US"/>
        </w:rPr>
        <w:t>Summary of the strategic framework of the IPARD Programme 2014-2020</w:t>
      </w:r>
      <w:bookmarkEnd w:id="29"/>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The IPARD Programme for the period 2014-2020 supports the beneficiaries in adopting and implementing the political, institutional, legal, administrative, social and economic reforms in order to comply with the Union's values and to progressively align to the Union's rules, standards, policies and practices, with a view to Union membership.</w:t>
      </w:r>
    </w:p>
    <w:p w:rsidR="003136C5" w:rsidRPr="009C5096" w:rsidRDefault="003136C5" w:rsidP="003136C5">
      <w:pPr>
        <w:pStyle w:val="Text1"/>
        <w:spacing w:before="120" w:after="0"/>
        <w:rPr>
          <w:rFonts w:ascii="Arial" w:hAnsi="Arial" w:cs="Arial"/>
          <w:szCs w:val="22"/>
          <w:lang w:val="en-US"/>
        </w:rPr>
      </w:pPr>
      <w:r w:rsidRPr="009C5096">
        <w:rPr>
          <w:rFonts w:ascii="Arial" w:hAnsi="Arial" w:cs="Arial"/>
          <w:szCs w:val="22"/>
          <w:lang w:val="en-US"/>
        </w:rPr>
        <w:t>The specific objectives set out in Article 2 of Regulation (EU) No 231/2014 should be to the extent possible addressed by all policy areas. This means that agriculture and rural development policy area will contribute to the following specific objectives:</w:t>
      </w:r>
    </w:p>
    <w:p w:rsidR="003136C5" w:rsidRPr="009C5096" w:rsidRDefault="003136C5" w:rsidP="003136C5">
      <w:pPr>
        <w:pStyle w:val="NormalWeb"/>
        <w:numPr>
          <w:ilvl w:val="0"/>
          <w:numId w:val="7"/>
        </w:numPr>
        <w:spacing w:before="120" w:after="0"/>
        <w:jc w:val="both"/>
        <w:rPr>
          <w:rFonts w:ascii="Arial" w:hAnsi="Arial" w:cs="Arial"/>
          <w:sz w:val="22"/>
          <w:szCs w:val="22"/>
          <w:lang w:val="en-US"/>
        </w:rPr>
      </w:pPr>
      <w:r w:rsidRPr="009C5096">
        <w:rPr>
          <w:rFonts w:ascii="Arial" w:hAnsi="Arial" w:cs="Arial"/>
          <w:sz w:val="22"/>
          <w:szCs w:val="22"/>
          <w:lang w:val="en-US"/>
        </w:rPr>
        <w:t>Support for political reforms;</w:t>
      </w:r>
    </w:p>
    <w:p w:rsidR="003136C5" w:rsidRPr="009C5096" w:rsidRDefault="003136C5" w:rsidP="003136C5">
      <w:pPr>
        <w:pStyle w:val="NormalWeb"/>
        <w:numPr>
          <w:ilvl w:val="0"/>
          <w:numId w:val="7"/>
        </w:numPr>
        <w:spacing w:before="120" w:after="0"/>
        <w:jc w:val="both"/>
        <w:rPr>
          <w:rFonts w:ascii="Arial" w:hAnsi="Arial" w:cs="Arial"/>
          <w:sz w:val="22"/>
          <w:szCs w:val="22"/>
          <w:lang w:val="en-US"/>
        </w:rPr>
      </w:pPr>
      <w:r w:rsidRPr="009C5096">
        <w:rPr>
          <w:rFonts w:ascii="Arial" w:hAnsi="Arial" w:cs="Arial"/>
          <w:sz w:val="22"/>
          <w:szCs w:val="22"/>
          <w:lang w:val="en-US"/>
        </w:rPr>
        <w:t>Support for economic, social and territorial development, with a view to a smart, sustainable and inclusive growth;</w:t>
      </w:r>
    </w:p>
    <w:p w:rsidR="003136C5" w:rsidRPr="009C5096" w:rsidRDefault="003136C5" w:rsidP="003136C5">
      <w:pPr>
        <w:pStyle w:val="NormalWeb"/>
        <w:numPr>
          <w:ilvl w:val="0"/>
          <w:numId w:val="7"/>
        </w:numPr>
        <w:spacing w:before="120" w:after="0"/>
        <w:jc w:val="both"/>
        <w:rPr>
          <w:rFonts w:ascii="Arial" w:hAnsi="Arial" w:cs="Arial"/>
          <w:sz w:val="22"/>
          <w:szCs w:val="22"/>
          <w:lang w:val="en-US"/>
        </w:rPr>
      </w:pPr>
      <w:r w:rsidRPr="009C5096">
        <w:rPr>
          <w:rFonts w:ascii="Arial" w:hAnsi="Arial" w:cs="Arial"/>
          <w:sz w:val="22"/>
          <w:szCs w:val="22"/>
          <w:lang w:val="en-US"/>
        </w:rPr>
        <w:t>Strengthening of the ability of the beneficiary countries at all levels to fulfil the obligations stemming from Union membership by supporting progressive alignment with, and adoption, implementation and enforcement of the Union acquis, including preparation for management of Union Structural Funds, the Cohesion Fund and the Euro</w:t>
      </w:r>
      <w:r w:rsidRPr="009C5096">
        <w:rPr>
          <w:rFonts w:ascii="Arial" w:hAnsi="Arial" w:cs="Arial"/>
          <w:sz w:val="22"/>
          <w:szCs w:val="22"/>
          <w:lang w:val="en-US"/>
        </w:rPr>
        <w:softHyphen/>
        <w:t>pean Agricultural Fund for Rural Development;</w:t>
      </w:r>
    </w:p>
    <w:p w:rsidR="003136C5" w:rsidRPr="009C5096" w:rsidRDefault="003136C5" w:rsidP="003136C5">
      <w:pPr>
        <w:pStyle w:val="m343668044302477783m-3986873246552044066msolistparagraph"/>
        <w:numPr>
          <w:ilvl w:val="0"/>
          <w:numId w:val="7"/>
        </w:numPr>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Strengthening regional integration and territorial cooperation involving the beneficiaries listed in Annex I, Member States and, where appropriate, third countries within the scope of Regulation (EU) No 232/2014 of the European Parliament and of the Council.</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lang w:val="en-US"/>
        </w:rPr>
      </w:pPr>
      <w:r w:rsidRPr="009C5096">
        <w:rPr>
          <w:rFonts w:ascii="Arial" w:hAnsi="Arial" w:cs="Arial"/>
          <w:sz w:val="22"/>
          <w:szCs w:val="22"/>
          <w:lang w:val="en-US"/>
        </w:rPr>
        <w:t>The above-mentioned IPA II objectives largely coincide with the main strategic objectives and specific objectives according to NSARD 2014-2020 (section 6.1.1 of this Programme), namely the objectives for enhancing farm viability and competitiveness of all types of agriculture and food-processing, agro-environmental objectives for restoring, preserving and enhancing ecosystems dependent on agriculture and forestry, improving socio-economic development in rural areas and human potential.</w:t>
      </w:r>
    </w:p>
    <w:p w:rsidR="003136C5" w:rsidRPr="00DF0834" w:rsidRDefault="003136C5" w:rsidP="003136C5">
      <w:pPr>
        <w:pStyle w:val="m343668044302477783m-3986873246552044066msolistparagraph"/>
        <w:spacing w:before="120" w:beforeAutospacing="0" w:after="120" w:afterAutospacing="0"/>
        <w:jc w:val="both"/>
        <w:rPr>
          <w:rFonts w:ascii="Arial" w:hAnsi="Arial" w:cs="Arial"/>
          <w:sz w:val="20"/>
          <w:szCs w:val="20"/>
          <w:lang w:val="en-US"/>
        </w:rPr>
      </w:pPr>
      <w:bookmarkStart w:id="30" w:name="_Toc6902274"/>
      <w:r w:rsidRPr="00DF0834">
        <w:rPr>
          <w:rFonts w:ascii="Arial" w:eastAsia="Times New Roman" w:hAnsi="Arial" w:cs="Arial"/>
          <w:sz w:val="20"/>
          <w:szCs w:val="20"/>
          <w:lang w:val="en-US"/>
        </w:rPr>
        <w:t xml:space="preserve">Table </w:t>
      </w:r>
      <w:r w:rsidRPr="00DF0834">
        <w:rPr>
          <w:rFonts w:ascii="Arial" w:eastAsia="Times New Roman" w:hAnsi="Arial" w:cs="Arial"/>
          <w:i/>
          <w:sz w:val="20"/>
          <w:szCs w:val="20"/>
          <w:lang w:val="en-US"/>
        </w:rPr>
        <w:fldChar w:fldCharType="begin"/>
      </w:r>
      <w:r w:rsidRPr="00DF0834">
        <w:rPr>
          <w:rFonts w:ascii="Arial" w:eastAsia="Times New Roman" w:hAnsi="Arial" w:cs="Arial"/>
          <w:sz w:val="20"/>
          <w:szCs w:val="20"/>
          <w:lang w:val="en-US"/>
        </w:rPr>
        <w:instrText xml:space="preserve"> SEQ Table \* ARABIC </w:instrText>
      </w:r>
      <w:r w:rsidRPr="00DF0834">
        <w:rPr>
          <w:rFonts w:ascii="Arial" w:eastAsia="Times New Roman" w:hAnsi="Arial" w:cs="Arial"/>
          <w:i/>
          <w:sz w:val="20"/>
          <w:szCs w:val="20"/>
          <w:lang w:val="en-US"/>
        </w:rPr>
        <w:fldChar w:fldCharType="separate"/>
      </w:r>
      <w:r w:rsidRPr="00DF0834">
        <w:rPr>
          <w:rFonts w:ascii="Arial" w:eastAsia="Times New Roman" w:hAnsi="Arial" w:cs="Arial"/>
          <w:sz w:val="20"/>
          <w:szCs w:val="20"/>
          <w:lang w:val="en-US"/>
        </w:rPr>
        <w:t>8</w:t>
      </w:r>
      <w:r w:rsidRPr="00DF0834">
        <w:rPr>
          <w:rFonts w:ascii="Arial" w:eastAsia="Times New Roman" w:hAnsi="Arial" w:cs="Arial"/>
          <w:i/>
          <w:sz w:val="20"/>
          <w:szCs w:val="20"/>
          <w:lang w:val="en-US"/>
        </w:rPr>
        <w:fldChar w:fldCharType="end"/>
      </w:r>
      <w:r w:rsidRPr="00DF0834">
        <w:rPr>
          <w:rFonts w:ascii="Arial" w:eastAsia="Times New Roman" w:hAnsi="Arial" w:cs="Arial"/>
          <w:sz w:val="20"/>
          <w:szCs w:val="20"/>
          <w:lang w:val="en-US"/>
        </w:rPr>
        <w:t xml:space="preserve">: </w:t>
      </w:r>
      <w:r w:rsidRPr="00DF0834">
        <w:rPr>
          <w:rFonts w:ascii="Arial" w:hAnsi="Arial" w:cs="Arial"/>
          <w:sz w:val="20"/>
          <w:szCs w:val="20"/>
          <w:lang w:val="en-US"/>
        </w:rPr>
        <w:t>Budget of EU Contribution by measure 2014-2020, in €</w:t>
      </w:r>
      <w:bookmarkEnd w:id="30"/>
    </w:p>
    <w:tbl>
      <w:tblPr>
        <w:tblStyle w:val="TableGrid"/>
        <w:tblW w:w="0" w:type="auto"/>
        <w:tblLook w:val="04A0" w:firstRow="1" w:lastRow="0" w:firstColumn="1" w:lastColumn="0" w:noHBand="0" w:noVBand="1"/>
      </w:tblPr>
      <w:tblGrid>
        <w:gridCol w:w="6649"/>
        <w:gridCol w:w="1613"/>
        <w:gridCol w:w="980"/>
      </w:tblGrid>
      <w:tr w:rsidR="003136C5" w:rsidRPr="009C5096" w:rsidTr="00612896">
        <w:tc>
          <w:tcPr>
            <w:tcW w:w="6745"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Measures</w:t>
            </w:r>
          </w:p>
        </w:tc>
        <w:tc>
          <w:tcPr>
            <w:tcW w:w="2605" w:type="dxa"/>
            <w:gridSpan w:val="2"/>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EU contribution</w:t>
            </w:r>
          </w:p>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2014-2020</w:t>
            </w:r>
          </w:p>
        </w:tc>
      </w:tr>
      <w:tr w:rsidR="003136C5" w:rsidRPr="009C5096" w:rsidTr="00612896">
        <w:tc>
          <w:tcPr>
            <w:tcW w:w="6745" w:type="dxa"/>
          </w:tcPr>
          <w:p w:rsidR="003136C5" w:rsidRPr="009C5096" w:rsidRDefault="003136C5" w:rsidP="00612896">
            <w:pPr>
              <w:pStyle w:val="m343668044302477783m-3986873246552044066msolistparagraph"/>
              <w:spacing w:before="0" w:beforeAutospacing="0" w:after="0" w:afterAutospacing="0"/>
              <w:jc w:val="both"/>
              <w:rPr>
                <w:rFonts w:ascii="Arial" w:hAnsi="Arial" w:cs="Arial"/>
                <w:sz w:val="20"/>
                <w:szCs w:val="20"/>
                <w:lang w:val="en-US"/>
              </w:rPr>
            </w:pPr>
            <w:r w:rsidRPr="009C5096">
              <w:rPr>
                <w:rFonts w:ascii="Arial" w:hAnsi="Arial" w:cs="Arial"/>
                <w:sz w:val="20"/>
                <w:szCs w:val="20"/>
                <w:lang w:val="en-US"/>
              </w:rPr>
              <w:t>Investments in physical assets of agricultural holdings</w:t>
            </w:r>
          </w:p>
        </w:tc>
        <w:tc>
          <w:tcPr>
            <w:tcW w:w="1620" w:type="dxa"/>
          </w:tcPr>
          <w:p w:rsidR="003136C5" w:rsidRPr="009C5096" w:rsidRDefault="003136C5" w:rsidP="00284EB1">
            <w:pPr>
              <w:jc w:val="right"/>
              <w:rPr>
                <w:rFonts w:ascii="Arial" w:hAnsi="Arial" w:cs="Arial"/>
                <w:sz w:val="20"/>
                <w:szCs w:val="20"/>
              </w:rPr>
            </w:pPr>
            <w:r w:rsidRPr="009C5096">
              <w:rPr>
                <w:rFonts w:ascii="Arial" w:hAnsi="Arial" w:cs="Arial"/>
                <w:sz w:val="20"/>
                <w:szCs w:val="20"/>
              </w:rPr>
              <w:t>21</w:t>
            </w:r>
            <w:r w:rsidR="00284EB1">
              <w:rPr>
                <w:rFonts w:ascii="Arial" w:hAnsi="Arial" w:cs="Arial"/>
                <w:sz w:val="20"/>
                <w:szCs w:val="20"/>
              </w:rPr>
              <w:t>,</w:t>
            </w:r>
            <w:r w:rsidRPr="009C5096">
              <w:rPr>
                <w:rFonts w:ascii="Arial" w:hAnsi="Arial" w:cs="Arial"/>
                <w:sz w:val="20"/>
                <w:szCs w:val="20"/>
              </w:rPr>
              <w:t>800</w:t>
            </w:r>
            <w:r w:rsidR="00284EB1">
              <w:rPr>
                <w:rFonts w:ascii="Arial" w:hAnsi="Arial" w:cs="Arial"/>
                <w:sz w:val="20"/>
                <w:szCs w:val="20"/>
              </w:rPr>
              <w:t>,</w:t>
            </w:r>
            <w:r w:rsidRPr="009C5096">
              <w:rPr>
                <w:rFonts w:ascii="Arial" w:hAnsi="Arial" w:cs="Arial"/>
                <w:sz w:val="20"/>
                <w:szCs w:val="20"/>
              </w:rPr>
              <w:t>000</w:t>
            </w:r>
          </w:p>
        </w:tc>
        <w:tc>
          <w:tcPr>
            <w:tcW w:w="985"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36%</w:t>
            </w:r>
          </w:p>
        </w:tc>
      </w:tr>
      <w:tr w:rsidR="003136C5" w:rsidRPr="009C5096" w:rsidTr="00612896">
        <w:tc>
          <w:tcPr>
            <w:tcW w:w="6745" w:type="dxa"/>
          </w:tcPr>
          <w:p w:rsidR="003136C5" w:rsidRPr="009C5096" w:rsidRDefault="003136C5" w:rsidP="00612896">
            <w:pPr>
              <w:pStyle w:val="m343668044302477783m-3986873246552044066msolistparagraph"/>
              <w:spacing w:before="0" w:beforeAutospacing="0" w:after="0" w:afterAutospacing="0"/>
              <w:rPr>
                <w:rFonts w:ascii="Arial" w:hAnsi="Arial" w:cs="Arial"/>
                <w:sz w:val="20"/>
                <w:szCs w:val="20"/>
                <w:lang w:val="en-US"/>
              </w:rPr>
            </w:pPr>
            <w:r w:rsidRPr="009C5096">
              <w:rPr>
                <w:rFonts w:ascii="Arial" w:hAnsi="Arial" w:cs="Arial"/>
                <w:sz w:val="20"/>
                <w:szCs w:val="20"/>
                <w:lang w:val="en-US"/>
              </w:rPr>
              <w:t>Investments in physical assets concerning processing and marketing of agricultural and fishery products</w:t>
            </w:r>
          </w:p>
        </w:tc>
        <w:tc>
          <w:tcPr>
            <w:tcW w:w="1620" w:type="dxa"/>
            <w:vAlign w:val="bottom"/>
          </w:tcPr>
          <w:p w:rsidR="003136C5" w:rsidRPr="009C5096" w:rsidRDefault="003136C5" w:rsidP="00284EB1">
            <w:pPr>
              <w:jc w:val="right"/>
              <w:rPr>
                <w:rFonts w:ascii="Arial" w:hAnsi="Arial" w:cs="Arial"/>
                <w:sz w:val="20"/>
                <w:szCs w:val="20"/>
              </w:rPr>
            </w:pPr>
            <w:r w:rsidRPr="009C5096">
              <w:rPr>
                <w:rFonts w:ascii="Arial" w:hAnsi="Arial" w:cs="Arial"/>
                <w:sz w:val="20"/>
                <w:szCs w:val="20"/>
              </w:rPr>
              <w:t>21</w:t>
            </w:r>
            <w:r w:rsidR="00284EB1">
              <w:rPr>
                <w:rFonts w:ascii="Arial" w:hAnsi="Arial" w:cs="Arial"/>
                <w:sz w:val="20"/>
                <w:szCs w:val="20"/>
              </w:rPr>
              <w:t>,</w:t>
            </w:r>
            <w:r w:rsidRPr="009C5096">
              <w:rPr>
                <w:rFonts w:ascii="Arial" w:hAnsi="Arial" w:cs="Arial"/>
                <w:sz w:val="20"/>
                <w:szCs w:val="20"/>
              </w:rPr>
              <w:t>960</w:t>
            </w:r>
            <w:r w:rsidR="00284EB1">
              <w:rPr>
                <w:rFonts w:ascii="Arial" w:hAnsi="Arial" w:cs="Arial"/>
                <w:sz w:val="20"/>
                <w:szCs w:val="20"/>
              </w:rPr>
              <w:t>,</w:t>
            </w:r>
            <w:r w:rsidRPr="009C5096">
              <w:rPr>
                <w:rFonts w:ascii="Arial" w:hAnsi="Arial" w:cs="Arial"/>
                <w:sz w:val="20"/>
                <w:szCs w:val="20"/>
              </w:rPr>
              <w:t>000</w:t>
            </w:r>
          </w:p>
        </w:tc>
        <w:tc>
          <w:tcPr>
            <w:tcW w:w="985" w:type="dxa"/>
            <w:vAlign w:val="bottom"/>
          </w:tcPr>
          <w:p w:rsidR="003136C5" w:rsidRPr="009C5096" w:rsidRDefault="003136C5" w:rsidP="00612896">
            <w:pPr>
              <w:jc w:val="center"/>
              <w:rPr>
                <w:rFonts w:ascii="Arial" w:hAnsi="Arial" w:cs="Arial"/>
                <w:sz w:val="20"/>
                <w:szCs w:val="20"/>
              </w:rPr>
            </w:pPr>
            <w:r w:rsidRPr="009C5096">
              <w:rPr>
                <w:rFonts w:ascii="Arial" w:hAnsi="Arial" w:cs="Arial"/>
                <w:sz w:val="20"/>
                <w:szCs w:val="20"/>
              </w:rPr>
              <w:t>37%</w:t>
            </w:r>
          </w:p>
        </w:tc>
      </w:tr>
      <w:tr w:rsidR="003136C5" w:rsidRPr="009C5096" w:rsidTr="00612896">
        <w:tc>
          <w:tcPr>
            <w:tcW w:w="6745" w:type="dxa"/>
          </w:tcPr>
          <w:p w:rsidR="003136C5" w:rsidRPr="009C5096" w:rsidRDefault="003136C5" w:rsidP="00612896">
            <w:pPr>
              <w:pStyle w:val="m343668044302477783m-3986873246552044066msolistparagraph"/>
              <w:spacing w:before="0" w:beforeAutospacing="0" w:after="0" w:afterAutospacing="0"/>
              <w:rPr>
                <w:rFonts w:ascii="Arial" w:hAnsi="Arial" w:cs="Arial"/>
                <w:sz w:val="20"/>
                <w:szCs w:val="20"/>
                <w:lang w:val="en-US"/>
              </w:rPr>
            </w:pPr>
            <w:r w:rsidRPr="009C5096">
              <w:rPr>
                <w:rFonts w:ascii="Arial" w:hAnsi="Arial" w:cs="Arial"/>
                <w:sz w:val="20"/>
                <w:szCs w:val="20"/>
                <w:lang w:val="en-US"/>
              </w:rPr>
              <w:t>Investments in rural public infrastructure</w:t>
            </w:r>
          </w:p>
        </w:tc>
        <w:tc>
          <w:tcPr>
            <w:tcW w:w="1620" w:type="dxa"/>
            <w:vAlign w:val="bottom"/>
          </w:tcPr>
          <w:p w:rsidR="003136C5" w:rsidRPr="009C5096" w:rsidRDefault="003136C5" w:rsidP="00284EB1">
            <w:pPr>
              <w:jc w:val="right"/>
              <w:rPr>
                <w:rFonts w:ascii="Arial" w:hAnsi="Arial" w:cs="Arial"/>
                <w:sz w:val="20"/>
                <w:szCs w:val="20"/>
              </w:rPr>
            </w:pPr>
            <w:r w:rsidRPr="009C5096">
              <w:rPr>
                <w:rFonts w:ascii="Arial" w:hAnsi="Arial" w:cs="Arial"/>
                <w:sz w:val="20"/>
                <w:szCs w:val="20"/>
              </w:rPr>
              <w:t>9</w:t>
            </w:r>
            <w:r w:rsidR="00284EB1">
              <w:rPr>
                <w:rFonts w:ascii="Arial" w:hAnsi="Arial" w:cs="Arial"/>
                <w:sz w:val="20"/>
                <w:szCs w:val="20"/>
              </w:rPr>
              <w:t>,</w:t>
            </w:r>
            <w:r w:rsidRPr="009C5096">
              <w:rPr>
                <w:rFonts w:ascii="Arial" w:hAnsi="Arial" w:cs="Arial"/>
                <w:sz w:val="20"/>
                <w:szCs w:val="20"/>
              </w:rPr>
              <w:t>100</w:t>
            </w:r>
            <w:r w:rsidR="00284EB1">
              <w:rPr>
                <w:rFonts w:ascii="Arial" w:hAnsi="Arial" w:cs="Arial"/>
                <w:sz w:val="20"/>
                <w:szCs w:val="20"/>
              </w:rPr>
              <w:t>,</w:t>
            </w:r>
            <w:r w:rsidRPr="009C5096">
              <w:rPr>
                <w:rFonts w:ascii="Arial" w:hAnsi="Arial" w:cs="Arial"/>
                <w:sz w:val="20"/>
                <w:szCs w:val="20"/>
              </w:rPr>
              <w:t>000</w:t>
            </w:r>
          </w:p>
        </w:tc>
        <w:tc>
          <w:tcPr>
            <w:tcW w:w="985" w:type="dxa"/>
            <w:vAlign w:val="bottom"/>
          </w:tcPr>
          <w:p w:rsidR="003136C5" w:rsidRPr="009C5096" w:rsidRDefault="003136C5" w:rsidP="00612896">
            <w:pPr>
              <w:jc w:val="center"/>
              <w:rPr>
                <w:rFonts w:ascii="Arial" w:hAnsi="Arial" w:cs="Arial"/>
                <w:sz w:val="20"/>
                <w:szCs w:val="20"/>
              </w:rPr>
            </w:pPr>
            <w:r w:rsidRPr="009C5096">
              <w:rPr>
                <w:rFonts w:ascii="Arial" w:hAnsi="Arial" w:cs="Arial"/>
                <w:sz w:val="20"/>
                <w:szCs w:val="20"/>
              </w:rPr>
              <w:t>15%</w:t>
            </w:r>
          </w:p>
        </w:tc>
      </w:tr>
      <w:tr w:rsidR="003136C5" w:rsidRPr="009C5096" w:rsidTr="00612896">
        <w:tc>
          <w:tcPr>
            <w:tcW w:w="6745" w:type="dxa"/>
          </w:tcPr>
          <w:p w:rsidR="003136C5" w:rsidRPr="009C5096" w:rsidRDefault="003136C5" w:rsidP="00612896">
            <w:pPr>
              <w:pStyle w:val="m343668044302477783m-3986873246552044066msolistparagraph"/>
              <w:spacing w:before="0" w:beforeAutospacing="0" w:after="0" w:afterAutospacing="0"/>
              <w:rPr>
                <w:rFonts w:ascii="Arial" w:hAnsi="Arial" w:cs="Arial"/>
                <w:sz w:val="20"/>
                <w:szCs w:val="20"/>
                <w:lang w:val="en-US"/>
              </w:rPr>
            </w:pPr>
            <w:r w:rsidRPr="009C5096">
              <w:rPr>
                <w:rFonts w:ascii="Arial" w:hAnsi="Arial" w:cs="Arial"/>
                <w:sz w:val="20"/>
                <w:szCs w:val="20"/>
                <w:lang w:val="en-US"/>
              </w:rPr>
              <w:t>Farm diversification and business development</w:t>
            </w:r>
          </w:p>
        </w:tc>
        <w:tc>
          <w:tcPr>
            <w:tcW w:w="1620" w:type="dxa"/>
            <w:vAlign w:val="bottom"/>
          </w:tcPr>
          <w:p w:rsidR="003136C5" w:rsidRPr="009C5096" w:rsidRDefault="003136C5" w:rsidP="00284EB1">
            <w:pPr>
              <w:jc w:val="right"/>
              <w:rPr>
                <w:rFonts w:ascii="Arial" w:hAnsi="Arial" w:cs="Arial"/>
                <w:sz w:val="20"/>
                <w:szCs w:val="20"/>
              </w:rPr>
            </w:pPr>
            <w:r w:rsidRPr="009C5096">
              <w:rPr>
                <w:rFonts w:ascii="Arial" w:hAnsi="Arial" w:cs="Arial"/>
                <w:sz w:val="20"/>
                <w:szCs w:val="20"/>
              </w:rPr>
              <w:t>4</w:t>
            </w:r>
            <w:r w:rsidR="00284EB1">
              <w:rPr>
                <w:rFonts w:ascii="Arial" w:hAnsi="Arial" w:cs="Arial"/>
                <w:sz w:val="20"/>
                <w:szCs w:val="20"/>
              </w:rPr>
              <w:t>,</w:t>
            </w:r>
            <w:r w:rsidRPr="009C5096">
              <w:rPr>
                <w:rFonts w:ascii="Arial" w:hAnsi="Arial" w:cs="Arial"/>
                <w:sz w:val="20"/>
                <w:szCs w:val="20"/>
              </w:rPr>
              <w:t>740</w:t>
            </w:r>
            <w:r w:rsidR="00284EB1">
              <w:rPr>
                <w:rFonts w:ascii="Arial" w:hAnsi="Arial" w:cs="Arial"/>
                <w:sz w:val="20"/>
                <w:szCs w:val="20"/>
              </w:rPr>
              <w:t>,</w:t>
            </w:r>
            <w:r w:rsidRPr="009C5096">
              <w:rPr>
                <w:rFonts w:ascii="Arial" w:hAnsi="Arial" w:cs="Arial"/>
                <w:sz w:val="20"/>
                <w:szCs w:val="20"/>
              </w:rPr>
              <w:t>000</w:t>
            </w:r>
          </w:p>
        </w:tc>
        <w:tc>
          <w:tcPr>
            <w:tcW w:w="985" w:type="dxa"/>
            <w:vAlign w:val="bottom"/>
          </w:tcPr>
          <w:p w:rsidR="003136C5" w:rsidRPr="009C5096" w:rsidRDefault="003136C5" w:rsidP="00612896">
            <w:pPr>
              <w:jc w:val="center"/>
              <w:rPr>
                <w:rFonts w:ascii="Arial" w:hAnsi="Arial" w:cs="Arial"/>
                <w:sz w:val="20"/>
                <w:szCs w:val="20"/>
              </w:rPr>
            </w:pPr>
            <w:r w:rsidRPr="009C5096">
              <w:rPr>
                <w:rFonts w:ascii="Arial" w:hAnsi="Arial" w:cs="Arial"/>
                <w:sz w:val="20"/>
                <w:szCs w:val="20"/>
              </w:rPr>
              <w:t>8%</w:t>
            </w:r>
          </w:p>
        </w:tc>
      </w:tr>
      <w:tr w:rsidR="003136C5" w:rsidRPr="009C5096" w:rsidTr="00612896">
        <w:tc>
          <w:tcPr>
            <w:tcW w:w="6745" w:type="dxa"/>
          </w:tcPr>
          <w:p w:rsidR="003136C5" w:rsidRPr="009C5096" w:rsidRDefault="003136C5" w:rsidP="00612896">
            <w:pPr>
              <w:pStyle w:val="m343668044302477783m-3986873246552044066msolistparagraph"/>
              <w:spacing w:before="0" w:beforeAutospacing="0" w:after="0" w:afterAutospacing="0"/>
              <w:rPr>
                <w:rFonts w:ascii="Arial" w:hAnsi="Arial" w:cs="Arial"/>
                <w:sz w:val="20"/>
                <w:szCs w:val="20"/>
                <w:lang w:val="en-US"/>
              </w:rPr>
            </w:pPr>
            <w:r w:rsidRPr="009C5096">
              <w:rPr>
                <w:rFonts w:ascii="Arial" w:hAnsi="Arial" w:cs="Arial"/>
                <w:sz w:val="20"/>
                <w:szCs w:val="20"/>
                <w:lang w:val="en-US"/>
              </w:rPr>
              <w:t>Technical assistance</w:t>
            </w:r>
          </w:p>
        </w:tc>
        <w:tc>
          <w:tcPr>
            <w:tcW w:w="1620" w:type="dxa"/>
            <w:vAlign w:val="bottom"/>
          </w:tcPr>
          <w:p w:rsidR="003136C5" w:rsidRPr="009C5096" w:rsidRDefault="003136C5" w:rsidP="00284EB1">
            <w:pPr>
              <w:jc w:val="right"/>
              <w:rPr>
                <w:rFonts w:ascii="Arial" w:hAnsi="Arial" w:cs="Arial"/>
                <w:sz w:val="20"/>
                <w:szCs w:val="20"/>
              </w:rPr>
            </w:pPr>
            <w:r w:rsidRPr="009C5096">
              <w:rPr>
                <w:rFonts w:ascii="Arial" w:hAnsi="Arial" w:cs="Arial"/>
                <w:sz w:val="20"/>
                <w:szCs w:val="20"/>
              </w:rPr>
              <w:t>2</w:t>
            </w:r>
            <w:r w:rsidR="00284EB1">
              <w:rPr>
                <w:rFonts w:ascii="Arial" w:hAnsi="Arial" w:cs="Arial"/>
                <w:sz w:val="20"/>
                <w:szCs w:val="20"/>
              </w:rPr>
              <w:t>,</w:t>
            </w:r>
            <w:r w:rsidRPr="009C5096">
              <w:rPr>
                <w:rFonts w:ascii="Arial" w:hAnsi="Arial" w:cs="Arial"/>
                <w:sz w:val="20"/>
                <w:szCs w:val="20"/>
              </w:rPr>
              <w:t>400</w:t>
            </w:r>
            <w:r w:rsidR="00284EB1">
              <w:rPr>
                <w:rFonts w:ascii="Arial" w:hAnsi="Arial" w:cs="Arial"/>
                <w:sz w:val="20"/>
                <w:szCs w:val="20"/>
              </w:rPr>
              <w:t>,</w:t>
            </w:r>
            <w:r w:rsidRPr="009C5096">
              <w:rPr>
                <w:rFonts w:ascii="Arial" w:hAnsi="Arial" w:cs="Arial"/>
                <w:sz w:val="20"/>
                <w:szCs w:val="20"/>
              </w:rPr>
              <w:t>000</w:t>
            </w:r>
          </w:p>
        </w:tc>
        <w:tc>
          <w:tcPr>
            <w:tcW w:w="985" w:type="dxa"/>
            <w:vAlign w:val="bottom"/>
          </w:tcPr>
          <w:p w:rsidR="003136C5" w:rsidRPr="009C5096" w:rsidRDefault="003136C5" w:rsidP="00612896">
            <w:pPr>
              <w:jc w:val="center"/>
              <w:rPr>
                <w:rFonts w:ascii="Arial" w:hAnsi="Arial" w:cs="Arial"/>
                <w:sz w:val="20"/>
                <w:szCs w:val="20"/>
              </w:rPr>
            </w:pPr>
            <w:r w:rsidRPr="009C5096">
              <w:rPr>
                <w:rFonts w:ascii="Arial" w:hAnsi="Arial" w:cs="Arial"/>
                <w:sz w:val="20"/>
                <w:szCs w:val="20"/>
              </w:rPr>
              <w:t>4%</w:t>
            </w:r>
          </w:p>
        </w:tc>
      </w:tr>
      <w:tr w:rsidR="003136C5" w:rsidRPr="009C5096" w:rsidTr="00612896">
        <w:tc>
          <w:tcPr>
            <w:tcW w:w="6745" w:type="dxa"/>
          </w:tcPr>
          <w:p w:rsidR="003136C5" w:rsidRPr="009C5096" w:rsidRDefault="003136C5" w:rsidP="00612896">
            <w:pPr>
              <w:pStyle w:val="m343668044302477783m-3986873246552044066msolistparagraph"/>
              <w:spacing w:before="0" w:beforeAutospacing="0" w:after="0" w:afterAutospacing="0"/>
              <w:rPr>
                <w:rFonts w:ascii="Arial" w:hAnsi="Arial" w:cs="Arial"/>
                <w:sz w:val="20"/>
                <w:szCs w:val="20"/>
                <w:lang w:val="en-US"/>
              </w:rPr>
            </w:pPr>
            <w:r w:rsidRPr="009C5096">
              <w:rPr>
                <w:rFonts w:ascii="Arial" w:hAnsi="Arial" w:cs="Arial"/>
                <w:sz w:val="20"/>
                <w:szCs w:val="20"/>
                <w:lang w:val="en-US"/>
              </w:rPr>
              <w:t>Total</w:t>
            </w:r>
          </w:p>
        </w:tc>
        <w:tc>
          <w:tcPr>
            <w:tcW w:w="1620" w:type="dxa"/>
            <w:vAlign w:val="bottom"/>
          </w:tcPr>
          <w:p w:rsidR="003136C5" w:rsidRPr="009C5096" w:rsidRDefault="003136C5" w:rsidP="00284EB1">
            <w:pPr>
              <w:jc w:val="right"/>
              <w:rPr>
                <w:rFonts w:ascii="Arial" w:hAnsi="Arial" w:cs="Arial"/>
                <w:sz w:val="20"/>
                <w:szCs w:val="20"/>
              </w:rPr>
            </w:pPr>
            <w:r w:rsidRPr="009C5096">
              <w:rPr>
                <w:rFonts w:ascii="Arial" w:hAnsi="Arial" w:cs="Arial"/>
                <w:sz w:val="20"/>
                <w:szCs w:val="20"/>
              </w:rPr>
              <w:t>60</w:t>
            </w:r>
            <w:r w:rsidR="00284EB1">
              <w:rPr>
                <w:rFonts w:ascii="Arial" w:hAnsi="Arial" w:cs="Arial"/>
                <w:sz w:val="20"/>
                <w:szCs w:val="20"/>
              </w:rPr>
              <w:t>,</w:t>
            </w:r>
            <w:r w:rsidRPr="009C5096">
              <w:rPr>
                <w:rFonts w:ascii="Arial" w:hAnsi="Arial" w:cs="Arial"/>
                <w:sz w:val="20"/>
                <w:szCs w:val="20"/>
              </w:rPr>
              <w:t>000</w:t>
            </w:r>
            <w:r w:rsidR="00284EB1">
              <w:rPr>
                <w:rFonts w:ascii="Arial" w:hAnsi="Arial" w:cs="Arial"/>
                <w:sz w:val="20"/>
                <w:szCs w:val="20"/>
              </w:rPr>
              <w:t>,</w:t>
            </w:r>
            <w:r w:rsidRPr="009C5096">
              <w:rPr>
                <w:rFonts w:ascii="Arial" w:hAnsi="Arial" w:cs="Arial"/>
                <w:sz w:val="20"/>
                <w:szCs w:val="20"/>
              </w:rPr>
              <w:t>000</w:t>
            </w:r>
          </w:p>
        </w:tc>
        <w:tc>
          <w:tcPr>
            <w:tcW w:w="985" w:type="dxa"/>
            <w:vAlign w:val="bottom"/>
          </w:tcPr>
          <w:p w:rsidR="003136C5" w:rsidRPr="009C5096" w:rsidRDefault="003136C5" w:rsidP="00612896">
            <w:pPr>
              <w:jc w:val="center"/>
              <w:rPr>
                <w:rFonts w:ascii="Arial" w:hAnsi="Arial" w:cs="Arial"/>
                <w:sz w:val="20"/>
                <w:szCs w:val="20"/>
              </w:rPr>
            </w:pPr>
            <w:r w:rsidRPr="009C5096">
              <w:rPr>
                <w:rFonts w:ascii="Arial" w:hAnsi="Arial" w:cs="Arial"/>
                <w:sz w:val="20"/>
                <w:szCs w:val="20"/>
              </w:rPr>
              <w:t>100%</w:t>
            </w:r>
          </w:p>
        </w:tc>
      </w:tr>
    </w:tbl>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rPr>
      </w:pPr>
      <w:r w:rsidRPr="009C5096">
        <w:rPr>
          <w:rFonts w:ascii="Arial" w:hAnsi="Arial" w:cs="Arial"/>
          <w:sz w:val="18"/>
          <w:szCs w:val="18"/>
          <w:lang w:val="en-US"/>
        </w:rPr>
        <w:t>Source: IPARD Programme 2014-2020</w:t>
      </w:r>
    </w:p>
    <w:p w:rsidR="003136C5" w:rsidRPr="009C509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lang w:val="en-US"/>
        </w:rPr>
      </w:pPr>
      <w:bookmarkStart w:id="31" w:name="_Toc8649810"/>
      <w:r w:rsidRPr="009C5096">
        <w:rPr>
          <w:rFonts w:ascii="Arial" w:hAnsi="Arial" w:cs="Arial"/>
          <w:b/>
          <w:lang w:val="en-US"/>
        </w:rPr>
        <w:t>Analysis on progress in implementation by measure</w:t>
      </w:r>
      <w:bookmarkEnd w:id="31"/>
    </w:p>
    <w:p w:rsidR="003136C5" w:rsidRDefault="00284EB1" w:rsidP="003136C5">
      <w:pPr>
        <w:pStyle w:val="m343668044302477783m-3986873246552044066msolistparagraph"/>
        <w:spacing w:before="120" w:beforeAutospacing="0" w:after="0" w:afterAutospacing="0"/>
        <w:jc w:val="both"/>
        <w:rPr>
          <w:rFonts w:ascii="Arial" w:hAnsi="Arial" w:cs="Arial"/>
          <w:sz w:val="22"/>
          <w:szCs w:val="22"/>
          <w:lang w:val="en-US"/>
        </w:rPr>
      </w:pPr>
      <w:r>
        <w:rPr>
          <w:rFonts w:ascii="Arial" w:hAnsi="Arial" w:cs="Arial"/>
          <w:sz w:val="22"/>
          <w:szCs w:val="22"/>
          <w:lang w:val="en-US"/>
        </w:rPr>
        <w:t>The i</w:t>
      </w:r>
      <w:r w:rsidR="003136C5" w:rsidRPr="009C5096">
        <w:rPr>
          <w:rFonts w:ascii="Arial" w:hAnsi="Arial" w:cs="Arial"/>
          <w:sz w:val="22"/>
          <w:szCs w:val="22"/>
          <w:lang w:val="en-US"/>
        </w:rPr>
        <w:t xml:space="preserve">mplementation of the Programme started with announcement of the first call (01/2017) in April 2017. To meet the needs of the applicants, </w:t>
      </w:r>
      <w:r>
        <w:rPr>
          <w:rFonts w:ascii="Arial" w:hAnsi="Arial" w:cs="Arial"/>
          <w:sz w:val="22"/>
          <w:szCs w:val="22"/>
          <w:lang w:val="en-US"/>
        </w:rPr>
        <w:t xml:space="preserve">the </w:t>
      </w:r>
      <w:r w:rsidR="003136C5" w:rsidRPr="009C5096">
        <w:rPr>
          <w:rFonts w:ascii="Arial" w:hAnsi="Arial" w:cs="Arial"/>
          <w:sz w:val="22"/>
          <w:szCs w:val="22"/>
          <w:lang w:val="en-US"/>
        </w:rPr>
        <w:t>final date for submission of applications under this call was extended until 21</w:t>
      </w:r>
      <w:r w:rsidR="003136C5" w:rsidRPr="009C5096">
        <w:rPr>
          <w:rFonts w:ascii="Arial" w:hAnsi="Arial" w:cs="Arial"/>
          <w:sz w:val="22"/>
          <w:szCs w:val="22"/>
          <w:vertAlign w:val="superscript"/>
          <w:lang w:val="en-US"/>
        </w:rPr>
        <w:t>st</w:t>
      </w:r>
      <w:r w:rsidR="003136C5" w:rsidRPr="009C5096">
        <w:rPr>
          <w:rFonts w:ascii="Arial" w:hAnsi="Arial" w:cs="Arial"/>
          <w:sz w:val="22"/>
          <w:szCs w:val="22"/>
          <w:lang w:val="en-US"/>
        </w:rPr>
        <w:t xml:space="preserve"> of July. Public call 01/2018 announced in November 2018 was for submission of applications under measure 3. Public call 02/2018 opened late in December 2018 for submitting applications only under measure 1.</w:t>
      </w:r>
    </w:p>
    <w:p w:rsidR="00036440" w:rsidRDefault="00036440" w:rsidP="003136C5">
      <w:pPr>
        <w:pStyle w:val="m343668044302477783m-3986873246552044066msolistparagraph"/>
        <w:spacing w:before="120" w:beforeAutospacing="0" w:after="0" w:afterAutospacing="0"/>
        <w:jc w:val="both"/>
        <w:rPr>
          <w:rFonts w:ascii="Arial" w:hAnsi="Arial" w:cs="Arial"/>
          <w:sz w:val="22"/>
          <w:szCs w:val="22"/>
          <w:lang w:val="en-US"/>
        </w:rPr>
      </w:pPr>
    </w:p>
    <w:p w:rsidR="00036440" w:rsidRPr="009C5096" w:rsidRDefault="00036440" w:rsidP="003136C5">
      <w:pPr>
        <w:pStyle w:val="m343668044302477783m-3986873246552044066msolistparagraph"/>
        <w:spacing w:before="120" w:beforeAutospacing="0" w:after="0" w:afterAutospacing="0"/>
        <w:jc w:val="both"/>
        <w:rPr>
          <w:rFonts w:ascii="Arial" w:eastAsia="Times New Roman" w:hAnsi="Arial" w:cs="Arial"/>
          <w:sz w:val="22"/>
          <w:szCs w:val="22"/>
          <w:lang w:val="en-US"/>
        </w:rPr>
      </w:pPr>
    </w:p>
    <w:p w:rsidR="003136C5" w:rsidRPr="00036440" w:rsidRDefault="003136C5" w:rsidP="003136C5">
      <w:pPr>
        <w:pStyle w:val="m343668044302477783m-3986873246552044066msolistparagraph"/>
        <w:spacing w:before="120" w:beforeAutospacing="0" w:after="0" w:afterAutospacing="0"/>
        <w:jc w:val="both"/>
        <w:rPr>
          <w:rFonts w:ascii="Arial" w:hAnsi="Arial" w:cs="Arial"/>
          <w:sz w:val="20"/>
          <w:szCs w:val="22"/>
          <w:lang w:val="en-US"/>
        </w:rPr>
      </w:pPr>
      <w:bookmarkStart w:id="32" w:name="_Toc6902275"/>
      <w:r w:rsidRPr="00036440">
        <w:rPr>
          <w:rFonts w:ascii="Arial" w:eastAsia="Times New Roman" w:hAnsi="Arial" w:cs="Arial"/>
          <w:sz w:val="20"/>
          <w:szCs w:val="22"/>
          <w:lang w:val="en-US"/>
        </w:rPr>
        <w:t xml:space="preserve">Table </w:t>
      </w:r>
      <w:r w:rsidRPr="00036440">
        <w:rPr>
          <w:rFonts w:ascii="Arial" w:eastAsia="Times New Roman" w:hAnsi="Arial" w:cs="Arial"/>
          <w:i/>
          <w:sz w:val="20"/>
          <w:szCs w:val="22"/>
          <w:lang w:val="en-US"/>
        </w:rPr>
        <w:fldChar w:fldCharType="begin"/>
      </w:r>
      <w:r w:rsidRPr="00036440">
        <w:rPr>
          <w:rFonts w:ascii="Arial" w:eastAsia="Times New Roman" w:hAnsi="Arial" w:cs="Arial"/>
          <w:sz w:val="20"/>
          <w:szCs w:val="22"/>
          <w:lang w:val="en-US"/>
        </w:rPr>
        <w:instrText xml:space="preserve"> SEQ Table \* ARABIC </w:instrText>
      </w:r>
      <w:r w:rsidRPr="00036440">
        <w:rPr>
          <w:rFonts w:ascii="Arial" w:eastAsia="Times New Roman" w:hAnsi="Arial" w:cs="Arial"/>
          <w:i/>
          <w:sz w:val="20"/>
          <w:szCs w:val="22"/>
          <w:lang w:val="en-US"/>
        </w:rPr>
        <w:fldChar w:fldCharType="separate"/>
      </w:r>
      <w:r w:rsidRPr="00036440">
        <w:rPr>
          <w:rFonts w:ascii="Arial" w:eastAsia="Times New Roman" w:hAnsi="Arial" w:cs="Arial"/>
          <w:sz w:val="20"/>
          <w:szCs w:val="22"/>
          <w:lang w:val="en-US"/>
        </w:rPr>
        <w:t>9</w:t>
      </w:r>
      <w:r w:rsidRPr="00036440">
        <w:rPr>
          <w:rFonts w:ascii="Arial" w:eastAsia="Times New Roman" w:hAnsi="Arial" w:cs="Arial"/>
          <w:i/>
          <w:sz w:val="20"/>
          <w:szCs w:val="22"/>
          <w:lang w:val="en-US"/>
        </w:rPr>
        <w:fldChar w:fldCharType="end"/>
      </w:r>
      <w:r w:rsidRPr="00036440">
        <w:rPr>
          <w:rFonts w:ascii="Arial" w:eastAsia="Times New Roman" w:hAnsi="Arial" w:cs="Arial"/>
          <w:sz w:val="20"/>
          <w:szCs w:val="22"/>
          <w:lang w:val="en-US"/>
        </w:rPr>
        <w:t>: Overview of implementation of IPARD per public calls in €</w:t>
      </w:r>
      <w:bookmarkEnd w:id="32"/>
    </w:p>
    <w:tbl>
      <w:tblPr>
        <w:tblpPr w:leftFromText="180" w:rightFromText="180" w:vertAnchor="text" w:horzAnchor="margin" w:tblpY="20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955"/>
        <w:gridCol w:w="900"/>
        <w:gridCol w:w="1440"/>
        <w:gridCol w:w="630"/>
        <w:gridCol w:w="1440"/>
        <w:gridCol w:w="720"/>
        <w:gridCol w:w="1530"/>
        <w:gridCol w:w="1136"/>
      </w:tblGrid>
      <w:tr w:rsidR="003136C5" w:rsidRPr="009C5096" w:rsidTr="003B72A1">
        <w:trPr>
          <w:trHeight w:val="275"/>
        </w:trPr>
        <w:tc>
          <w:tcPr>
            <w:tcW w:w="429" w:type="dxa"/>
            <w:vMerge w:val="restart"/>
            <w:tcBorders>
              <w:top w:val="single" w:sz="4" w:space="0" w:color="auto"/>
              <w:left w:val="single" w:sz="4" w:space="0" w:color="auto"/>
              <w:right w:val="single" w:sz="4" w:space="0" w:color="auto"/>
            </w:tcBorders>
            <w:shd w:val="clear" w:color="auto" w:fill="auto"/>
            <w:vAlign w:val="center"/>
          </w:tcPr>
          <w:p w:rsidR="003136C5" w:rsidRPr="009C5096" w:rsidRDefault="003136C5" w:rsidP="00612896">
            <w:pPr>
              <w:tabs>
                <w:tab w:val="left" w:pos="720"/>
              </w:tabs>
              <w:jc w:val="center"/>
              <w:rPr>
                <w:rFonts w:ascii="Arial" w:hAnsi="Arial" w:cs="Arial"/>
                <w:sz w:val="20"/>
                <w:szCs w:val="20"/>
                <w:lang w:eastAsia="zh-CN"/>
              </w:rPr>
            </w:pPr>
          </w:p>
        </w:tc>
        <w:tc>
          <w:tcPr>
            <w:tcW w:w="955" w:type="dxa"/>
            <w:vMerge w:val="restart"/>
            <w:tcBorders>
              <w:top w:val="single" w:sz="4" w:space="0" w:color="auto"/>
              <w:left w:val="single" w:sz="4" w:space="0" w:color="auto"/>
              <w:right w:val="single" w:sz="4" w:space="0" w:color="auto"/>
            </w:tcBorders>
            <w:shd w:val="clear" w:color="auto" w:fill="auto"/>
            <w:vAlign w:val="center"/>
          </w:tcPr>
          <w:p w:rsidR="003136C5" w:rsidRPr="009C5096" w:rsidRDefault="003136C5" w:rsidP="00612896">
            <w:pPr>
              <w:tabs>
                <w:tab w:val="left" w:pos="720"/>
              </w:tabs>
              <w:rPr>
                <w:rFonts w:ascii="Arial" w:hAnsi="Arial" w:cs="Arial"/>
                <w:sz w:val="20"/>
                <w:szCs w:val="20"/>
                <w:lang w:eastAsia="zh-CN"/>
              </w:rPr>
            </w:pPr>
            <w:r w:rsidRPr="009C5096">
              <w:rPr>
                <w:rFonts w:ascii="Arial" w:hAnsi="Arial" w:cs="Arial"/>
                <w:sz w:val="20"/>
                <w:szCs w:val="20"/>
                <w:lang w:eastAsia="zh-CN"/>
              </w:rPr>
              <w:t>Public call</w:t>
            </w:r>
          </w:p>
        </w:tc>
        <w:tc>
          <w:tcPr>
            <w:tcW w:w="6660" w:type="dxa"/>
            <w:gridSpan w:val="6"/>
            <w:tcBorders>
              <w:top w:val="single" w:sz="4" w:space="0" w:color="auto"/>
              <w:left w:val="single" w:sz="4" w:space="0" w:color="auto"/>
              <w:bottom w:val="single" w:sz="4" w:space="0" w:color="auto"/>
              <w:right w:val="single" w:sz="4" w:space="0" w:color="auto"/>
            </w:tcBorders>
            <w:shd w:val="clear" w:color="auto" w:fill="auto"/>
          </w:tcPr>
          <w:p w:rsidR="003136C5" w:rsidRPr="009C5096" w:rsidRDefault="003136C5" w:rsidP="00612896">
            <w:pPr>
              <w:tabs>
                <w:tab w:val="left" w:pos="720"/>
              </w:tabs>
              <w:jc w:val="center"/>
              <w:rPr>
                <w:rFonts w:ascii="Arial" w:hAnsi="Arial" w:cs="Arial"/>
                <w:sz w:val="20"/>
                <w:szCs w:val="20"/>
                <w:lang w:eastAsia="zh-CN"/>
              </w:rPr>
            </w:pPr>
            <w:r w:rsidRPr="009C5096">
              <w:rPr>
                <w:rFonts w:ascii="Arial" w:hAnsi="Arial" w:cs="Arial"/>
                <w:sz w:val="20"/>
                <w:szCs w:val="20"/>
                <w:lang w:eastAsia="zh-CN"/>
              </w:rPr>
              <w:t>Applications</w:t>
            </w:r>
          </w:p>
        </w:tc>
        <w:tc>
          <w:tcPr>
            <w:tcW w:w="1136" w:type="dxa"/>
            <w:vMerge w:val="restart"/>
            <w:tcBorders>
              <w:top w:val="single" w:sz="4" w:space="0" w:color="auto"/>
              <w:left w:val="single" w:sz="4" w:space="0" w:color="auto"/>
              <w:right w:val="single" w:sz="4" w:space="0" w:color="auto"/>
            </w:tcBorders>
          </w:tcPr>
          <w:p w:rsidR="003136C5" w:rsidRPr="009C5096" w:rsidRDefault="003136C5" w:rsidP="00612896">
            <w:pPr>
              <w:tabs>
                <w:tab w:val="left" w:pos="720"/>
              </w:tabs>
              <w:jc w:val="center"/>
              <w:rPr>
                <w:rFonts w:ascii="Arial" w:hAnsi="Arial" w:cs="Arial"/>
                <w:sz w:val="20"/>
                <w:szCs w:val="20"/>
                <w:lang w:eastAsia="zh-CN"/>
              </w:rPr>
            </w:pPr>
            <w:r w:rsidRPr="009C5096">
              <w:rPr>
                <w:rFonts w:ascii="Arial" w:hAnsi="Arial" w:cs="Arial"/>
                <w:sz w:val="20"/>
                <w:szCs w:val="20"/>
                <w:lang w:eastAsia="zh-CN"/>
              </w:rPr>
              <w:t xml:space="preserve">Time for processing </w:t>
            </w:r>
          </w:p>
        </w:tc>
      </w:tr>
      <w:tr w:rsidR="003136C5" w:rsidRPr="009C5096" w:rsidTr="003B72A1">
        <w:trPr>
          <w:trHeight w:val="275"/>
        </w:trPr>
        <w:tc>
          <w:tcPr>
            <w:tcW w:w="429" w:type="dxa"/>
            <w:vMerge/>
            <w:tcBorders>
              <w:left w:val="single" w:sz="4" w:space="0" w:color="auto"/>
              <w:right w:val="single" w:sz="4" w:space="0" w:color="auto"/>
            </w:tcBorders>
            <w:shd w:val="clear" w:color="auto" w:fill="auto"/>
            <w:vAlign w:val="center"/>
          </w:tcPr>
          <w:p w:rsidR="003136C5" w:rsidRPr="009C5096" w:rsidRDefault="003136C5" w:rsidP="00612896">
            <w:pPr>
              <w:tabs>
                <w:tab w:val="left" w:pos="720"/>
              </w:tabs>
              <w:jc w:val="center"/>
              <w:rPr>
                <w:rFonts w:ascii="Arial" w:hAnsi="Arial" w:cs="Arial"/>
                <w:sz w:val="20"/>
                <w:szCs w:val="20"/>
                <w:lang w:eastAsia="zh-CN"/>
              </w:rPr>
            </w:pPr>
          </w:p>
        </w:tc>
        <w:tc>
          <w:tcPr>
            <w:tcW w:w="955" w:type="dxa"/>
            <w:vMerge/>
            <w:tcBorders>
              <w:left w:val="single" w:sz="4" w:space="0" w:color="auto"/>
              <w:right w:val="single" w:sz="4" w:space="0" w:color="auto"/>
            </w:tcBorders>
            <w:shd w:val="clear" w:color="auto" w:fill="auto"/>
            <w:vAlign w:val="center"/>
            <w:hideMark/>
          </w:tcPr>
          <w:p w:rsidR="003136C5" w:rsidRPr="009C5096" w:rsidRDefault="003136C5" w:rsidP="00612896">
            <w:pPr>
              <w:tabs>
                <w:tab w:val="left" w:pos="720"/>
              </w:tabs>
              <w:rPr>
                <w:rFonts w:ascii="Arial" w:hAnsi="Arial" w:cs="Arial"/>
                <w:sz w:val="20"/>
                <w:szCs w:val="20"/>
                <w:lang w:eastAsia="zh-CN"/>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3136C5" w:rsidRPr="009C5096" w:rsidRDefault="003136C5" w:rsidP="00612896">
            <w:pPr>
              <w:tabs>
                <w:tab w:val="left" w:pos="720"/>
              </w:tabs>
              <w:jc w:val="center"/>
              <w:rPr>
                <w:rFonts w:ascii="Arial" w:hAnsi="Arial" w:cs="Arial"/>
                <w:sz w:val="20"/>
                <w:szCs w:val="20"/>
                <w:lang w:eastAsia="zh-CN"/>
              </w:rPr>
            </w:pPr>
            <w:r w:rsidRPr="009C5096">
              <w:rPr>
                <w:rFonts w:ascii="Arial" w:hAnsi="Arial" w:cs="Arial"/>
                <w:sz w:val="20"/>
                <w:szCs w:val="20"/>
                <w:lang w:eastAsia="zh-CN"/>
              </w:rPr>
              <w:t>Submitted</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6C5" w:rsidRPr="009C5096" w:rsidRDefault="003136C5" w:rsidP="00612896">
            <w:pPr>
              <w:tabs>
                <w:tab w:val="left" w:pos="720"/>
              </w:tabs>
              <w:jc w:val="center"/>
              <w:rPr>
                <w:rFonts w:ascii="Arial" w:hAnsi="Arial" w:cs="Arial"/>
                <w:sz w:val="20"/>
                <w:szCs w:val="20"/>
                <w:lang w:eastAsia="zh-CN"/>
              </w:rPr>
            </w:pPr>
            <w:r w:rsidRPr="009C5096">
              <w:rPr>
                <w:rFonts w:ascii="Arial" w:hAnsi="Arial" w:cs="Arial"/>
                <w:sz w:val="20"/>
                <w:szCs w:val="20"/>
                <w:lang w:eastAsia="zh-CN"/>
              </w:rPr>
              <w:t>Contracted</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6C5" w:rsidRPr="009C5096" w:rsidRDefault="003136C5" w:rsidP="00612896">
            <w:pPr>
              <w:tabs>
                <w:tab w:val="left" w:pos="720"/>
              </w:tabs>
              <w:jc w:val="center"/>
              <w:rPr>
                <w:rFonts w:ascii="Arial" w:hAnsi="Arial" w:cs="Arial"/>
                <w:sz w:val="20"/>
                <w:szCs w:val="20"/>
                <w:lang w:eastAsia="zh-CN"/>
              </w:rPr>
            </w:pPr>
            <w:r w:rsidRPr="009C5096">
              <w:rPr>
                <w:rFonts w:ascii="Arial" w:hAnsi="Arial" w:cs="Arial"/>
                <w:sz w:val="20"/>
                <w:szCs w:val="20"/>
                <w:lang w:eastAsia="zh-CN"/>
              </w:rPr>
              <w:t>Paid</w:t>
            </w:r>
          </w:p>
        </w:tc>
        <w:tc>
          <w:tcPr>
            <w:tcW w:w="1136" w:type="dxa"/>
            <w:vMerge/>
            <w:tcBorders>
              <w:left w:val="single" w:sz="4" w:space="0" w:color="auto"/>
              <w:bottom w:val="single" w:sz="4" w:space="0" w:color="auto"/>
              <w:right w:val="single" w:sz="4" w:space="0" w:color="auto"/>
            </w:tcBorders>
          </w:tcPr>
          <w:p w:rsidR="003136C5" w:rsidRPr="009C5096" w:rsidRDefault="003136C5" w:rsidP="00612896">
            <w:pPr>
              <w:tabs>
                <w:tab w:val="left" w:pos="720"/>
              </w:tabs>
              <w:jc w:val="center"/>
              <w:rPr>
                <w:rFonts w:ascii="Arial" w:hAnsi="Arial" w:cs="Arial"/>
                <w:sz w:val="20"/>
                <w:szCs w:val="20"/>
                <w:lang w:eastAsia="zh-CN"/>
              </w:rPr>
            </w:pPr>
          </w:p>
        </w:tc>
      </w:tr>
      <w:tr w:rsidR="003136C5" w:rsidRPr="009C5096" w:rsidTr="003B72A1">
        <w:trPr>
          <w:trHeight w:val="251"/>
        </w:trPr>
        <w:tc>
          <w:tcPr>
            <w:tcW w:w="429" w:type="dxa"/>
            <w:vMerge/>
            <w:tcBorders>
              <w:left w:val="single" w:sz="4" w:space="0" w:color="auto"/>
              <w:bottom w:val="single" w:sz="4" w:space="0" w:color="auto"/>
              <w:right w:val="single" w:sz="4" w:space="0" w:color="auto"/>
            </w:tcBorders>
            <w:shd w:val="clear" w:color="auto" w:fill="auto"/>
            <w:vAlign w:val="center"/>
            <w:hideMark/>
          </w:tcPr>
          <w:p w:rsidR="003136C5" w:rsidRPr="009C5096" w:rsidRDefault="003136C5" w:rsidP="00612896">
            <w:pPr>
              <w:rPr>
                <w:rFonts w:ascii="Arial" w:hAnsi="Arial" w:cs="Arial"/>
                <w:sz w:val="20"/>
                <w:szCs w:val="20"/>
                <w:lang w:eastAsia="zh-CN"/>
              </w:rPr>
            </w:pPr>
          </w:p>
        </w:tc>
        <w:tc>
          <w:tcPr>
            <w:tcW w:w="955" w:type="dxa"/>
            <w:vMerge/>
            <w:tcBorders>
              <w:left w:val="single" w:sz="4" w:space="0" w:color="auto"/>
              <w:bottom w:val="single" w:sz="4" w:space="0" w:color="auto"/>
              <w:right w:val="single" w:sz="4" w:space="0" w:color="auto"/>
            </w:tcBorders>
            <w:shd w:val="clear" w:color="auto" w:fill="auto"/>
            <w:vAlign w:val="center"/>
            <w:hideMark/>
          </w:tcPr>
          <w:p w:rsidR="003136C5" w:rsidRPr="009C5096" w:rsidRDefault="003136C5" w:rsidP="00612896">
            <w:pPr>
              <w:rPr>
                <w:rFonts w:ascii="Arial" w:hAnsi="Arial" w:cs="Arial"/>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612896">
            <w:pPr>
              <w:tabs>
                <w:tab w:val="left" w:pos="720"/>
              </w:tabs>
              <w:ind w:right="-108"/>
              <w:jc w:val="center"/>
              <w:rPr>
                <w:rFonts w:ascii="Arial" w:hAnsi="Arial" w:cs="Arial"/>
                <w:sz w:val="20"/>
                <w:szCs w:val="20"/>
                <w:lang w:eastAsia="zh-CN"/>
              </w:rPr>
            </w:pPr>
            <w:r w:rsidRPr="009C5096">
              <w:rPr>
                <w:rFonts w:ascii="Arial" w:hAnsi="Arial" w:cs="Arial"/>
                <w:sz w:val="20"/>
                <w:szCs w:val="20"/>
                <w:lang w:eastAsia="zh-CN"/>
              </w:rPr>
              <w:t>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612896">
            <w:pPr>
              <w:tabs>
                <w:tab w:val="left" w:pos="720"/>
              </w:tabs>
              <w:jc w:val="center"/>
              <w:rPr>
                <w:rFonts w:ascii="Arial" w:hAnsi="Arial" w:cs="Arial"/>
                <w:sz w:val="20"/>
                <w:szCs w:val="20"/>
                <w:lang w:eastAsia="zh-CN"/>
              </w:rPr>
            </w:pPr>
            <w:r w:rsidRPr="009C5096">
              <w:rPr>
                <w:rFonts w:ascii="Arial" w:hAnsi="Arial" w:cs="Arial"/>
                <w:bCs/>
                <w:sz w:val="20"/>
                <w:szCs w:val="20"/>
                <w:lang w:eastAsia="mk-MK"/>
              </w:rPr>
              <w:t>EU contribution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C5" w:rsidRPr="009C5096" w:rsidRDefault="003136C5" w:rsidP="00612896">
            <w:pPr>
              <w:tabs>
                <w:tab w:val="left" w:pos="720"/>
              </w:tabs>
              <w:jc w:val="center"/>
              <w:rPr>
                <w:rFonts w:ascii="Arial" w:hAnsi="Arial" w:cs="Arial"/>
                <w:sz w:val="20"/>
                <w:szCs w:val="20"/>
                <w:lang w:eastAsia="zh-CN"/>
              </w:rPr>
            </w:pPr>
            <w:r w:rsidRPr="009C5096">
              <w:rPr>
                <w:rFonts w:ascii="Arial" w:hAnsi="Arial" w:cs="Arial"/>
                <w:sz w:val="20"/>
                <w:szCs w:val="20"/>
                <w:lang w:eastAsia="zh-CN"/>
              </w:rPr>
              <w:t>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C5" w:rsidRPr="009C5096" w:rsidRDefault="003136C5" w:rsidP="00612896">
            <w:pPr>
              <w:tabs>
                <w:tab w:val="left" w:pos="720"/>
              </w:tabs>
              <w:jc w:val="center"/>
              <w:rPr>
                <w:rFonts w:ascii="Arial" w:hAnsi="Arial" w:cs="Arial"/>
                <w:sz w:val="20"/>
                <w:szCs w:val="20"/>
                <w:lang w:eastAsia="zh-CN"/>
              </w:rPr>
            </w:pPr>
            <w:r w:rsidRPr="009C5096">
              <w:rPr>
                <w:rFonts w:ascii="Arial" w:hAnsi="Arial" w:cs="Arial"/>
                <w:bCs/>
                <w:sz w:val="20"/>
                <w:szCs w:val="20"/>
                <w:lang w:eastAsia="mk-MK"/>
              </w:rPr>
              <w:t>EU contribution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C5" w:rsidRPr="009C5096" w:rsidRDefault="003136C5" w:rsidP="00612896">
            <w:pPr>
              <w:tabs>
                <w:tab w:val="left" w:pos="720"/>
              </w:tabs>
              <w:jc w:val="center"/>
              <w:rPr>
                <w:rFonts w:ascii="Arial" w:hAnsi="Arial" w:cs="Arial"/>
                <w:sz w:val="20"/>
                <w:szCs w:val="20"/>
                <w:lang w:eastAsia="zh-CN"/>
              </w:rPr>
            </w:pPr>
            <w:r w:rsidRPr="009C5096">
              <w:rPr>
                <w:rFonts w:ascii="Arial" w:hAnsi="Arial" w:cs="Arial"/>
                <w:sz w:val="20"/>
                <w:szCs w:val="20"/>
                <w:lang w:eastAsia="zh-CN"/>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C5" w:rsidRPr="009C5096" w:rsidRDefault="003136C5" w:rsidP="00612896">
            <w:pPr>
              <w:tabs>
                <w:tab w:val="left" w:pos="720"/>
              </w:tabs>
              <w:jc w:val="center"/>
              <w:rPr>
                <w:rFonts w:ascii="Arial" w:hAnsi="Arial" w:cs="Arial"/>
                <w:sz w:val="20"/>
                <w:szCs w:val="20"/>
                <w:lang w:eastAsia="zh-CN"/>
              </w:rPr>
            </w:pPr>
            <w:r w:rsidRPr="009C5096">
              <w:rPr>
                <w:rFonts w:ascii="Arial" w:hAnsi="Arial" w:cs="Arial"/>
                <w:bCs/>
                <w:sz w:val="20"/>
                <w:szCs w:val="20"/>
                <w:lang w:eastAsia="mk-MK"/>
              </w:rPr>
              <w:t>EU contribution</w:t>
            </w:r>
          </w:p>
        </w:tc>
        <w:tc>
          <w:tcPr>
            <w:tcW w:w="1136" w:type="dxa"/>
            <w:tcBorders>
              <w:top w:val="single" w:sz="4" w:space="0" w:color="auto"/>
              <w:left w:val="single" w:sz="4" w:space="0" w:color="auto"/>
              <w:bottom w:val="single" w:sz="4" w:space="0" w:color="auto"/>
              <w:right w:val="single" w:sz="4" w:space="0" w:color="auto"/>
            </w:tcBorders>
          </w:tcPr>
          <w:p w:rsidR="003136C5" w:rsidRPr="009C5096" w:rsidRDefault="003136C5" w:rsidP="00612896">
            <w:pPr>
              <w:tabs>
                <w:tab w:val="left" w:pos="720"/>
              </w:tabs>
              <w:jc w:val="center"/>
              <w:rPr>
                <w:rFonts w:ascii="Arial" w:hAnsi="Arial" w:cs="Arial"/>
                <w:bCs/>
                <w:sz w:val="20"/>
                <w:szCs w:val="20"/>
                <w:lang w:eastAsia="mk-MK"/>
              </w:rPr>
            </w:pPr>
          </w:p>
        </w:tc>
      </w:tr>
      <w:tr w:rsidR="003136C5" w:rsidRPr="009C5096" w:rsidTr="003B72A1">
        <w:trPr>
          <w:trHeight w:val="365"/>
        </w:trPr>
        <w:tc>
          <w:tcPr>
            <w:tcW w:w="429" w:type="dxa"/>
            <w:tcBorders>
              <w:top w:val="single" w:sz="4" w:space="0" w:color="auto"/>
              <w:left w:val="single" w:sz="4" w:space="0" w:color="auto"/>
              <w:bottom w:val="single" w:sz="4" w:space="0" w:color="auto"/>
              <w:right w:val="single" w:sz="4" w:space="0" w:color="auto"/>
            </w:tcBorders>
            <w:vAlign w:val="center"/>
            <w:hideMark/>
          </w:tcPr>
          <w:p w:rsidR="003136C5" w:rsidRPr="009C5096" w:rsidRDefault="003136C5" w:rsidP="00612896">
            <w:pPr>
              <w:ind w:right="-108"/>
              <w:rPr>
                <w:rFonts w:ascii="Arial" w:hAnsi="Arial" w:cs="Arial"/>
                <w:bCs/>
                <w:sz w:val="20"/>
                <w:szCs w:val="20"/>
                <w:lang w:eastAsia="mk-MK"/>
              </w:rPr>
            </w:pPr>
            <w:r w:rsidRPr="009C5096">
              <w:rPr>
                <w:rFonts w:ascii="Arial" w:hAnsi="Arial" w:cs="Arial"/>
                <w:bCs/>
                <w:sz w:val="20"/>
                <w:szCs w:val="20"/>
                <w:lang w:eastAsia="mk-MK"/>
              </w:rPr>
              <w:t>1</w:t>
            </w:r>
          </w:p>
        </w:tc>
        <w:tc>
          <w:tcPr>
            <w:tcW w:w="955" w:type="dxa"/>
            <w:tcBorders>
              <w:top w:val="single" w:sz="4" w:space="0" w:color="auto"/>
              <w:left w:val="single" w:sz="4" w:space="0" w:color="auto"/>
              <w:bottom w:val="single" w:sz="4" w:space="0" w:color="auto"/>
              <w:right w:val="single" w:sz="4" w:space="0" w:color="auto"/>
            </w:tcBorders>
            <w:vAlign w:val="center"/>
            <w:hideMark/>
          </w:tcPr>
          <w:p w:rsidR="003136C5" w:rsidRPr="009C5096" w:rsidRDefault="003136C5" w:rsidP="00612896">
            <w:pPr>
              <w:ind w:right="-108"/>
              <w:rPr>
                <w:rFonts w:ascii="Arial" w:hAnsi="Arial" w:cs="Arial"/>
                <w:bCs/>
                <w:sz w:val="20"/>
                <w:szCs w:val="20"/>
                <w:lang w:eastAsia="mk-MK"/>
              </w:rPr>
            </w:pPr>
            <w:r w:rsidRPr="009C5096">
              <w:rPr>
                <w:rFonts w:ascii="Arial" w:hAnsi="Arial" w:cs="Arial"/>
                <w:bCs/>
                <w:sz w:val="20"/>
                <w:szCs w:val="20"/>
                <w:lang w:eastAsia="mk-MK"/>
              </w:rPr>
              <w:t>01/2017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284EB1">
            <w:pPr>
              <w:ind w:right="-108"/>
              <w:jc w:val="center"/>
              <w:rPr>
                <w:rFonts w:ascii="Arial" w:hAnsi="Arial" w:cs="Arial"/>
                <w:bCs/>
                <w:sz w:val="20"/>
                <w:szCs w:val="20"/>
                <w:lang w:eastAsia="mk-MK"/>
              </w:rPr>
            </w:pPr>
            <w:r w:rsidRPr="009C5096">
              <w:rPr>
                <w:rFonts w:ascii="Arial" w:hAnsi="Arial" w:cs="Arial"/>
                <w:bCs/>
                <w:sz w:val="20"/>
                <w:szCs w:val="20"/>
                <w:lang w:eastAsia="mk-MK"/>
              </w:rPr>
              <w:t>1</w:t>
            </w:r>
            <w:r w:rsidR="00284EB1">
              <w:rPr>
                <w:rFonts w:ascii="Arial" w:hAnsi="Arial" w:cs="Arial"/>
                <w:bCs/>
                <w:sz w:val="20"/>
                <w:szCs w:val="20"/>
                <w:lang w:eastAsia="mk-MK"/>
              </w:rPr>
              <w:t>,</w:t>
            </w:r>
            <w:r w:rsidRPr="009C5096">
              <w:rPr>
                <w:rFonts w:ascii="Arial" w:hAnsi="Arial" w:cs="Arial"/>
                <w:bCs/>
                <w:sz w:val="20"/>
                <w:szCs w:val="20"/>
                <w:lang w:eastAsia="mk-MK"/>
              </w:rPr>
              <w:t>651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284EB1">
            <w:pPr>
              <w:jc w:val="right"/>
              <w:rPr>
                <w:rFonts w:ascii="Arial" w:hAnsi="Arial" w:cs="Arial"/>
                <w:bCs/>
                <w:sz w:val="20"/>
                <w:szCs w:val="20"/>
                <w:lang w:eastAsia="mk-MK"/>
              </w:rPr>
            </w:pPr>
            <w:r w:rsidRPr="009C5096">
              <w:rPr>
                <w:rFonts w:ascii="Arial" w:hAnsi="Arial" w:cs="Arial"/>
                <w:bCs/>
                <w:sz w:val="20"/>
                <w:szCs w:val="20"/>
                <w:lang w:eastAsia="mk-MK"/>
              </w:rPr>
              <w:t>72</w:t>
            </w:r>
            <w:r w:rsidR="00284EB1">
              <w:rPr>
                <w:rFonts w:ascii="Arial" w:hAnsi="Arial" w:cs="Arial"/>
                <w:bCs/>
                <w:sz w:val="20"/>
                <w:szCs w:val="20"/>
                <w:lang w:eastAsia="mk-MK"/>
              </w:rPr>
              <w:t>,</w:t>
            </w:r>
            <w:r w:rsidRPr="009C5096">
              <w:rPr>
                <w:rFonts w:ascii="Arial" w:hAnsi="Arial" w:cs="Arial"/>
                <w:bCs/>
                <w:sz w:val="20"/>
                <w:szCs w:val="20"/>
                <w:lang w:eastAsia="mk-MK"/>
              </w:rPr>
              <w:t>333</w:t>
            </w:r>
            <w:r w:rsidR="00284EB1">
              <w:rPr>
                <w:rFonts w:ascii="Arial" w:hAnsi="Arial" w:cs="Arial"/>
                <w:bCs/>
                <w:sz w:val="20"/>
                <w:szCs w:val="20"/>
                <w:lang w:eastAsia="mk-MK"/>
              </w:rPr>
              <w:t>,</w:t>
            </w:r>
            <w:r w:rsidRPr="009C5096">
              <w:rPr>
                <w:rFonts w:ascii="Arial" w:hAnsi="Arial" w:cs="Arial"/>
                <w:bCs/>
                <w:sz w:val="20"/>
                <w:szCs w:val="20"/>
                <w:lang w:eastAsia="mk-MK"/>
              </w:rPr>
              <w:t>821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612896">
            <w:pPr>
              <w:ind w:right="-108"/>
              <w:jc w:val="center"/>
              <w:rPr>
                <w:rFonts w:ascii="Arial" w:hAnsi="Arial" w:cs="Arial"/>
                <w:bCs/>
                <w:sz w:val="20"/>
                <w:szCs w:val="20"/>
                <w:lang w:eastAsia="mk-MK"/>
              </w:rPr>
            </w:pPr>
            <w:r w:rsidRPr="009C5096">
              <w:rPr>
                <w:rFonts w:ascii="Arial" w:hAnsi="Arial" w:cs="Arial"/>
                <w:bCs/>
                <w:sz w:val="20"/>
                <w:szCs w:val="20"/>
                <w:lang w:eastAsia="mk-MK"/>
              </w:rPr>
              <w:t>955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284EB1">
            <w:pPr>
              <w:jc w:val="right"/>
              <w:rPr>
                <w:rFonts w:ascii="Arial" w:hAnsi="Arial" w:cs="Arial"/>
                <w:bCs/>
                <w:sz w:val="20"/>
                <w:szCs w:val="20"/>
                <w:lang w:eastAsia="mk-MK"/>
              </w:rPr>
            </w:pPr>
            <w:r w:rsidRPr="009C5096">
              <w:rPr>
                <w:rFonts w:ascii="Arial" w:hAnsi="Arial" w:cs="Arial"/>
                <w:bCs/>
                <w:sz w:val="20"/>
                <w:szCs w:val="20"/>
                <w:lang w:eastAsia="mk-MK"/>
              </w:rPr>
              <w:t>15</w:t>
            </w:r>
            <w:r w:rsidR="00284EB1">
              <w:rPr>
                <w:rFonts w:ascii="Arial" w:hAnsi="Arial" w:cs="Arial"/>
                <w:bCs/>
                <w:sz w:val="20"/>
                <w:szCs w:val="20"/>
                <w:lang w:eastAsia="mk-MK"/>
              </w:rPr>
              <w:t>,</w:t>
            </w:r>
            <w:r w:rsidRPr="009C5096">
              <w:rPr>
                <w:rFonts w:ascii="Arial" w:hAnsi="Arial" w:cs="Arial"/>
                <w:bCs/>
                <w:sz w:val="20"/>
                <w:szCs w:val="20"/>
                <w:lang w:eastAsia="mk-MK"/>
              </w:rPr>
              <w:t>345</w:t>
            </w:r>
            <w:r w:rsidR="00284EB1">
              <w:rPr>
                <w:rFonts w:ascii="Arial" w:hAnsi="Arial" w:cs="Arial"/>
                <w:bCs/>
                <w:sz w:val="20"/>
                <w:szCs w:val="20"/>
                <w:lang w:eastAsia="mk-MK"/>
              </w:rPr>
              <w:t>,</w:t>
            </w:r>
            <w:r w:rsidRPr="009C5096">
              <w:rPr>
                <w:rFonts w:ascii="Arial" w:hAnsi="Arial" w:cs="Arial"/>
                <w:bCs/>
                <w:sz w:val="20"/>
                <w:szCs w:val="20"/>
                <w:lang w:eastAsia="mk-MK"/>
              </w:rPr>
              <w:t>355</w:t>
            </w:r>
          </w:p>
        </w:tc>
        <w:tc>
          <w:tcPr>
            <w:tcW w:w="720" w:type="dxa"/>
            <w:tcBorders>
              <w:top w:val="single" w:sz="4" w:space="0" w:color="auto"/>
              <w:left w:val="single" w:sz="4" w:space="0" w:color="auto"/>
              <w:bottom w:val="single" w:sz="4" w:space="0" w:color="auto"/>
              <w:right w:val="single" w:sz="4" w:space="0" w:color="auto"/>
            </w:tcBorders>
            <w:vAlign w:val="center"/>
          </w:tcPr>
          <w:p w:rsidR="003136C5" w:rsidRPr="009C5096" w:rsidRDefault="003136C5" w:rsidP="00612896">
            <w:pPr>
              <w:ind w:right="-108"/>
              <w:jc w:val="center"/>
              <w:rPr>
                <w:rFonts w:ascii="Arial" w:hAnsi="Arial" w:cs="Arial"/>
                <w:bCs/>
                <w:sz w:val="20"/>
                <w:szCs w:val="20"/>
                <w:lang w:eastAsia="mk-MK"/>
              </w:rPr>
            </w:pPr>
            <w:r w:rsidRPr="009C5096">
              <w:rPr>
                <w:rFonts w:ascii="Arial" w:hAnsi="Arial" w:cs="Arial"/>
                <w:bCs/>
                <w:sz w:val="20"/>
                <w:szCs w:val="20"/>
                <w:lang w:eastAsia="mk-MK"/>
              </w:rPr>
              <w:t>127</w:t>
            </w:r>
          </w:p>
        </w:tc>
        <w:tc>
          <w:tcPr>
            <w:tcW w:w="1530" w:type="dxa"/>
            <w:tcBorders>
              <w:top w:val="single" w:sz="4" w:space="0" w:color="auto"/>
              <w:left w:val="single" w:sz="4" w:space="0" w:color="auto"/>
              <w:bottom w:val="single" w:sz="4" w:space="0" w:color="auto"/>
              <w:right w:val="single" w:sz="4" w:space="0" w:color="auto"/>
            </w:tcBorders>
            <w:vAlign w:val="center"/>
          </w:tcPr>
          <w:p w:rsidR="003136C5" w:rsidRPr="009C5096" w:rsidRDefault="003136C5" w:rsidP="00284EB1">
            <w:pPr>
              <w:jc w:val="right"/>
              <w:rPr>
                <w:rFonts w:ascii="Arial" w:hAnsi="Arial" w:cs="Arial"/>
                <w:bCs/>
                <w:sz w:val="20"/>
                <w:szCs w:val="20"/>
                <w:lang w:eastAsia="mk-MK"/>
              </w:rPr>
            </w:pPr>
            <w:r w:rsidRPr="009C5096">
              <w:rPr>
                <w:rFonts w:ascii="Arial" w:hAnsi="Arial" w:cs="Arial"/>
                <w:bCs/>
                <w:sz w:val="20"/>
                <w:szCs w:val="20"/>
                <w:lang w:eastAsia="mk-MK"/>
              </w:rPr>
              <w:t>1</w:t>
            </w:r>
            <w:r w:rsidR="00284EB1">
              <w:rPr>
                <w:rFonts w:ascii="Arial" w:hAnsi="Arial" w:cs="Arial"/>
                <w:bCs/>
                <w:sz w:val="20"/>
                <w:szCs w:val="20"/>
                <w:lang w:eastAsia="mk-MK"/>
              </w:rPr>
              <w:t>,</w:t>
            </w:r>
            <w:r w:rsidRPr="009C5096">
              <w:rPr>
                <w:rFonts w:ascii="Arial" w:hAnsi="Arial" w:cs="Arial"/>
                <w:bCs/>
                <w:sz w:val="20"/>
                <w:szCs w:val="20"/>
                <w:lang w:eastAsia="mk-MK"/>
              </w:rPr>
              <w:t>002</w:t>
            </w:r>
            <w:r w:rsidR="00284EB1">
              <w:rPr>
                <w:rFonts w:ascii="Arial" w:hAnsi="Arial" w:cs="Arial"/>
                <w:bCs/>
                <w:sz w:val="20"/>
                <w:szCs w:val="20"/>
                <w:lang w:eastAsia="mk-MK"/>
              </w:rPr>
              <w:t>,</w:t>
            </w:r>
            <w:r w:rsidRPr="009C5096">
              <w:rPr>
                <w:rFonts w:ascii="Arial" w:hAnsi="Arial" w:cs="Arial"/>
                <w:bCs/>
                <w:sz w:val="20"/>
                <w:szCs w:val="20"/>
                <w:lang w:eastAsia="mk-MK"/>
              </w:rPr>
              <w:t>784</w:t>
            </w:r>
          </w:p>
        </w:tc>
        <w:tc>
          <w:tcPr>
            <w:tcW w:w="1136" w:type="dxa"/>
            <w:tcBorders>
              <w:top w:val="single" w:sz="4" w:space="0" w:color="auto"/>
              <w:left w:val="single" w:sz="4" w:space="0" w:color="auto"/>
              <w:bottom w:val="single" w:sz="4" w:space="0" w:color="auto"/>
              <w:right w:val="single" w:sz="4" w:space="0" w:color="auto"/>
            </w:tcBorders>
          </w:tcPr>
          <w:p w:rsidR="003136C5" w:rsidRPr="009C5096" w:rsidRDefault="003136C5" w:rsidP="00612896">
            <w:pPr>
              <w:jc w:val="right"/>
              <w:rPr>
                <w:rFonts w:ascii="Arial" w:hAnsi="Arial" w:cs="Arial"/>
                <w:bCs/>
                <w:sz w:val="20"/>
                <w:szCs w:val="20"/>
                <w:lang w:eastAsia="mk-MK"/>
              </w:rPr>
            </w:pPr>
            <w:r w:rsidRPr="009C5096">
              <w:rPr>
                <w:rFonts w:ascii="Arial" w:hAnsi="Arial" w:cs="Arial"/>
                <w:bCs/>
                <w:sz w:val="20"/>
                <w:szCs w:val="20"/>
                <w:lang w:eastAsia="mk-MK"/>
              </w:rPr>
              <w:t>14 months</w:t>
            </w:r>
          </w:p>
        </w:tc>
      </w:tr>
      <w:tr w:rsidR="003136C5" w:rsidRPr="009C5096" w:rsidTr="003B72A1">
        <w:trPr>
          <w:trHeight w:val="365"/>
        </w:trPr>
        <w:tc>
          <w:tcPr>
            <w:tcW w:w="429" w:type="dxa"/>
            <w:tcBorders>
              <w:top w:val="single" w:sz="4" w:space="0" w:color="auto"/>
              <w:left w:val="single" w:sz="4" w:space="0" w:color="auto"/>
              <w:bottom w:val="single" w:sz="4" w:space="0" w:color="auto"/>
              <w:right w:val="single" w:sz="4" w:space="0" w:color="auto"/>
            </w:tcBorders>
            <w:vAlign w:val="center"/>
          </w:tcPr>
          <w:p w:rsidR="003136C5" w:rsidRPr="009C5096" w:rsidRDefault="003136C5" w:rsidP="00612896">
            <w:pPr>
              <w:ind w:right="-108"/>
              <w:rPr>
                <w:rFonts w:ascii="Arial" w:hAnsi="Arial" w:cs="Arial"/>
                <w:bCs/>
                <w:sz w:val="20"/>
                <w:szCs w:val="20"/>
                <w:lang w:eastAsia="mk-MK"/>
              </w:rPr>
            </w:pPr>
            <w:r w:rsidRPr="009C5096">
              <w:rPr>
                <w:rFonts w:ascii="Arial" w:hAnsi="Arial" w:cs="Arial"/>
                <w:bCs/>
                <w:sz w:val="20"/>
                <w:szCs w:val="20"/>
                <w:lang w:eastAsia="mk-MK"/>
              </w:rPr>
              <w:t>2</w:t>
            </w:r>
          </w:p>
        </w:tc>
        <w:tc>
          <w:tcPr>
            <w:tcW w:w="955" w:type="dxa"/>
            <w:tcBorders>
              <w:top w:val="single" w:sz="4" w:space="0" w:color="auto"/>
              <w:left w:val="single" w:sz="4" w:space="0" w:color="auto"/>
              <w:bottom w:val="single" w:sz="4" w:space="0" w:color="auto"/>
              <w:right w:val="single" w:sz="4" w:space="0" w:color="auto"/>
            </w:tcBorders>
            <w:vAlign w:val="center"/>
          </w:tcPr>
          <w:p w:rsidR="003136C5" w:rsidRPr="009C5096" w:rsidRDefault="003136C5" w:rsidP="00612896">
            <w:pPr>
              <w:ind w:right="-108"/>
              <w:rPr>
                <w:rFonts w:ascii="Arial" w:hAnsi="Arial" w:cs="Arial"/>
                <w:bCs/>
                <w:sz w:val="20"/>
                <w:szCs w:val="20"/>
                <w:lang w:eastAsia="mk-MK"/>
              </w:rPr>
            </w:pPr>
            <w:r w:rsidRPr="009C5096">
              <w:rPr>
                <w:rFonts w:ascii="Arial" w:hAnsi="Arial" w:cs="Arial"/>
                <w:bCs/>
                <w:sz w:val="20"/>
                <w:szCs w:val="20"/>
                <w:lang w:eastAsia="mk-MK"/>
              </w:rPr>
              <w:t>01/2018</w:t>
            </w:r>
            <w:r w:rsidRPr="009C5096">
              <w:rPr>
                <w:rStyle w:val="FootnoteReference"/>
                <w:rFonts w:ascii="Arial" w:hAnsi="Arial" w:cs="Arial"/>
                <w:bCs/>
                <w:sz w:val="20"/>
                <w:szCs w:val="20"/>
                <w:lang w:eastAsia="mk-MK"/>
              </w:rPr>
              <w:footnoteReference w:id="2"/>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612896">
            <w:pPr>
              <w:ind w:right="-108"/>
              <w:jc w:val="center"/>
              <w:rPr>
                <w:rFonts w:ascii="Arial" w:hAnsi="Arial" w:cs="Arial"/>
                <w:bCs/>
                <w:sz w:val="20"/>
                <w:szCs w:val="20"/>
                <w:lang w:eastAsia="mk-MK"/>
              </w:rPr>
            </w:pPr>
            <w:r w:rsidRPr="009C5096">
              <w:rPr>
                <w:rFonts w:ascii="Arial" w:hAnsi="Arial" w:cs="Arial"/>
                <w:bCs/>
                <w:sz w:val="20"/>
                <w:szCs w:val="20"/>
                <w:lang w:eastAsia="mk-MK"/>
              </w:rPr>
              <w:t>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284EB1">
            <w:pPr>
              <w:jc w:val="right"/>
              <w:rPr>
                <w:rFonts w:ascii="Arial" w:hAnsi="Arial" w:cs="Arial"/>
                <w:bCs/>
                <w:sz w:val="20"/>
                <w:szCs w:val="20"/>
                <w:lang w:eastAsia="mk-MK"/>
              </w:rPr>
            </w:pPr>
            <w:r w:rsidRPr="009C5096">
              <w:rPr>
                <w:rFonts w:ascii="Arial" w:hAnsi="Arial" w:cs="Arial"/>
                <w:bCs/>
                <w:sz w:val="20"/>
                <w:szCs w:val="20"/>
                <w:lang w:eastAsia="mk-MK"/>
              </w:rPr>
              <w:t>15</w:t>
            </w:r>
            <w:r w:rsidR="00284EB1">
              <w:rPr>
                <w:rFonts w:ascii="Arial" w:hAnsi="Arial" w:cs="Arial"/>
                <w:bCs/>
                <w:sz w:val="20"/>
                <w:szCs w:val="20"/>
                <w:lang w:eastAsia="mk-MK"/>
              </w:rPr>
              <w:t>,</w:t>
            </w:r>
            <w:r w:rsidRPr="009C5096">
              <w:rPr>
                <w:rFonts w:ascii="Arial" w:hAnsi="Arial" w:cs="Arial"/>
                <w:bCs/>
                <w:sz w:val="20"/>
                <w:szCs w:val="20"/>
                <w:lang w:eastAsia="mk-MK"/>
              </w:rPr>
              <w:t>306</w:t>
            </w:r>
            <w:r w:rsidR="00284EB1">
              <w:rPr>
                <w:rFonts w:ascii="Arial" w:hAnsi="Arial" w:cs="Arial"/>
                <w:bCs/>
                <w:sz w:val="20"/>
                <w:szCs w:val="20"/>
                <w:lang w:eastAsia="mk-MK"/>
              </w:rPr>
              <w:t>,</w:t>
            </w:r>
            <w:r w:rsidRPr="009C5096">
              <w:rPr>
                <w:rFonts w:ascii="Arial" w:hAnsi="Arial" w:cs="Arial"/>
                <w:bCs/>
                <w:sz w:val="20"/>
                <w:szCs w:val="20"/>
                <w:lang w:eastAsia="mk-MK"/>
              </w:rPr>
              <w:t>611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612896">
            <w:pPr>
              <w:ind w:right="-108"/>
              <w:jc w:val="center"/>
              <w:rPr>
                <w:rFonts w:ascii="Arial" w:hAnsi="Arial" w:cs="Arial"/>
                <w:bCs/>
                <w:sz w:val="20"/>
                <w:szCs w:val="20"/>
                <w:lang w:eastAsia="mk-MK"/>
              </w:rPr>
            </w:pPr>
            <w:r w:rsidRPr="009C5096">
              <w:rPr>
                <w:rFonts w:ascii="Arial" w:hAnsi="Arial" w:cs="Arial"/>
                <w:bCs/>
                <w:sz w:val="20"/>
                <w:szCs w:val="20"/>
                <w:lang w:eastAsia="mk-MK"/>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612896">
            <w:pPr>
              <w:jc w:val="right"/>
              <w:rPr>
                <w:rFonts w:ascii="Arial" w:hAnsi="Arial" w:cs="Arial"/>
                <w:bCs/>
                <w:sz w:val="20"/>
                <w:szCs w:val="20"/>
                <w:lang w:eastAsia="mk-MK"/>
              </w:rPr>
            </w:pPr>
            <w:r w:rsidRPr="009C5096">
              <w:rPr>
                <w:rFonts w:ascii="Arial" w:hAnsi="Arial" w:cs="Arial"/>
                <w:bCs/>
                <w:sz w:val="20"/>
                <w:szCs w:val="20"/>
                <w:lang w:eastAsia="mk-MK"/>
              </w:rPr>
              <w:t>/</w:t>
            </w:r>
          </w:p>
        </w:tc>
        <w:tc>
          <w:tcPr>
            <w:tcW w:w="720" w:type="dxa"/>
            <w:tcBorders>
              <w:top w:val="single" w:sz="4" w:space="0" w:color="auto"/>
              <w:left w:val="single" w:sz="4" w:space="0" w:color="auto"/>
              <w:bottom w:val="single" w:sz="4" w:space="0" w:color="auto"/>
              <w:right w:val="single" w:sz="4" w:space="0" w:color="auto"/>
            </w:tcBorders>
            <w:vAlign w:val="center"/>
          </w:tcPr>
          <w:p w:rsidR="003136C5" w:rsidRPr="009C5096" w:rsidRDefault="003136C5" w:rsidP="00612896">
            <w:pPr>
              <w:ind w:right="-108"/>
              <w:jc w:val="center"/>
              <w:rPr>
                <w:rFonts w:ascii="Arial" w:hAnsi="Arial" w:cs="Arial"/>
                <w:bCs/>
                <w:sz w:val="20"/>
                <w:szCs w:val="20"/>
                <w:lang w:eastAsia="mk-MK"/>
              </w:rPr>
            </w:pPr>
            <w:r w:rsidRPr="009C5096">
              <w:rPr>
                <w:rFonts w:ascii="Arial" w:hAnsi="Arial" w:cs="Arial"/>
                <w:bCs/>
                <w:sz w:val="20"/>
                <w:szCs w:val="20"/>
                <w:lang w:eastAsia="mk-MK"/>
              </w:rPr>
              <w:t>/</w:t>
            </w:r>
          </w:p>
        </w:tc>
        <w:tc>
          <w:tcPr>
            <w:tcW w:w="1530" w:type="dxa"/>
            <w:tcBorders>
              <w:top w:val="single" w:sz="4" w:space="0" w:color="auto"/>
              <w:left w:val="single" w:sz="4" w:space="0" w:color="auto"/>
              <w:bottom w:val="single" w:sz="4" w:space="0" w:color="auto"/>
              <w:right w:val="single" w:sz="4" w:space="0" w:color="auto"/>
            </w:tcBorders>
            <w:vAlign w:val="center"/>
          </w:tcPr>
          <w:p w:rsidR="003136C5" w:rsidRPr="009C5096" w:rsidRDefault="003136C5" w:rsidP="00612896">
            <w:pPr>
              <w:jc w:val="right"/>
              <w:rPr>
                <w:rFonts w:ascii="Arial" w:hAnsi="Arial" w:cs="Arial"/>
                <w:bCs/>
                <w:sz w:val="20"/>
                <w:szCs w:val="20"/>
                <w:lang w:eastAsia="mk-MK"/>
              </w:rPr>
            </w:pPr>
            <w:r w:rsidRPr="009C5096">
              <w:rPr>
                <w:rFonts w:ascii="Arial" w:hAnsi="Arial" w:cs="Arial"/>
                <w:bCs/>
                <w:sz w:val="20"/>
                <w:szCs w:val="20"/>
                <w:lang w:eastAsia="mk-MK"/>
              </w:rPr>
              <w:t>/</w:t>
            </w:r>
          </w:p>
        </w:tc>
        <w:tc>
          <w:tcPr>
            <w:tcW w:w="1136" w:type="dxa"/>
            <w:tcBorders>
              <w:top w:val="single" w:sz="4" w:space="0" w:color="auto"/>
              <w:left w:val="single" w:sz="4" w:space="0" w:color="auto"/>
              <w:bottom w:val="single" w:sz="4" w:space="0" w:color="auto"/>
              <w:right w:val="single" w:sz="4" w:space="0" w:color="auto"/>
            </w:tcBorders>
          </w:tcPr>
          <w:p w:rsidR="003136C5" w:rsidRPr="009C5096" w:rsidRDefault="003136C5" w:rsidP="00612896">
            <w:pPr>
              <w:jc w:val="right"/>
              <w:rPr>
                <w:rFonts w:ascii="Arial" w:hAnsi="Arial" w:cs="Arial"/>
                <w:bCs/>
                <w:sz w:val="20"/>
                <w:szCs w:val="20"/>
                <w:lang w:eastAsia="mk-MK"/>
              </w:rPr>
            </w:pPr>
            <w:r w:rsidRPr="009C5096">
              <w:rPr>
                <w:rFonts w:ascii="Arial" w:hAnsi="Arial" w:cs="Arial"/>
                <w:bCs/>
                <w:sz w:val="20"/>
                <w:szCs w:val="20"/>
                <w:lang w:eastAsia="mk-MK"/>
              </w:rPr>
              <w:t>/</w:t>
            </w:r>
          </w:p>
        </w:tc>
      </w:tr>
      <w:tr w:rsidR="003136C5" w:rsidRPr="009C5096" w:rsidTr="003B72A1">
        <w:trPr>
          <w:trHeight w:val="365"/>
        </w:trPr>
        <w:tc>
          <w:tcPr>
            <w:tcW w:w="429" w:type="dxa"/>
            <w:tcBorders>
              <w:top w:val="single" w:sz="4" w:space="0" w:color="auto"/>
              <w:left w:val="single" w:sz="4" w:space="0" w:color="auto"/>
              <w:bottom w:val="single" w:sz="4" w:space="0" w:color="auto"/>
              <w:right w:val="single" w:sz="4" w:space="0" w:color="auto"/>
            </w:tcBorders>
            <w:vAlign w:val="center"/>
          </w:tcPr>
          <w:p w:rsidR="003136C5" w:rsidRPr="009C5096" w:rsidRDefault="003136C5" w:rsidP="00612896">
            <w:pPr>
              <w:ind w:right="-108"/>
              <w:rPr>
                <w:rFonts w:ascii="Arial" w:hAnsi="Arial" w:cs="Arial"/>
                <w:bCs/>
                <w:sz w:val="20"/>
                <w:szCs w:val="20"/>
                <w:lang w:eastAsia="mk-MK"/>
              </w:rPr>
            </w:pPr>
            <w:r w:rsidRPr="009C5096">
              <w:rPr>
                <w:rFonts w:ascii="Arial" w:hAnsi="Arial" w:cs="Arial"/>
                <w:bCs/>
                <w:sz w:val="20"/>
                <w:szCs w:val="20"/>
                <w:lang w:eastAsia="mk-MK"/>
              </w:rPr>
              <w:t>3</w:t>
            </w:r>
          </w:p>
        </w:tc>
        <w:tc>
          <w:tcPr>
            <w:tcW w:w="955" w:type="dxa"/>
            <w:tcBorders>
              <w:top w:val="single" w:sz="4" w:space="0" w:color="auto"/>
              <w:left w:val="single" w:sz="4" w:space="0" w:color="auto"/>
              <w:bottom w:val="single" w:sz="4" w:space="0" w:color="auto"/>
              <w:right w:val="single" w:sz="4" w:space="0" w:color="auto"/>
            </w:tcBorders>
            <w:vAlign w:val="center"/>
          </w:tcPr>
          <w:p w:rsidR="003136C5" w:rsidRPr="009C5096" w:rsidRDefault="003136C5" w:rsidP="00612896">
            <w:pPr>
              <w:ind w:right="-108"/>
              <w:rPr>
                <w:rFonts w:ascii="Arial" w:hAnsi="Arial" w:cs="Arial"/>
                <w:bCs/>
                <w:sz w:val="20"/>
                <w:szCs w:val="20"/>
                <w:lang w:eastAsia="mk-MK"/>
              </w:rPr>
            </w:pPr>
            <w:r w:rsidRPr="009C5096">
              <w:rPr>
                <w:rFonts w:ascii="Arial" w:hAnsi="Arial" w:cs="Arial"/>
                <w:bCs/>
                <w:sz w:val="20"/>
                <w:szCs w:val="20"/>
                <w:lang w:eastAsia="mk-MK"/>
              </w:rPr>
              <w:t>02/2018</w:t>
            </w:r>
            <w:r w:rsidRPr="009C5096">
              <w:rPr>
                <w:rStyle w:val="FootnoteReference"/>
                <w:rFonts w:ascii="Arial" w:hAnsi="Arial" w:cs="Arial"/>
                <w:bCs/>
                <w:sz w:val="20"/>
                <w:szCs w:val="20"/>
                <w:lang w:eastAsia="mk-MK"/>
              </w:rPr>
              <w:footnoteReference w:id="3"/>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284EB1">
            <w:pPr>
              <w:ind w:right="-108"/>
              <w:jc w:val="center"/>
              <w:rPr>
                <w:rFonts w:ascii="Arial" w:hAnsi="Arial" w:cs="Arial"/>
                <w:bCs/>
                <w:sz w:val="20"/>
                <w:szCs w:val="20"/>
                <w:lang w:eastAsia="mk-MK"/>
              </w:rPr>
            </w:pPr>
            <w:r w:rsidRPr="009C5096">
              <w:rPr>
                <w:rFonts w:ascii="Arial" w:hAnsi="Arial" w:cs="Arial"/>
                <w:bCs/>
                <w:sz w:val="20"/>
                <w:szCs w:val="20"/>
                <w:lang w:eastAsia="mk-MK"/>
              </w:rPr>
              <w:t>1</w:t>
            </w:r>
            <w:r w:rsidR="00284EB1">
              <w:rPr>
                <w:rFonts w:ascii="Arial" w:hAnsi="Arial" w:cs="Arial"/>
                <w:bCs/>
                <w:sz w:val="20"/>
                <w:szCs w:val="20"/>
                <w:lang w:eastAsia="mk-MK"/>
              </w:rPr>
              <w:t>,</w:t>
            </w:r>
            <w:r w:rsidRPr="009C5096">
              <w:rPr>
                <w:rFonts w:ascii="Arial" w:hAnsi="Arial" w:cs="Arial"/>
                <w:bCs/>
                <w:sz w:val="20"/>
                <w:szCs w:val="20"/>
                <w:lang w:eastAsia="mk-MK"/>
              </w:rPr>
              <w:t>099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284EB1">
            <w:pPr>
              <w:jc w:val="right"/>
              <w:rPr>
                <w:rFonts w:ascii="Arial" w:hAnsi="Arial" w:cs="Arial"/>
                <w:bCs/>
                <w:sz w:val="20"/>
                <w:szCs w:val="20"/>
                <w:lang w:eastAsia="mk-MK"/>
              </w:rPr>
            </w:pPr>
            <w:r w:rsidRPr="009C5096">
              <w:rPr>
                <w:rFonts w:ascii="Arial" w:hAnsi="Arial" w:cs="Arial"/>
                <w:bCs/>
                <w:sz w:val="20"/>
                <w:szCs w:val="20"/>
                <w:lang w:eastAsia="mk-MK"/>
              </w:rPr>
              <w:t>18</w:t>
            </w:r>
            <w:r w:rsidR="00284EB1">
              <w:rPr>
                <w:rFonts w:ascii="Arial" w:hAnsi="Arial" w:cs="Arial"/>
                <w:bCs/>
                <w:sz w:val="20"/>
                <w:szCs w:val="20"/>
                <w:lang w:eastAsia="mk-MK"/>
              </w:rPr>
              <w:t>,</w:t>
            </w:r>
            <w:r w:rsidRPr="009C5096">
              <w:rPr>
                <w:rFonts w:ascii="Arial" w:hAnsi="Arial" w:cs="Arial"/>
                <w:bCs/>
                <w:sz w:val="20"/>
                <w:szCs w:val="20"/>
                <w:lang w:eastAsia="mk-MK"/>
              </w:rPr>
              <w:t>335</w:t>
            </w:r>
            <w:r w:rsidR="00284EB1">
              <w:rPr>
                <w:rFonts w:ascii="Arial" w:hAnsi="Arial" w:cs="Arial"/>
                <w:bCs/>
                <w:sz w:val="20"/>
                <w:szCs w:val="20"/>
                <w:lang w:eastAsia="mk-MK"/>
              </w:rPr>
              <w:t>,</w:t>
            </w:r>
            <w:r w:rsidRPr="009C5096">
              <w:rPr>
                <w:rFonts w:ascii="Arial" w:hAnsi="Arial" w:cs="Arial"/>
                <w:bCs/>
                <w:sz w:val="20"/>
                <w:szCs w:val="20"/>
                <w:lang w:eastAsia="mk-MK"/>
              </w:rPr>
              <w:t>969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612896">
            <w:pPr>
              <w:ind w:right="-108"/>
              <w:jc w:val="center"/>
              <w:rPr>
                <w:rFonts w:ascii="Arial" w:hAnsi="Arial" w:cs="Arial"/>
                <w:bCs/>
                <w:sz w:val="20"/>
                <w:szCs w:val="20"/>
                <w:lang w:eastAsia="mk-MK"/>
              </w:rPr>
            </w:pPr>
            <w:r w:rsidRPr="009C5096">
              <w:rPr>
                <w:rFonts w:ascii="Arial" w:hAnsi="Arial" w:cs="Arial"/>
                <w:bCs/>
                <w:sz w:val="20"/>
                <w:szCs w:val="20"/>
                <w:lang w:eastAsia="mk-MK"/>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612896">
            <w:pPr>
              <w:jc w:val="right"/>
              <w:rPr>
                <w:rFonts w:ascii="Arial" w:hAnsi="Arial" w:cs="Arial"/>
                <w:bCs/>
                <w:sz w:val="20"/>
                <w:szCs w:val="20"/>
                <w:lang w:eastAsia="mk-MK"/>
              </w:rPr>
            </w:pPr>
            <w:r w:rsidRPr="009C5096">
              <w:rPr>
                <w:rFonts w:ascii="Arial" w:hAnsi="Arial" w:cs="Arial"/>
                <w:bCs/>
                <w:sz w:val="20"/>
                <w:szCs w:val="20"/>
                <w:lang w:eastAsia="mk-MK"/>
              </w:rPr>
              <w:t>/</w:t>
            </w:r>
          </w:p>
        </w:tc>
        <w:tc>
          <w:tcPr>
            <w:tcW w:w="720" w:type="dxa"/>
            <w:tcBorders>
              <w:top w:val="single" w:sz="4" w:space="0" w:color="auto"/>
              <w:left w:val="single" w:sz="4" w:space="0" w:color="auto"/>
              <w:bottom w:val="single" w:sz="4" w:space="0" w:color="auto"/>
              <w:right w:val="single" w:sz="4" w:space="0" w:color="auto"/>
            </w:tcBorders>
            <w:vAlign w:val="center"/>
          </w:tcPr>
          <w:p w:rsidR="003136C5" w:rsidRPr="009C5096" w:rsidRDefault="003136C5" w:rsidP="00612896">
            <w:pPr>
              <w:ind w:right="-108"/>
              <w:jc w:val="center"/>
              <w:rPr>
                <w:rFonts w:ascii="Arial" w:hAnsi="Arial" w:cs="Arial"/>
                <w:bCs/>
                <w:sz w:val="20"/>
                <w:szCs w:val="20"/>
                <w:lang w:eastAsia="mk-MK"/>
              </w:rPr>
            </w:pPr>
            <w:r w:rsidRPr="009C5096">
              <w:rPr>
                <w:rFonts w:ascii="Arial" w:hAnsi="Arial" w:cs="Arial"/>
                <w:bCs/>
                <w:sz w:val="20"/>
                <w:szCs w:val="20"/>
                <w:lang w:eastAsia="mk-MK"/>
              </w:rPr>
              <w:t>/</w:t>
            </w:r>
          </w:p>
        </w:tc>
        <w:tc>
          <w:tcPr>
            <w:tcW w:w="1530" w:type="dxa"/>
            <w:tcBorders>
              <w:top w:val="single" w:sz="4" w:space="0" w:color="auto"/>
              <w:left w:val="single" w:sz="4" w:space="0" w:color="auto"/>
              <w:bottom w:val="single" w:sz="4" w:space="0" w:color="auto"/>
              <w:right w:val="single" w:sz="4" w:space="0" w:color="auto"/>
            </w:tcBorders>
            <w:vAlign w:val="center"/>
          </w:tcPr>
          <w:p w:rsidR="003136C5" w:rsidRPr="009C5096" w:rsidRDefault="003136C5" w:rsidP="00612896">
            <w:pPr>
              <w:jc w:val="right"/>
              <w:rPr>
                <w:rFonts w:ascii="Arial" w:hAnsi="Arial" w:cs="Arial"/>
                <w:bCs/>
                <w:sz w:val="20"/>
                <w:szCs w:val="20"/>
                <w:lang w:eastAsia="mk-MK"/>
              </w:rPr>
            </w:pPr>
            <w:r w:rsidRPr="009C5096">
              <w:rPr>
                <w:rFonts w:ascii="Arial" w:hAnsi="Arial" w:cs="Arial"/>
                <w:bCs/>
                <w:sz w:val="20"/>
                <w:szCs w:val="20"/>
                <w:lang w:eastAsia="mk-MK"/>
              </w:rPr>
              <w:t>/</w:t>
            </w:r>
          </w:p>
        </w:tc>
        <w:tc>
          <w:tcPr>
            <w:tcW w:w="1136" w:type="dxa"/>
            <w:tcBorders>
              <w:top w:val="single" w:sz="4" w:space="0" w:color="auto"/>
              <w:left w:val="single" w:sz="4" w:space="0" w:color="auto"/>
              <w:bottom w:val="single" w:sz="4" w:space="0" w:color="auto"/>
              <w:right w:val="single" w:sz="4" w:space="0" w:color="auto"/>
            </w:tcBorders>
          </w:tcPr>
          <w:p w:rsidR="003136C5" w:rsidRPr="009C5096" w:rsidRDefault="003136C5" w:rsidP="00612896">
            <w:pPr>
              <w:jc w:val="right"/>
              <w:rPr>
                <w:rFonts w:ascii="Arial" w:hAnsi="Arial" w:cs="Arial"/>
                <w:bCs/>
                <w:sz w:val="20"/>
                <w:szCs w:val="20"/>
                <w:lang w:eastAsia="mk-MK"/>
              </w:rPr>
            </w:pPr>
            <w:r w:rsidRPr="009C5096">
              <w:rPr>
                <w:rFonts w:ascii="Arial" w:hAnsi="Arial" w:cs="Arial"/>
                <w:bCs/>
                <w:sz w:val="20"/>
                <w:szCs w:val="20"/>
                <w:lang w:eastAsia="mk-MK"/>
              </w:rPr>
              <w:t>/</w:t>
            </w:r>
          </w:p>
        </w:tc>
      </w:tr>
      <w:tr w:rsidR="003136C5" w:rsidRPr="009C5096" w:rsidTr="003B72A1">
        <w:trPr>
          <w:trHeight w:val="365"/>
        </w:trPr>
        <w:tc>
          <w:tcPr>
            <w:tcW w:w="1384" w:type="dxa"/>
            <w:gridSpan w:val="2"/>
            <w:tcBorders>
              <w:top w:val="single" w:sz="4" w:space="0" w:color="auto"/>
              <w:left w:val="single" w:sz="4" w:space="0" w:color="auto"/>
              <w:bottom w:val="single" w:sz="4" w:space="0" w:color="auto"/>
              <w:right w:val="single" w:sz="4" w:space="0" w:color="auto"/>
            </w:tcBorders>
            <w:vAlign w:val="center"/>
          </w:tcPr>
          <w:p w:rsidR="003136C5" w:rsidRPr="009C5096" w:rsidRDefault="003136C5" w:rsidP="00612896">
            <w:pPr>
              <w:ind w:right="-108"/>
              <w:rPr>
                <w:rFonts w:ascii="Arial" w:hAnsi="Arial" w:cs="Arial"/>
                <w:bCs/>
                <w:sz w:val="20"/>
                <w:szCs w:val="20"/>
                <w:lang w:eastAsia="mk-MK"/>
              </w:rPr>
            </w:pPr>
            <w:r w:rsidRPr="009C5096">
              <w:rPr>
                <w:rFonts w:ascii="Arial" w:hAnsi="Arial" w:cs="Arial"/>
                <w:bCs/>
                <w:sz w:val="20"/>
                <w:szCs w:val="20"/>
                <w:lang w:eastAsia="mk-MK"/>
              </w:rPr>
              <w:t>Total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284EB1">
            <w:pPr>
              <w:ind w:right="-108"/>
              <w:jc w:val="center"/>
              <w:rPr>
                <w:rFonts w:ascii="Arial" w:hAnsi="Arial" w:cs="Arial"/>
                <w:bCs/>
                <w:sz w:val="20"/>
                <w:szCs w:val="20"/>
                <w:lang w:eastAsia="mk-MK"/>
              </w:rPr>
            </w:pPr>
            <w:r w:rsidRPr="009C5096">
              <w:rPr>
                <w:rFonts w:ascii="Arial" w:hAnsi="Arial" w:cs="Arial"/>
                <w:bCs/>
                <w:sz w:val="20"/>
                <w:szCs w:val="20"/>
                <w:lang w:eastAsia="mk-MK"/>
              </w:rPr>
              <w:t>2</w:t>
            </w:r>
            <w:r w:rsidR="00284EB1">
              <w:rPr>
                <w:rFonts w:ascii="Arial" w:hAnsi="Arial" w:cs="Arial"/>
                <w:bCs/>
                <w:sz w:val="20"/>
                <w:szCs w:val="20"/>
                <w:lang w:eastAsia="mk-MK"/>
              </w:rPr>
              <w:t>,</w:t>
            </w:r>
            <w:r w:rsidRPr="009C5096">
              <w:rPr>
                <w:rFonts w:ascii="Arial" w:hAnsi="Arial" w:cs="Arial"/>
                <w:bCs/>
                <w:sz w:val="20"/>
                <w:szCs w:val="20"/>
                <w:lang w:eastAsia="mk-MK"/>
              </w:rPr>
              <w:t>815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284EB1">
            <w:pPr>
              <w:jc w:val="right"/>
              <w:rPr>
                <w:rFonts w:ascii="Arial" w:hAnsi="Arial" w:cs="Arial"/>
                <w:bCs/>
                <w:sz w:val="20"/>
                <w:szCs w:val="20"/>
                <w:lang w:eastAsia="mk-MK"/>
              </w:rPr>
            </w:pPr>
            <w:r w:rsidRPr="009C5096">
              <w:rPr>
                <w:rFonts w:ascii="Arial" w:hAnsi="Arial" w:cs="Arial"/>
                <w:bCs/>
                <w:sz w:val="20"/>
                <w:szCs w:val="20"/>
                <w:lang w:eastAsia="mk-MK"/>
              </w:rPr>
              <w:t>105</w:t>
            </w:r>
            <w:r w:rsidR="00284EB1">
              <w:rPr>
                <w:rFonts w:ascii="Arial" w:hAnsi="Arial" w:cs="Arial"/>
                <w:bCs/>
                <w:sz w:val="20"/>
                <w:szCs w:val="20"/>
                <w:lang w:eastAsia="mk-MK"/>
              </w:rPr>
              <w:t>,</w:t>
            </w:r>
            <w:r w:rsidRPr="009C5096">
              <w:rPr>
                <w:rFonts w:ascii="Arial" w:hAnsi="Arial" w:cs="Arial"/>
                <w:bCs/>
                <w:sz w:val="20"/>
                <w:szCs w:val="20"/>
                <w:lang w:eastAsia="mk-MK"/>
              </w:rPr>
              <w:t>976</w:t>
            </w:r>
            <w:r w:rsidR="00284EB1">
              <w:rPr>
                <w:rFonts w:ascii="Arial" w:hAnsi="Arial" w:cs="Arial"/>
                <w:bCs/>
                <w:sz w:val="20"/>
                <w:szCs w:val="20"/>
                <w:lang w:eastAsia="mk-MK"/>
              </w:rPr>
              <w:t>,</w:t>
            </w:r>
            <w:r w:rsidRPr="009C5096">
              <w:rPr>
                <w:rFonts w:ascii="Arial" w:hAnsi="Arial" w:cs="Arial"/>
                <w:bCs/>
                <w:sz w:val="20"/>
                <w:szCs w:val="20"/>
                <w:lang w:eastAsia="mk-MK"/>
              </w:rPr>
              <w:t>401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612896">
            <w:pPr>
              <w:ind w:right="-108"/>
              <w:jc w:val="center"/>
              <w:rPr>
                <w:rFonts w:ascii="Arial" w:hAnsi="Arial" w:cs="Arial"/>
                <w:bCs/>
                <w:sz w:val="20"/>
                <w:szCs w:val="20"/>
                <w:lang w:eastAsia="mk-MK"/>
              </w:rPr>
            </w:pPr>
            <w:r w:rsidRPr="009C5096">
              <w:rPr>
                <w:rFonts w:ascii="Arial" w:hAnsi="Arial" w:cs="Arial"/>
                <w:bCs/>
                <w:sz w:val="20"/>
                <w:szCs w:val="20"/>
                <w:lang w:eastAsia="mk-MK"/>
              </w:rPr>
              <w:t>955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36C5" w:rsidRPr="009C5096" w:rsidRDefault="003136C5" w:rsidP="00284EB1">
            <w:pPr>
              <w:jc w:val="right"/>
              <w:rPr>
                <w:rFonts w:ascii="Arial" w:hAnsi="Arial" w:cs="Arial"/>
                <w:bCs/>
                <w:sz w:val="20"/>
                <w:szCs w:val="20"/>
                <w:lang w:eastAsia="mk-MK"/>
              </w:rPr>
            </w:pPr>
            <w:r w:rsidRPr="009C5096">
              <w:rPr>
                <w:rFonts w:ascii="Arial" w:hAnsi="Arial" w:cs="Arial"/>
                <w:bCs/>
                <w:sz w:val="20"/>
                <w:szCs w:val="20"/>
                <w:lang w:eastAsia="mk-MK"/>
              </w:rPr>
              <w:t>15</w:t>
            </w:r>
            <w:r w:rsidR="00284EB1">
              <w:rPr>
                <w:rFonts w:ascii="Arial" w:hAnsi="Arial" w:cs="Arial"/>
                <w:bCs/>
                <w:sz w:val="20"/>
                <w:szCs w:val="20"/>
                <w:lang w:eastAsia="mk-MK"/>
              </w:rPr>
              <w:t>,</w:t>
            </w:r>
            <w:r w:rsidRPr="009C5096">
              <w:rPr>
                <w:rFonts w:ascii="Arial" w:hAnsi="Arial" w:cs="Arial"/>
                <w:bCs/>
                <w:sz w:val="20"/>
                <w:szCs w:val="20"/>
                <w:lang w:eastAsia="mk-MK"/>
              </w:rPr>
              <w:t>345</w:t>
            </w:r>
            <w:r w:rsidR="00284EB1">
              <w:rPr>
                <w:rFonts w:ascii="Arial" w:hAnsi="Arial" w:cs="Arial"/>
                <w:bCs/>
                <w:sz w:val="20"/>
                <w:szCs w:val="20"/>
                <w:lang w:eastAsia="mk-MK"/>
              </w:rPr>
              <w:t>,</w:t>
            </w:r>
            <w:r w:rsidRPr="009C5096">
              <w:rPr>
                <w:rFonts w:ascii="Arial" w:hAnsi="Arial" w:cs="Arial"/>
                <w:bCs/>
                <w:sz w:val="20"/>
                <w:szCs w:val="20"/>
                <w:lang w:eastAsia="mk-MK"/>
              </w:rPr>
              <w:t>355</w:t>
            </w:r>
          </w:p>
        </w:tc>
        <w:tc>
          <w:tcPr>
            <w:tcW w:w="720" w:type="dxa"/>
            <w:tcBorders>
              <w:top w:val="single" w:sz="4" w:space="0" w:color="auto"/>
              <w:left w:val="single" w:sz="4" w:space="0" w:color="auto"/>
              <w:bottom w:val="single" w:sz="4" w:space="0" w:color="auto"/>
              <w:right w:val="single" w:sz="4" w:space="0" w:color="auto"/>
            </w:tcBorders>
            <w:vAlign w:val="center"/>
          </w:tcPr>
          <w:p w:rsidR="003136C5" w:rsidRPr="009C5096" w:rsidRDefault="003136C5" w:rsidP="00612896">
            <w:pPr>
              <w:ind w:right="-108"/>
              <w:jc w:val="center"/>
              <w:rPr>
                <w:rFonts w:ascii="Arial" w:hAnsi="Arial" w:cs="Arial"/>
                <w:bCs/>
                <w:sz w:val="20"/>
                <w:szCs w:val="20"/>
                <w:lang w:eastAsia="mk-MK"/>
              </w:rPr>
            </w:pPr>
            <w:r w:rsidRPr="009C5096">
              <w:rPr>
                <w:rFonts w:ascii="Arial" w:hAnsi="Arial" w:cs="Arial"/>
                <w:bCs/>
                <w:sz w:val="20"/>
                <w:szCs w:val="20"/>
                <w:lang w:eastAsia="mk-MK"/>
              </w:rPr>
              <w:t>127</w:t>
            </w:r>
          </w:p>
        </w:tc>
        <w:tc>
          <w:tcPr>
            <w:tcW w:w="1530" w:type="dxa"/>
            <w:tcBorders>
              <w:top w:val="single" w:sz="4" w:space="0" w:color="auto"/>
              <w:left w:val="single" w:sz="4" w:space="0" w:color="auto"/>
              <w:bottom w:val="single" w:sz="4" w:space="0" w:color="auto"/>
              <w:right w:val="single" w:sz="4" w:space="0" w:color="auto"/>
            </w:tcBorders>
            <w:vAlign w:val="center"/>
          </w:tcPr>
          <w:p w:rsidR="003136C5" w:rsidRPr="009C5096" w:rsidRDefault="003136C5" w:rsidP="00284EB1">
            <w:pPr>
              <w:jc w:val="right"/>
              <w:rPr>
                <w:rFonts w:ascii="Arial" w:hAnsi="Arial" w:cs="Arial"/>
                <w:bCs/>
                <w:sz w:val="20"/>
                <w:szCs w:val="20"/>
                <w:lang w:eastAsia="mk-MK"/>
              </w:rPr>
            </w:pPr>
            <w:r w:rsidRPr="009C5096">
              <w:rPr>
                <w:rFonts w:ascii="Arial" w:hAnsi="Arial" w:cs="Arial"/>
                <w:bCs/>
                <w:sz w:val="20"/>
                <w:szCs w:val="20"/>
                <w:lang w:eastAsia="mk-MK"/>
              </w:rPr>
              <w:t>1</w:t>
            </w:r>
            <w:r w:rsidR="00284EB1">
              <w:rPr>
                <w:rFonts w:ascii="Arial" w:hAnsi="Arial" w:cs="Arial"/>
                <w:bCs/>
                <w:sz w:val="20"/>
                <w:szCs w:val="20"/>
                <w:lang w:eastAsia="mk-MK"/>
              </w:rPr>
              <w:t>,</w:t>
            </w:r>
            <w:r w:rsidRPr="009C5096">
              <w:rPr>
                <w:rFonts w:ascii="Arial" w:hAnsi="Arial" w:cs="Arial"/>
                <w:bCs/>
                <w:sz w:val="20"/>
                <w:szCs w:val="20"/>
                <w:lang w:eastAsia="mk-MK"/>
              </w:rPr>
              <w:t>002</w:t>
            </w:r>
            <w:r w:rsidR="00284EB1">
              <w:rPr>
                <w:rFonts w:ascii="Arial" w:hAnsi="Arial" w:cs="Arial"/>
                <w:bCs/>
                <w:sz w:val="20"/>
                <w:szCs w:val="20"/>
                <w:lang w:eastAsia="mk-MK"/>
              </w:rPr>
              <w:t>,</w:t>
            </w:r>
            <w:r w:rsidRPr="009C5096">
              <w:rPr>
                <w:rFonts w:ascii="Arial" w:hAnsi="Arial" w:cs="Arial"/>
                <w:bCs/>
                <w:sz w:val="20"/>
                <w:szCs w:val="20"/>
                <w:lang w:eastAsia="mk-MK"/>
              </w:rPr>
              <w:t>784</w:t>
            </w:r>
          </w:p>
        </w:tc>
        <w:tc>
          <w:tcPr>
            <w:tcW w:w="1136" w:type="dxa"/>
            <w:tcBorders>
              <w:top w:val="single" w:sz="4" w:space="0" w:color="auto"/>
              <w:left w:val="single" w:sz="4" w:space="0" w:color="auto"/>
              <w:bottom w:val="single" w:sz="4" w:space="0" w:color="auto"/>
              <w:right w:val="single" w:sz="4" w:space="0" w:color="auto"/>
            </w:tcBorders>
          </w:tcPr>
          <w:p w:rsidR="003136C5" w:rsidRPr="009C5096" w:rsidRDefault="003136C5" w:rsidP="00612896">
            <w:pPr>
              <w:jc w:val="right"/>
              <w:rPr>
                <w:rFonts w:ascii="Arial" w:hAnsi="Arial" w:cs="Arial"/>
                <w:bCs/>
                <w:sz w:val="20"/>
                <w:szCs w:val="20"/>
                <w:lang w:eastAsia="mk-MK"/>
              </w:rPr>
            </w:pPr>
            <w:r w:rsidRPr="009C5096">
              <w:rPr>
                <w:rFonts w:ascii="Arial" w:hAnsi="Arial" w:cs="Arial"/>
                <w:bCs/>
                <w:sz w:val="20"/>
                <w:szCs w:val="20"/>
                <w:lang w:eastAsia="mk-MK"/>
              </w:rPr>
              <w:t>/</w:t>
            </w:r>
          </w:p>
        </w:tc>
      </w:tr>
    </w:tbl>
    <w:p w:rsidR="00036440" w:rsidRPr="00036440" w:rsidRDefault="003136C5" w:rsidP="00036440">
      <w:pPr>
        <w:pStyle w:val="m343668044302477783m-3986873246552044066msolistparagraph"/>
        <w:spacing w:before="0" w:beforeAutospacing="0" w:after="0" w:afterAutospacing="0"/>
        <w:jc w:val="both"/>
        <w:rPr>
          <w:rFonts w:ascii="Arial" w:hAnsi="Arial" w:cs="Arial"/>
          <w:sz w:val="18"/>
          <w:szCs w:val="18"/>
          <w:lang w:val="en-US"/>
        </w:rPr>
      </w:pPr>
      <w:r w:rsidRPr="009C5096">
        <w:rPr>
          <w:rFonts w:ascii="Arial" w:hAnsi="Arial" w:cs="Arial"/>
          <w:sz w:val="18"/>
          <w:szCs w:val="18"/>
          <w:lang w:val="en-US"/>
        </w:rPr>
        <w:t>Source: IPARD Agency</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The process of processing and approving the applications submitted at the first public call took a lot of time. The public call announced in April 2017 had its first contracts for measure 1 </w:t>
      </w:r>
      <w:r w:rsidR="00251DF5">
        <w:rPr>
          <w:rFonts w:ascii="Arial" w:hAnsi="Arial" w:cs="Arial"/>
          <w:sz w:val="22"/>
          <w:szCs w:val="22"/>
          <w:lang w:val="en-US"/>
        </w:rPr>
        <w:t xml:space="preserve">signed </w:t>
      </w:r>
      <w:r w:rsidRPr="009C5096">
        <w:rPr>
          <w:rFonts w:ascii="Arial" w:hAnsi="Arial" w:cs="Arial"/>
          <w:sz w:val="22"/>
          <w:szCs w:val="22"/>
          <w:lang w:val="en-US"/>
        </w:rPr>
        <w:t>after 14 months (June 2018). Delays in the process of approving requests limit the possibility of publishing new public calls. The reasons for this situation are the lack of staff in the IPARD Agency, the extensive procedures for controlling the standards, especially the time needed for checking the price of the offers.</w:t>
      </w:r>
    </w:p>
    <w:p w:rsidR="003136C5" w:rsidRPr="00036440" w:rsidRDefault="003136C5" w:rsidP="003136C5">
      <w:pPr>
        <w:pStyle w:val="m343668044302477783m-3986873246552044066msolistparagraph"/>
        <w:spacing w:before="120" w:beforeAutospacing="0" w:after="120" w:afterAutospacing="0"/>
        <w:jc w:val="both"/>
        <w:rPr>
          <w:rFonts w:ascii="Arial" w:eastAsia="Times New Roman" w:hAnsi="Arial" w:cs="Arial"/>
          <w:sz w:val="20"/>
          <w:szCs w:val="20"/>
          <w:lang w:val="en-US"/>
        </w:rPr>
      </w:pPr>
      <w:bookmarkStart w:id="33" w:name="_Toc6902276"/>
      <w:r w:rsidRPr="00036440">
        <w:rPr>
          <w:rFonts w:ascii="Arial" w:eastAsia="Times New Roman" w:hAnsi="Arial" w:cs="Arial"/>
          <w:sz w:val="20"/>
          <w:szCs w:val="20"/>
          <w:lang w:val="en-US"/>
        </w:rPr>
        <w:t xml:space="preserve">Table </w:t>
      </w:r>
      <w:r w:rsidRPr="00036440">
        <w:rPr>
          <w:rFonts w:ascii="Arial" w:eastAsia="Times New Roman" w:hAnsi="Arial" w:cs="Arial"/>
          <w:i/>
          <w:sz w:val="20"/>
          <w:szCs w:val="20"/>
          <w:lang w:val="en-US"/>
        </w:rPr>
        <w:fldChar w:fldCharType="begin"/>
      </w:r>
      <w:r w:rsidRPr="00036440">
        <w:rPr>
          <w:rFonts w:ascii="Arial" w:eastAsia="Times New Roman" w:hAnsi="Arial" w:cs="Arial"/>
          <w:sz w:val="20"/>
          <w:szCs w:val="20"/>
          <w:lang w:val="en-US"/>
        </w:rPr>
        <w:instrText xml:space="preserve"> SEQ Table \* ARABIC </w:instrText>
      </w:r>
      <w:r w:rsidRPr="00036440">
        <w:rPr>
          <w:rFonts w:ascii="Arial" w:eastAsia="Times New Roman" w:hAnsi="Arial" w:cs="Arial"/>
          <w:i/>
          <w:sz w:val="20"/>
          <w:szCs w:val="20"/>
          <w:lang w:val="en-US"/>
        </w:rPr>
        <w:fldChar w:fldCharType="separate"/>
      </w:r>
      <w:r w:rsidRPr="00036440">
        <w:rPr>
          <w:rFonts w:ascii="Arial" w:eastAsia="Times New Roman" w:hAnsi="Arial" w:cs="Arial"/>
          <w:sz w:val="20"/>
          <w:szCs w:val="20"/>
          <w:lang w:val="en-US"/>
        </w:rPr>
        <w:t>10</w:t>
      </w:r>
      <w:r w:rsidRPr="00036440">
        <w:rPr>
          <w:rFonts w:ascii="Arial" w:eastAsia="Times New Roman" w:hAnsi="Arial" w:cs="Arial"/>
          <w:i/>
          <w:sz w:val="20"/>
          <w:szCs w:val="20"/>
          <w:lang w:val="en-US"/>
        </w:rPr>
        <w:fldChar w:fldCharType="end"/>
      </w:r>
      <w:r w:rsidRPr="00036440">
        <w:rPr>
          <w:rFonts w:ascii="Arial" w:eastAsia="Times New Roman" w:hAnsi="Arial" w:cs="Arial"/>
          <w:sz w:val="20"/>
          <w:szCs w:val="20"/>
          <w:lang w:val="en-US"/>
        </w:rPr>
        <w:t>: Indicators on quality of implementation</w:t>
      </w:r>
      <w:bookmarkEnd w:id="33"/>
    </w:p>
    <w:tbl>
      <w:tblPr>
        <w:tblStyle w:val="TableGrid"/>
        <w:tblW w:w="0" w:type="auto"/>
        <w:tblLook w:val="04A0" w:firstRow="1" w:lastRow="0" w:firstColumn="1" w:lastColumn="0" w:noHBand="0" w:noVBand="1"/>
      </w:tblPr>
      <w:tblGrid>
        <w:gridCol w:w="5485"/>
        <w:gridCol w:w="1440"/>
      </w:tblGrid>
      <w:tr w:rsidR="003136C5" w:rsidRPr="009C5096" w:rsidTr="00612896">
        <w:tc>
          <w:tcPr>
            <w:tcW w:w="5485" w:type="dxa"/>
          </w:tcPr>
          <w:p w:rsidR="003136C5" w:rsidRPr="009C5096" w:rsidRDefault="003136C5" w:rsidP="00612896">
            <w:pPr>
              <w:pStyle w:val="m343668044302477783m-3986873246552044066msolistparagraph"/>
              <w:spacing w:before="0" w:beforeAutospacing="0" w:after="0" w:afterAutospacing="0"/>
              <w:jc w:val="both"/>
              <w:rPr>
                <w:rFonts w:ascii="Arial" w:hAnsi="Arial" w:cs="Arial"/>
                <w:sz w:val="20"/>
                <w:szCs w:val="20"/>
                <w:lang w:val="en-US"/>
              </w:rPr>
            </w:pPr>
            <w:r w:rsidRPr="009C5096">
              <w:rPr>
                <w:rFonts w:ascii="Arial" w:hAnsi="Arial" w:cs="Arial"/>
                <w:sz w:val="20"/>
                <w:szCs w:val="20"/>
                <w:lang w:val="en-US"/>
              </w:rPr>
              <w:t>Total number of applications submitted</w:t>
            </w:r>
          </w:p>
        </w:tc>
        <w:tc>
          <w:tcPr>
            <w:tcW w:w="1440" w:type="dxa"/>
          </w:tcPr>
          <w:p w:rsidR="003136C5" w:rsidRPr="009C5096" w:rsidRDefault="003136C5" w:rsidP="00251DF5">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2</w:t>
            </w:r>
            <w:r w:rsidR="00251DF5">
              <w:rPr>
                <w:rFonts w:ascii="Arial" w:hAnsi="Arial" w:cs="Arial"/>
                <w:sz w:val="20"/>
                <w:szCs w:val="20"/>
                <w:lang w:val="en-US"/>
              </w:rPr>
              <w:t>,</w:t>
            </w:r>
            <w:r w:rsidRPr="009C5096">
              <w:rPr>
                <w:rFonts w:ascii="Arial" w:hAnsi="Arial" w:cs="Arial"/>
                <w:sz w:val="20"/>
                <w:szCs w:val="20"/>
                <w:lang w:val="en-US"/>
              </w:rPr>
              <w:t>815</w:t>
            </w:r>
          </w:p>
        </w:tc>
      </w:tr>
      <w:tr w:rsidR="003136C5" w:rsidRPr="009C5096" w:rsidTr="00612896">
        <w:tc>
          <w:tcPr>
            <w:tcW w:w="5485" w:type="dxa"/>
          </w:tcPr>
          <w:p w:rsidR="003136C5" w:rsidRPr="009C5096" w:rsidRDefault="003136C5" w:rsidP="00612896">
            <w:pPr>
              <w:pStyle w:val="m343668044302477783m-3986873246552044066msolistparagraph"/>
              <w:spacing w:before="0" w:beforeAutospacing="0" w:after="0" w:afterAutospacing="0"/>
              <w:jc w:val="both"/>
              <w:rPr>
                <w:rFonts w:ascii="Arial" w:hAnsi="Arial" w:cs="Arial"/>
                <w:sz w:val="20"/>
                <w:szCs w:val="20"/>
                <w:lang w:val="en-US"/>
              </w:rPr>
            </w:pPr>
            <w:r w:rsidRPr="009C5096">
              <w:rPr>
                <w:rFonts w:ascii="Arial" w:eastAsia="Times New Roman" w:hAnsi="Arial" w:cs="Arial"/>
                <w:sz w:val="20"/>
                <w:szCs w:val="20"/>
                <w:lang w:val="en-US"/>
              </w:rPr>
              <w:t>Number of signed contracts</w:t>
            </w:r>
          </w:p>
        </w:tc>
        <w:tc>
          <w:tcPr>
            <w:tcW w:w="1440"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955</w:t>
            </w:r>
          </w:p>
        </w:tc>
      </w:tr>
      <w:tr w:rsidR="003136C5" w:rsidRPr="009C5096" w:rsidTr="00612896">
        <w:tc>
          <w:tcPr>
            <w:tcW w:w="5485" w:type="dxa"/>
          </w:tcPr>
          <w:p w:rsidR="003136C5" w:rsidRPr="009C5096" w:rsidRDefault="003136C5" w:rsidP="00612896">
            <w:pPr>
              <w:pStyle w:val="m343668044302477783m-3986873246552044066msolistparagraph"/>
              <w:spacing w:before="0" w:beforeAutospacing="0" w:after="0" w:afterAutospacing="0"/>
              <w:jc w:val="both"/>
              <w:rPr>
                <w:rFonts w:ascii="Arial" w:hAnsi="Arial" w:cs="Arial"/>
                <w:sz w:val="20"/>
                <w:szCs w:val="20"/>
                <w:lang w:val="en-US"/>
              </w:rPr>
            </w:pPr>
            <w:r w:rsidRPr="009C5096">
              <w:rPr>
                <w:rFonts w:ascii="Arial" w:eastAsia="Times New Roman" w:hAnsi="Arial" w:cs="Arial"/>
                <w:sz w:val="20"/>
                <w:szCs w:val="20"/>
                <w:lang w:val="en-US"/>
              </w:rPr>
              <w:t>Number of paid contracts</w:t>
            </w:r>
          </w:p>
        </w:tc>
        <w:tc>
          <w:tcPr>
            <w:tcW w:w="1440"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127</w:t>
            </w:r>
          </w:p>
        </w:tc>
      </w:tr>
      <w:tr w:rsidR="003136C5" w:rsidRPr="009C5096" w:rsidTr="00612896">
        <w:tc>
          <w:tcPr>
            <w:tcW w:w="5485" w:type="dxa"/>
          </w:tcPr>
          <w:p w:rsidR="003136C5" w:rsidRPr="009C5096" w:rsidRDefault="003136C5" w:rsidP="00612896">
            <w:pPr>
              <w:rPr>
                <w:rFonts w:ascii="Arial" w:hAnsi="Arial" w:cs="Arial"/>
                <w:sz w:val="20"/>
                <w:szCs w:val="20"/>
              </w:rPr>
            </w:pPr>
            <w:r w:rsidRPr="009C5096">
              <w:rPr>
                <w:rFonts w:ascii="Arial" w:hAnsi="Arial" w:cs="Arial"/>
                <w:sz w:val="20"/>
                <w:szCs w:val="20"/>
              </w:rPr>
              <w:t>Number of cancelled contracts</w:t>
            </w:r>
          </w:p>
        </w:tc>
        <w:tc>
          <w:tcPr>
            <w:tcW w:w="1440"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6</w:t>
            </w:r>
          </w:p>
        </w:tc>
      </w:tr>
      <w:tr w:rsidR="003136C5" w:rsidRPr="009C5096" w:rsidTr="00612896">
        <w:tc>
          <w:tcPr>
            <w:tcW w:w="5485" w:type="dxa"/>
          </w:tcPr>
          <w:p w:rsidR="003136C5" w:rsidRPr="009C5096" w:rsidRDefault="003136C5" w:rsidP="00612896">
            <w:pPr>
              <w:pStyle w:val="m343668044302477783m-3986873246552044066msolistparagraph"/>
              <w:spacing w:before="0" w:beforeAutospacing="0" w:after="0" w:afterAutospacing="0"/>
              <w:jc w:val="both"/>
              <w:rPr>
                <w:rFonts w:ascii="Arial" w:hAnsi="Arial" w:cs="Arial"/>
                <w:sz w:val="20"/>
                <w:szCs w:val="20"/>
                <w:lang w:val="en-US"/>
              </w:rPr>
            </w:pPr>
            <w:r w:rsidRPr="009C5096">
              <w:rPr>
                <w:rFonts w:ascii="Arial" w:hAnsi="Arial" w:cs="Arial"/>
                <w:sz w:val="20"/>
                <w:szCs w:val="20"/>
                <w:lang w:val="en-US"/>
              </w:rPr>
              <w:t>% of contracted applications (contracted/submitted)</w:t>
            </w:r>
          </w:p>
        </w:tc>
        <w:tc>
          <w:tcPr>
            <w:tcW w:w="1440"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33</w:t>
            </w:r>
          </w:p>
        </w:tc>
      </w:tr>
      <w:tr w:rsidR="003136C5" w:rsidRPr="009C5096" w:rsidTr="00612896">
        <w:tc>
          <w:tcPr>
            <w:tcW w:w="5485" w:type="dxa"/>
          </w:tcPr>
          <w:p w:rsidR="003136C5" w:rsidRPr="009C5096" w:rsidRDefault="003136C5" w:rsidP="00612896">
            <w:pPr>
              <w:pStyle w:val="m343668044302477783m-3986873246552044066msolistparagraph"/>
              <w:spacing w:before="0" w:beforeAutospacing="0" w:after="0" w:afterAutospacing="0"/>
              <w:jc w:val="both"/>
              <w:rPr>
                <w:rFonts w:ascii="Arial" w:hAnsi="Arial" w:cs="Arial"/>
                <w:sz w:val="20"/>
                <w:szCs w:val="20"/>
                <w:lang w:val="en-US"/>
              </w:rPr>
            </w:pPr>
            <w:r w:rsidRPr="009C5096">
              <w:rPr>
                <w:rFonts w:ascii="Arial" w:hAnsi="Arial" w:cs="Arial"/>
                <w:sz w:val="20"/>
                <w:szCs w:val="20"/>
                <w:lang w:val="en-US"/>
              </w:rPr>
              <w:t>% of cancelation of contracts (cancelled/contracted)</w:t>
            </w:r>
          </w:p>
        </w:tc>
        <w:tc>
          <w:tcPr>
            <w:tcW w:w="1440" w:type="dxa"/>
          </w:tcPr>
          <w:p w:rsidR="003136C5" w:rsidRPr="009C5096" w:rsidRDefault="003136C5" w:rsidP="00251DF5">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0</w:t>
            </w:r>
            <w:r w:rsidR="00251DF5">
              <w:rPr>
                <w:rFonts w:ascii="Arial" w:hAnsi="Arial" w:cs="Arial"/>
                <w:sz w:val="20"/>
                <w:szCs w:val="20"/>
                <w:lang w:val="en-US"/>
              </w:rPr>
              <w:t>.</w:t>
            </w:r>
            <w:r w:rsidRPr="009C5096">
              <w:rPr>
                <w:rFonts w:ascii="Arial" w:hAnsi="Arial" w:cs="Arial"/>
                <w:sz w:val="20"/>
                <w:szCs w:val="20"/>
                <w:lang w:val="en-US"/>
              </w:rPr>
              <w:t>6</w:t>
            </w:r>
          </w:p>
        </w:tc>
      </w:tr>
      <w:tr w:rsidR="003136C5" w:rsidRPr="009C5096" w:rsidTr="00612896">
        <w:tc>
          <w:tcPr>
            <w:tcW w:w="5485" w:type="dxa"/>
          </w:tcPr>
          <w:p w:rsidR="003136C5" w:rsidRPr="009C5096" w:rsidRDefault="003136C5" w:rsidP="00251DF5">
            <w:pPr>
              <w:pStyle w:val="m343668044302477783m-3986873246552044066msolistparagraph"/>
              <w:spacing w:before="0" w:beforeAutospacing="0" w:after="0" w:afterAutospacing="0"/>
              <w:jc w:val="both"/>
              <w:rPr>
                <w:rFonts w:ascii="Arial" w:hAnsi="Arial" w:cs="Arial"/>
                <w:sz w:val="20"/>
                <w:szCs w:val="20"/>
                <w:lang w:val="en-US"/>
              </w:rPr>
            </w:pPr>
            <w:r w:rsidRPr="009C5096">
              <w:rPr>
                <w:rFonts w:ascii="Arial" w:hAnsi="Arial" w:cs="Arial"/>
                <w:sz w:val="20"/>
                <w:szCs w:val="20"/>
                <w:lang w:val="en-US"/>
              </w:rPr>
              <w:t xml:space="preserve">% of paid contracts (paid/(contracted </w:t>
            </w:r>
            <w:r w:rsidR="00251DF5">
              <w:rPr>
                <w:rFonts w:ascii="Arial" w:hAnsi="Arial" w:cs="Arial"/>
                <w:sz w:val="20"/>
                <w:szCs w:val="20"/>
                <w:lang w:val="en-US"/>
              </w:rPr>
              <w:t>–</w:t>
            </w:r>
            <w:r w:rsidRPr="009C5096">
              <w:rPr>
                <w:rFonts w:ascii="Arial" w:hAnsi="Arial" w:cs="Arial"/>
                <w:sz w:val="20"/>
                <w:szCs w:val="20"/>
                <w:lang w:val="en-US"/>
              </w:rPr>
              <w:t xml:space="preserve"> cancelled)</w:t>
            </w:r>
          </w:p>
        </w:tc>
        <w:tc>
          <w:tcPr>
            <w:tcW w:w="1440" w:type="dxa"/>
          </w:tcPr>
          <w:p w:rsidR="003136C5" w:rsidRPr="009C5096" w:rsidRDefault="003136C5" w:rsidP="00612896">
            <w:pPr>
              <w:pStyle w:val="m343668044302477783m-3986873246552044066msolistparagraph"/>
              <w:spacing w:before="0" w:beforeAutospacing="0" w:after="0" w:afterAutospacing="0"/>
              <w:jc w:val="center"/>
              <w:rPr>
                <w:rFonts w:ascii="Arial" w:hAnsi="Arial" w:cs="Arial"/>
                <w:sz w:val="20"/>
                <w:szCs w:val="20"/>
                <w:lang w:val="en-US"/>
              </w:rPr>
            </w:pPr>
            <w:r w:rsidRPr="009C5096">
              <w:rPr>
                <w:rFonts w:ascii="Arial" w:hAnsi="Arial" w:cs="Arial"/>
                <w:sz w:val="20"/>
                <w:szCs w:val="20"/>
                <w:lang w:val="en-US"/>
              </w:rPr>
              <w:t>13</w:t>
            </w:r>
          </w:p>
        </w:tc>
      </w:tr>
    </w:tbl>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rPr>
      </w:pPr>
      <w:r w:rsidRPr="009C5096">
        <w:rPr>
          <w:rFonts w:ascii="Arial" w:hAnsi="Arial" w:cs="Arial"/>
          <w:sz w:val="18"/>
          <w:szCs w:val="18"/>
          <w:lang w:val="en-US"/>
        </w:rPr>
        <w:t>Source: Managing Authority</w:t>
      </w:r>
    </w:p>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rPr>
      </w:pPr>
    </w:p>
    <w:p w:rsidR="003136C5" w:rsidRPr="009C509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lang w:val="en-US"/>
        </w:rPr>
      </w:pPr>
      <w:bookmarkStart w:id="34" w:name="_Toc8649811"/>
      <w:r w:rsidRPr="009C5096">
        <w:rPr>
          <w:rFonts w:ascii="Arial" w:hAnsi="Arial" w:cs="Arial"/>
          <w:b/>
          <w:lang w:val="en-US"/>
        </w:rPr>
        <w:t>Measure 1 – Investments in physical assets of agricultural holdings</w:t>
      </w:r>
      <w:bookmarkEnd w:id="34"/>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During the reporting period, the number of projects submitted under Measure 1 reached 1</w:t>
      </w:r>
      <w:r w:rsidR="00251DF5">
        <w:rPr>
          <w:rFonts w:ascii="Arial" w:hAnsi="Arial" w:cs="Arial"/>
          <w:sz w:val="22"/>
          <w:szCs w:val="22"/>
          <w:lang w:val="en-US"/>
        </w:rPr>
        <w:t>,</w:t>
      </w:r>
      <w:r w:rsidRPr="009C5096">
        <w:rPr>
          <w:rFonts w:ascii="Arial" w:hAnsi="Arial" w:cs="Arial"/>
          <w:sz w:val="22"/>
          <w:szCs w:val="22"/>
          <w:lang w:val="en-US"/>
        </w:rPr>
        <w:t>404 (17</w:t>
      </w:r>
      <w:r w:rsidR="00251DF5">
        <w:rPr>
          <w:rFonts w:ascii="Arial" w:hAnsi="Arial" w:cs="Arial"/>
          <w:sz w:val="22"/>
          <w:szCs w:val="22"/>
          <w:lang w:val="en-US"/>
        </w:rPr>
        <w:t>,</w:t>
      </w:r>
      <w:r w:rsidRPr="009C5096">
        <w:rPr>
          <w:rFonts w:ascii="Arial" w:hAnsi="Arial" w:cs="Arial"/>
          <w:sz w:val="22"/>
          <w:szCs w:val="22"/>
          <w:lang w:val="en-US"/>
        </w:rPr>
        <w:t>959</w:t>
      </w:r>
      <w:r w:rsidR="00251DF5">
        <w:rPr>
          <w:rFonts w:ascii="Arial" w:hAnsi="Arial" w:cs="Arial"/>
          <w:sz w:val="22"/>
          <w:szCs w:val="22"/>
          <w:lang w:val="en-US"/>
        </w:rPr>
        <w:t>,</w:t>
      </w:r>
      <w:r w:rsidRPr="009C5096">
        <w:rPr>
          <w:rFonts w:ascii="Arial" w:hAnsi="Arial" w:cs="Arial"/>
          <w:sz w:val="22"/>
          <w:szCs w:val="22"/>
          <w:lang w:val="en-US"/>
        </w:rPr>
        <w:t>245 EU contribution). Contracts have been signed with 902 applicants (8</w:t>
      </w:r>
      <w:r w:rsidR="00251DF5">
        <w:rPr>
          <w:rFonts w:ascii="Arial" w:hAnsi="Arial" w:cs="Arial"/>
          <w:sz w:val="22"/>
          <w:szCs w:val="22"/>
          <w:lang w:val="en-US"/>
        </w:rPr>
        <w:t>,</w:t>
      </w:r>
      <w:r w:rsidRPr="009C5096">
        <w:rPr>
          <w:rFonts w:ascii="Arial" w:hAnsi="Arial" w:cs="Arial"/>
          <w:sz w:val="22"/>
          <w:szCs w:val="22"/>
          <w:lang w:val="en-US"/>
        </w:rPr>
        <w:t>127</w:t>
      </w:r>
      <w:r w:rsidR="00251DF5">
        <w:rPr>
          <w:rFonts w:ascii="Arial" w:hAnsi="Arial" w:cs="Arial"/>
          <w:sz w:val="22"/>
          <w:szCs w:val="22"/>
          <w:lang w:val="en-US"/>
        </w:rPr>
        <w:t>,</w:t>
      </w:r>
      <w:r w:rsidRPr="009C5096">
        <w:rPr>
          <w:rFonts w:ascii="Arial" w:hAnsi="Arial" w:cs="Arial"/>
          <w:sz w:val="22"/>
          <w:szCs w:val="22"/>
          <w:lang w:val="en-US"/>
        </w:rPr>
        <w:t>123 EU contribution) and 6 of them (17</w:t>
      </w:r>
      <w:r w:rsidR="00251DF5">
        <w:rPr>
          <w:rFonts w:ascii="Arial" w:hAnsi="Arial" w:cs="Arial"/>
          <w:sz w:val="22"/>
          <w:szCs w:val="22"/>
          <w:lang w:val="en-US"/>
        </w:rPr>
        <w:t>,</w:t>
      </w:r>
      <w:r w:rsidRPr="009C5096">
        <w:rPr>
          <w:rFonts w:ascii="Arial" w:hAnsi="Arial" w:cs="Arial"/>
          <w:sz w:val="22"/>
          <w:szCs w:val="22"/>
          <w:lang w:val="en-US"/>
        </w:rPr>
        <w:t>749 EU contribution) were terminated by the Agency. Payment of contracts reached 116 (452</w:t>
      </w:r>
      <w:r w:rsidR="00251DF5">
        <w:rPr>
          <w:rFonts w:ascii="Arial" w:hAnsi="Arial" w:cs="Arial"/>
          <w:sz w:val="22"/>
          <w:szCs w:val="22"/>
          <w:lang w:val="en-US"/>
        </w:rPr>
        <w:t>,</w:t>
      </w:r>
      <w:r w:rsidRPr="009C5096">
        <w:rPr>
          <w:rFonts w:ascii="Arial" w:hAnsi="Arial" w:cs="Arial"/>
          <w:sz w:val="22"/>
          <w:szCs w:val="22"/>
          <w:lang w:val="en-US"/>
        </w:rPr>
        <w:t>875 EU contribution).</w:t>
      </w:r>
    </w:p>
    <w:p w:rsidR="003136C5" w:rsidRPr="00036440" w:rsidRDefault="003136C5" w:rsidP="003136C5">
      <w:pPr>
        <w:pStyle w:val="m343668044302477783m-3986873246552044066msolistparagraph"/>
        <w:spacing w:before="120" w:beforeAutospacing="0" w:after="120" w:afterAutospacing="0"/>
        <w:jc w:val="both"/>
        <w:rPr>
          <w:rFonts w:ascii="Arial" w:hAnsi="Arial" w:cs="Arial"/>
          <w:sz w:val="20"/>
          <w:szCs w:val="20"/>
          <w:lang w:val="en-US" w:eastAsia="en-US"/>
        </w:rPr>
      </w:pPr>
      <w:bookmarkStart w:id="35" w:name="_Toc6902277"/>
      <w:r w:rsidRPr="00036440">
        <w:rPr>
          <w:rFonts w:ascii="Arial" w:eastAsia="Times New Roman" w:hAnsi="Arial" w:cs="Arial"/>
          <w:sz w:val="20"/>
          <w:szCs w:val="20"/>
          <w:lang w:val="en-US"/>
        </w:rPr>
        <w:t xml:space="preserve">Table </w:t>
      </w:r>
      <w:r w:rsidRPr="00036440">
        <w:rPr>
          <w:rFonts w:ascii="Arial" w:eastAsia="Times New Roman" w:hAnsi="Arial" w:cs="Arial"/>
          <w:i/>
          <w:sz w:val="20"/>
          <w:szCs w:val="20"/>
          <w:lang w:val="en-US"/>
        </w:rPr>
        <w:fldChar w:fldCharType="begin"/>
      </w:r>
      <w:r w:rsidRPr="00036440">
        <w:rPr>
          <w:rFonts w:ascii="Arial" w:eastAsia="Times New Roman" w:hAnsi="Arial" w:cs="Arial"/>
          <w:sz w:val="20"/>
          <w:szCs w:val="20"/>
          <w:lang w:val="en-US"/>
        </w:rPr>
        <w:instrText xml:space="preserve"> SEQ Table \* ARABIC </w:instrText>
      </w:r>
      <w:r w:rsidRPr="00036440">
        <w:rPr>
          <w:rFonts w:ascii="Arial" w:eastAsia="Times New Roman" w:hAnsi="Arial" w:cs="Arial"/>
          <w:i/>
          <w:sz w:val="20"/>
          <w:szCs w:val="20"/>
          <w:lang w:val="en-US"/>
        </w:rPr>
        <w:fldChar w:fldCharType="separate"/>
      </w:r>
      <w:r w:rsidRPr="00036440">
        <w:rPr>
          <w:rFonts w:ascii="Arial" w:eastAsia="Times New Roman" w:hAnsi="Arial" w:cs="Arial"/>
          <w:sz w:val="20"/>
          <w:szCs w:val="20"/>
          <w:lang w:val="en-US"/>
        </w:rPr>
        <w:t>11</w:t>
      </w:r>
      <w:r w:rsidRPr="00036440">
        <w:rPr>
          <w:rFonts w:ascii="Arial" w:eastAsia="Times New Roman" w:hAnsi="Arial" w:cs="Arial"/>
          <w:i/>
          <w:sz w:val="20"/>
          <w:szCs w:val="20"/>
          <w:lang w:val="en-US"/>
        </w:rPr>
        <w:fldChar w:fldCharType="end"/>
      </w:r>
      <w:r w:rsidRPr="00036440">
        <w:rPr>
          <w:rFonts w:ascii="Arial" w:eastAsia="Times New Roman" w:hAnsi="Arial" w:cs="Arial"/>
          <w:sz w:val="20"/>
          <w:szCs w:val="20"/>
          <w:lang w:val="en-US"/>
        </w:rPr>
        <w:t>: Overview of objectives fulfilment by applications</w:t>
      </w:r>
      <w:r w:rsidRPr="00036440">
        <w:rPr>
          <w:rFonts w:ascii="Arial" w:hAnsi="Arial" w:cs="Arial"/>
          <w:sz w:val="20"/>
          <w:szCs w:val="20"/>
          <w:lang w:val="en-US"/>
        </w:rPr>
        <w:t xml:space="preserve"> in Measure 1</w:t>
      </w:r>
      <w:bookmarkEnd w:id="35"/>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1170"/>
        <w:gridCol w:w="1266"/>
        <w:gridCol w:w="894"/>
      </w:tblGrid>
      <w:tr w:rsidR="003136C5" w:rsidRPr="009C5096" w:rsidTr="00036440">
        <w:trPr>
          <w:trHeight w:val="510"/>
        </w:trPr>
        <w:tc>
          <w:tcPr>
            <w:tcW w:w="6025"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Measure objectives</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Received</w:t>
            </w:r>
          </w:p>
        </w:tc>
        <w:tc>
          <w:tcPr>
            <w:tcW w:w="1266"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Contracted</w:t>
            </w:r>
          </w:p>
        </w:tc>
        <w:tc>
          <w:tcPr>
            <w:tcW w:w="894"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Paid</w:t>
            </w:r>
          </w:p>
        </w:tc>
      </w:tr>
      <w:tr w:rsidR="003136C5" w:rsidRPr="009C5096" w:rsidTr="00036440">
        <w:trPr>
          <w:trHeight w:val="555"/>
        </w:trPr>
        <w:tc>
          <w:tcPr>
            <w:tcW w:w="602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Improve the overall performance of the agriculture holdings in the production of primary agricultural products</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642</w:t>
            </w:r>
          </w:p>
        </w:tc>
        <w:tc>
          <w:tcPr>
            <w:tcW w:w="1266"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392</w:t>
            </w:r>
          </w:p>
        </w:tc>
        <w:tc>
          <w:tcPr>
            <w:tcW w:w="894"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39</w:t>
            </w:r>
          </w:p>
        </w:tc>
      </w:tr>
      <w:tr w:rsidR="003136C5" w:rsidRPr="009C5096" w:rsidTr="00036440">
        <w:trPr>
          <w:trHeight w:val="570"/>
        </w:trPr>
        <w:tc>
          <w:tcPr>
            <w:tcW w:w="6025" w:type="dxa"/>
            <w:shd w:val="clear" w:color="auto" w:fill="auto"/>
            <w:vAlign w:val="center"/>
            <w:hideMark/>
          </w:tcPr>
          <w:p w:rsidR="003136C5" w:rsidRPr="009C5096" w:rsidRDefault="003136C5" w:rsidP="00251DF5">
            <w:pPr>
              <w:rPr>
                <w:rFonts w:ascii="Arial" w:hAnsi="Arial" w:cs="Arial"/>
                <w:sz w:val="20"/>
                <w:szCs w:val="20"/>
              </w:rPr>
            </w:pPr>
            <w:r w:rsidRPr="009C5096">
              <w:rPr>
                <w:rFonts w:ascii="Arial" w:hAnsi="Arial" w:cs="Arial"/>
                <w:sz w:val="20"/>
                <w:szCs w:val="20"/>
              </w:rPr>
              <w:t>Attract young people in the agriculture activities by improving their life and working conditions, as well as ensur</w:t>
            </w:r>
            <w:r w:rsidR="00251DF5">
              <w:rPr>
                <w:rFonts w:ascii="Arial" w:hAnsi="Arial" w:cs="Arial"/>
                <w:sz w:val="20"/>
                <w:szCs w:val="20"/>
              </w:rPr>
              <w:t xml:space="preserve">ing </w:t>
            </w:r>
            <w:r w:rsidRPr="009C5096">
              <w:rPr>
                <w:rFonts w:ascii="Arial" w:hAnsi="Arial" w:cs="Arial"/>
                <w:sz w:val="20"/>
                <w:szCs w:val="20"/>
              </w:rPr>
              <w:t>the hygiene and welfare conditions of the livestock</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490</w:t>
            </w:r>
          </w:p>
        </w:tc>
        <w:tc>
          <w:tcPr>
            <w:tcW w:w="1266"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325</w:t>
            </w:r>
          </w:p>
        </w:tc>
        <w:tc>
          <w:tcPr>
            <w:tcW w:w="894"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50</w:t>
            </w:r>
          </w:p>
        </w:tc>
      </w:tr>
      <w:tr w:rsidR="003136C5" w:rsidRPr="009C5096" w:rsidTr="00036440">
        <w:trPr>
          <w:trHeight w:val="780"/>
        </w:trPr>
        <w:tc>
          <w:tcPr>
            <w:tcW w:w="602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Improve farm labour productivity and efficiency of the agriculture production, as well as the post-harvesting and marketing of agriculture products, aiming at increased competitiveness via investments</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270</w:t>
            </w:r>
          </w:p>
        </w:tc>
        <w:tc>
          <w:tcPr>
            <w:tcW w:w="1266"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183</w:t>
            </w:r>
          </w:p>
        </w:tc>
        <w:tc>
          <w:tcPr>
            <w:tcW w:w="894"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26</w:t>
            </w:r>
          </w:p>
        </w:tc>
      </w:tr>
      <w:tr w:rsidR="003136C5" w:rsidRPr="009C5096" w:rsidTr="00036440">
        <w:trPr>
          <w:trHeight w:val="570"/>
        </w:trPr>
        <w:tc>
          <w:tcPr>
            <w:tcW w:w="6025" w:type="dxa"/>
            <w:shd w:val="clear" w:color="auto" w:fill="auto"/>
            <w:vAlign w:val="center"/>
            <w:hideMark/>
          </w:tcPr>
          <w:p w:rsidR="003136C5" w:rsidRPr="009C5096" w:rsidRDefault="003136C5" w:rsidP="00251DF5">
            <w:pPr>
              <w:rPr>
                <w:rFonts w:ascii="Arial" w:hAnsi="Arial" w:cs="Arial"/>
                <w:sz w:val="20"/>
                <w:szCs w:val="20"/>
              </w:rPr>
            </w:pPr>
            <w:r w:rsidRPr="009C5096">
              <w:rPr>
                <w:rFonts w:ascii="Arial" w:hAnsi="Arial" w:cs="Arial"/>
                <w:sz w:val="20"/>
                <w:szCs w:val="20"/>
              </w:rPr>
              <w:lastRenderedPageBreak/>
              <w:t>Promote use of renewable energy at farm level and at processing level</w:t>
            </w:r>
            <w:r w:rsidR="00251DF5">
              <w:rPr>
                <w:rFonts w:ascii="Arial" w:hAnsi="Arial" w:cs="Arial"/>
                <w:sz w:val="20"/>
                <w:szCs w:val="20"/>
              </w:rPr>
              <w:t>,</w:t>
            </w:r>
            <w:r w:rsidRPr="009C5096">
              <w:rPr>
                <w:rFonts w:ascii="Arial" w:hAnsi="Arial" w:cs="Arial"/>
                <w:sz w:val="20"/>
                <w:szCs w:val="20"/>
              </w:rPr>
              <w:t xml:space="preserve"> as well as increase the overall energy use from renewable resources at national level</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1266"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894"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w:t>
            </w:r>
          </w:p>
        </w:tc>
      </w:tr>
    </w:tbl>
    <w:p w:rsidR="003136C5" w:rsidRPr="009C5096" w:rsidRDefault="003136C5" w:rsidP="003136C5">
      <w:pPr>
        <w:pStyle w:val="m343668044302477783m-3986873246552044066msolistparagraph"/>
        <w:spacing w:before="0" w:beforeAutospacing="0" w:after="0" w:afterAutospacing="0"/>
        <w:jc w:val="both"/>
        <w:rPr>
          <w:rFonts w:ascii="Arial" w:hAnsi="Arial" w:cs="Arial"/>
          <w:sz w:val="22"/>
          <w:szCs w:val="22"/>
          <w:lang w:val="en-US"/>
        </w:rPr>
      </w:pPr>
      <w:r w:rsidRPr="009C5096">
        <w:rPr>
          <w:rFonts w:ascii="Arial" w:hAnsi="Arial" w:cs="Arial"/>
          <w:sz w:val="18"/>
          <w:szCs w:val="18"/>
          <w:lang w:val="en-US" w:eastAsia="en-US"/>
        </w:rPr>
        <w:t>Source: Managing Authority</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Application</w:t>
      </w:r>
      <w:r w:rsidR="00F257DF">
        <w:rPr>
          <w:rFonts w:ascii="Arial" w:hAnsi="Arial" w:cs="Arial"/>
          <w:sz w:val="22"/>
          <w:szCs w:val="22"/>
          <w:lang w:val="en-US"/>
        </w:rPr>
        <w:t>s</w:t>
      </w:r>
      <w:r w:rsidRPr="009C5096">
        <w:rPr>
          <w:rFonts w:ascii="Arial" w:hAnsi="Arial" w:cs="Arial"/>
          <w:sz w:val="22"/>
          <w:szCs w:val="22"/>
          <w:lang w:val="en-US"/>
        </w:rPr>
        <w:t xml:space="preserve"> received </w:t>
      </w:r>
      <w:r w:rsidR="00F257DF">
        <w:rPr>
          <w:rFonts w:ascii="Arial" w:hAnsi="Arial" w:cs="Arial"/>
          <w:sz w:val="22"/>
          <w:szCs w:val="22"/>
          <w:lang w:val="en-US"/>
        </w:rPr>
        <w:t xml:space="preserve">under </w:t>
      </w:r>
      <w:r w:rsidRPr="009C5096">
        <w:rPr>
          <w:rFonts w:ascii="Arial" w:hAnsi="Arial" w:cs="Arial"/>
          <w:sz w:val="22"/>
          <w:szCs w:val="22"/>
          <w:lang w:val="en-US"/>
        </w:rPr>
        <w:t>the first call were of a lower value. Most of the applications (72%) were below 10</w:t>
      </w:r>
      <w:r w:rsidR="00F257DF">
        <w:rPr>
          <w:rFonts w:ascii="Arial" w:hAnsi="Arial" w:cs="Arial"/>
          <w:sz w:val="22"/>
          <w:szCs w:val="22"/>
          <w:lang w:val="en-US"/>
        </w:rPr>
        <w:t>,</w:t>
      </w:r>
      <w:r w:rsidRPr="009C5096">
        <w:rPr>
          <w:rFonts w:ascii="Arial" w:hAnsi="Arial" w:cs="Arial"/>
          <w:sz w:val="22"/>
          <w:szCs w:val="22"/>
          <w:lang w:val="en-US"/>
        </w:rPr>
        <w:t xml:space="preserve">000 € and 26% </w:t>
      </w:r>
      <w:r w:rsidR="00F257DF">
        <w:rPr>
          <w:rFonts w:ascii="Arial" w:hAnsi="Arial" w:cs="Arial"/>
          <w:sz w:val="22"/>
          <w:szCs w:val="22"/>
          <w:lang w:val="en-US"/>
        </w:rPr>
        <w:t xml:space="preserve">were </w:t>
      </w:r>
      <w:r w:rsidRPr="009C5096">
        <w:rPr>
          <w:rFonts w:ascii="Arial" w:hAnsi="Arial" w:cs="Arial"/>
          <w:sz w:val="22"/>
          <w:szCs w:val="22"/>
          <w:lang w:val="en-US"/>
        </w:rPr>
        <w:t>in the range from 10</w:t>
      </w:r>
      <w:r w:rsidR="00F257DF">
        <w:rPr>
          <w:rFonts w:ascii="Arial" w:hAnsi="Arial" w:cs="Arial"/>
          <w:sz w:val="22"/>
          <w:szCs w:val="22"/>
          <w:lang w:val="en-US"/>
        </w:rPr>
        <w:t>,</w:t>
      </w:r>
      <w:r w:rsidRPr="009C5096">
        <w:rPr>
          <w:rFonts w:ascii="Arial" w:hAnsi="Arial" w:cs="Arial"/>
          <w:sz w:val="22"/>
          <w:szCs w:val="22"/>
          <w:lang w:val="en-US"/>
        </w:rPr>
        <w:t>000 – 50</w:t>
      </w:r>
      <w:r w:rsidR="00F257DF">
        <w:rPr>
          <w:rFonts w:ascii="Arial" w:hAnsi="Arial" w:cs="Arial"/>
          <w:sz w:val="22"/>
          <w:szCs w:val="22"/>
          <w:lang w:val="en-US"/>
        </w:rPr>
        <w:t>,</w:t>
      </w:r>
      <w:r w:rsidRPr="009C5096">
        <w:rPr>
          <w:rFonts w:ascii="Arial" w:hAnsi="Arial" w:cs="Arial"/>
          <w:sz w:val="22"/>
          <w:szCs w:val="22"/>
          <w:lang w:val="en-US"/>
        </w:rPr>
        <w:t>000 €</w:t>
      </w:r>
      <w:r w:rsidRPr="009C5096">
        <w:rPr>
          <w:rStyle w:val="FootnoteReference"/>
          <w:rFonts w:ascii="Arial" w:hAnsi="Arial" w:cs="Arial"/>
          <w:sz w:val="22"/>
          <w:szCs w:val="22"/>
          <w:lang w:val="en-US"/>
        </w:rPr>
        <w:footnoteReference w:id="4"/>
      </w:r>
      <w:r w:rsidRPr="009C5096">
        <w:rPr>
          <w:rFonts w:ascii="Arial" w:hAnsi="Arial" w:cs="Arial"/>
          <w:sz w:val="22"/>
          <w:szCs w:val="22"/>
          <w:lang w:val="en-US"/>
        </w:rPr>
        <w:t xml:space="preserve">. </w:t>
      </w:r>
    </w:p>
    <w:p w:rsidR="003136C5" w:rsidRPr="00036440" w:rsidRDefault="003136C5" w:rsidP="003136C5">
      <w:pPr>
        <w:pStyle w:val="m343668044302477783m-3986873246552044066msolistparagraph"/>
        <w:spacing w:before="120" w:beforeAutospacing="0" w:after="0" w:afterAutospacing="0"/>
        <w:jc w:val="both"/>
        <w:rPr>
          <w:rFonts w:ascii="Arial" w:hAnsi="Arial" w:cs="Arial"/>
          <w:sz w:val="20"/>
          <w:szCs w:val="20"/>
          <w:lang w:val="en-US"/>
        </w:rPr>
      </w:pPr>
      <w:bookmarkStart w:id="36" w:name="_Toc6903703"/>
      <w:r w:rsidRPr="00036440">
        <w:rPr>
          <w:rFonts w:ascii="Arial" w:hAnsi="Arial" w:cs="Arial"/>
          <w:sz w:val="20"/>
          <w:szCs w:val="20"/>
          <w:lang w:val="en-US"/>
        </w:rPr>
        <w:t xml:space="preserve">Figure </w:t>
      </w:r>
      <w:r w:rsidRPr="00036440">
        <w:rPr>
          <w:rFonts w:ascii="Arial" w:hAnsi="Arial" w:cs="Arial"/>
          <w:sz w:val="20"/>
          <w:szCs w:val="20"/>
          <w:lang w:val="en-US"/>
        </w:rPr>
        <w:fldChar w:fldCharType="begin"/>
      </w:r>
      <w:r w:rsidRPr="00036440">
        <w:rPr>
          <w:rFonts w:ascii="Arial" w:hAnsi="Arial" w:cs="Arial"/>
          <w:sz w:val="20"/>
          <w:szCs w:val="20"/>
          <w:lang w:val="en-US"/>
        </w:rPr>
        <w:instrText xml:space="preserve"> SEQ Figure \* ARABIC </w:instrText>
      </w:r>
      <w:r w:rsidRPr="00036440">
        <w:rPr>
          <w:rFonts w:ascii="Arial" w:hAnsi="Arial" w:cs="Arial"/>
          <w:sz w:val="20"/>
          <w:szCs w:val="20"/>
          <w:lang w:val="en-US"/>
        </w:rPr>
        <w:fldChar w:fldCharType="separate"/>
      </w:r>
      <w:r w:rsidRPr="00036440">
        <w:rPr>
          <w:rFonts w:ascii="Arial" w:hAnsi="Arial" w:cs="Arial"/>
          <w:sz w:val="20"/>
          <w:szCs w:val="20"/>
          <w:lang w:val="en-US"/>
        </w:rPr>
        <w:t>3</w:t>
      </w:r>
      <w:r w:rsidRPr="00036440">
        <w:rPr>
          <w:rFonts w:ascii="Arial" w:hAnsi="Arial" w:cs="Arial"/>
          <w:sz w:val="20"/>
          <w:szCs w:val="20"/>
          <w:lang w:val="en-US"/>
        </w:rPr>
        <w:fldChar w:fldCharType="end"/>
      </w:r>
      <w:r w:rsidRPr="00036440">
        <w:rPr>
          <w:rFonts w:ascii="Arial" w:hAnsi="Arial" w:cs="Arial"/>
          <w:sz w:val="20"/>
          <w:szCs w:val="20"/>
          <w:lang w:val="en-US"/>
        </w:rPr>
        <w:t>: Review of applications per value of investments in Measure 1</w:t>
      </w:r>
      <w:bookmarkEnd w:id="36"/>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noProof/>
          <w:sz w:val="22"/>
          <w:szCs w:val="22"/>
          <w:lang w:val="en-US" w:eastAsia="en-US"/>
        </w:rPr>
        <w:drawing>
          <wp:inline distT="0" distB="0" distL="0" distR="0" wp14:anchorId="657FA55F" wp14:editId="6CF821DF">
            <wp:extent cx="4913630" cy="2361538"/>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9697" cy="2364454"/>
                    </a:xfrm>
                    <a:prstGeom prst="rect">
                      <a:avLst/>
                    </a:prstGeom>
                    <a:noFill/>
                  </pic:spPr>
                </pic:pic>
              </a:graphicData>
            </a:graphic>
          </wp:inline>
        </w:drawing>
      </w:r>
    </w:p>
    <w:p w:rsidR="003136C5" w:rsidRPr="009C5096" w:rsidRDefault="003136C5" w:rsidP="003136C5">
      <w:pPr>
        <w:pStyle w:val="m343668044302477783m-3986873246552044066msolistparagraph"/>
        <w:spacing w:before="0" w:beforeAutospacing="0" w:after="0" w:afterAutospacing="0"/>
        <w:jc w:val="both"/>
        <w:rPr>
          <w:rFonts w:ascii="Arial" w:hAnsi="Arial" w:cs="Arial"/>
          <w:sz w:val="22"/>
          <w:szCs w:val="22"/>
          <w:lang w:val="en-US"/>
        </w:rPr>
      </w:pPr>
      <w:r w:rsidRPr="009C5096">
        <w:rPr>
          <w:rFonts w:ascii="Arial" w:hAnsi="Arial" w:cs="Arial"/>
          <w:sz w:val="18"/>
          <w:szCs w:val="18"/>
          <w:lang w:val="en-US" w:eastAsia="en-US"/>
        </w:rPr>
        <w:t>Source: Managing Authority</w:t>
      </w:r>
    </w:p>
    <w:p w:rsidR="003136C5" w:rsidRPr="009C5096" w:rsidRDefault="00130F8F" w:rsidP="003136C5">
      <w:pPr>
        <w:pStyle w:val="m343668044302477783m-3986873246552044066msolistparagraph"/>
        <w:spacing w:before="120" w:beforeAutospacing="0" w:after="0" w:afterAutospacing="0"/>
        <w:jc w:val="both"/>
        <w:rPr>
          <w:rFonts w:ascii="Arial" w:hAnsi="Arial" w:cs="Arial"/>
          <w:sz w:val="22"/>
          <w:szCs w:val="22"/>
          <w:lang w:val="en-US"/>
        </w:rPr>
      </w:pPr>
      <w:r>
        <w:rPr>
          <w:rFonts w:ascii="Arial" w:hAnsi="Arial" w:cs="Arial"/>
          <w:sz w:val="22"/>
          <w:szCs w:val="22"/>
          <w:lang w:val="en-US"/>
        </w:rPr>
        <w:t xml:space="preserve">Having in mind </w:t>
      </w:r>
      <w:r w:rsidR="003136C5" w:rsidRPr="009C5096">
        <w:rPr>
          <w:rFonts w:ascii="Arial" w:hAnsi="Arial" w:cs="Arial"/>
          <w:sz w:val="22"/>
          <w:szCs w:val="22"/>
          <w:lang w:val="en-US"/>
        </w:rPr>
        <w:t xml:space="preserve">the conditions in the crop production sector, such as: the needs for investments in </w:t>
      </w:r>
      <w:r w:rsidR="00F257DF" w:rsidRPr="009C5096">
        <w:rPr>
          <w:rFonts w:ascii="Arial" w:hAnsi="Arial" w:cs="Arial"/>
          <w:sz w:val="22"/>
          <w:szCs w:val="22"/>
          <w:lang w:val="en-US"/>
        </w:rPr>
        <w:t xml:space="preserve">mechanization </w:t>
      </w:r>
      <w:r w:rsidR="003136C5" w:rsidRPr="009C5096">
        <w:rPr>
          <w:rFonts w:ascii="Arial" w:hAnsi="Arial" w:cs="Arial"/>
          <w:sz w:val="22"/>
          <w:szCs w:val="22"/>
          <w:lang w:val="en-US"/>
        </w:rPr>
        <w:t xml:space="preserve">modernization, resolved property legal issues, lower value of investments (low level of construction activities) and the overriding problems with the legalization of irrigation wells, most of the applications were submitted in </w:t>
      </w:r>
      <w:r>
        <w:rPr>
          <w:rFonts w:ascii="Arial" w:hAnsi="Arial" w:cs="Arial"/>
          <w:sz w:val="22"/>
          <w:szCs w:val="22"/>
          <w:lang w:val="en-US"/>
        </w:rPr>
        <w:t xml:space="preserve">the </w:t>
      </w:r>
      <w:r w:rsidR="003136C5" w:rsidRPr="009C5096">
        <w:rPr>
          <w:rFonts w:ascii="Arial" w:hAnsi="Arial" w:cs="Arial"/>
          <w:sz w:val="22"/>
          <w:szCs w:val="22"/>
          <w:lang w:val="en-US"/>
        </w:rPr>
        <w:t>crop production</w:t>
      </w:r>
      <w:r>
        <w:rPr>
          <w:rFonts w:ascii="Arial" w:hAnsi="Arial" w:cs="Arial"/>
          <w:sz w:val="22"/>
          <w:szCs w:val="22"/>
          <w:lang w:val="en-US"/>
        </w:rPr>
        <w:t xml:space="preserve"> area</w:t>
      </w:r>
      <w:r w:rsidR="003136C5" w:rsidRPr="009C5096">
        <w:rPr>
          <w:rFonts w:ascii="Arial" w:hAnsi="Arial" w:cs="Arial"/>
          <w:sz w:val="22"/>
          <w:szCs w:val="22"/>
          <w:lang w:val="en-US"/>
        </w:rPr>
        <w:t>.</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The real needs for investments in the livestock production sectors relate to the production capacities </w:t>
      </w:r>
      <w:r w:rsidR="00130F8F" w:rsidRPr="009C5096">
        <w:rPr>
          <w:rFonts w:ascii="Arial" w:hAnsi="Arial" w:cs="Arial"/>
          <w:sz w:val="22"/>
          <w:szCs w:val="22"/>
          <w:lang w:val="en-US"/>
        </w:rPr>
        <w:t xml:space="preserve">reconstruction </w:t>
      </w:r>
      <w:r w:rsidRPr="009C5096">
        <w:rPr>
          <w:rFonts w:ascii="Arial" w:hAnsi="Arial" w:cs="Arial"/>
          <w:sz w:val="22"/>
          <w:szCs w:val="22"/>
          <w:lang w:val="en-US"/>
        </w:rPr>
        <w:t xml:space="preserve">(rebuilding the farms in order to achieve the standards for animal welfare and </w:t>
      </w:r>
      <w:r w:rsidR="00130F8F" w:rsidRPr="009C5096">
        <w:rPr>
          <w:rFonts w:ascii="Arial" w:hAnsi="Arial" w:cs="Arial"/>
          <w:sz w:val="22"/>
          <w:szCs w:val="22"/>
          <w:lang w:val="en-US"/>
        </w:rPr>
        <w:t>environment</w:t>
      </w:r>
      <w:r w:rsidR="00130F8F">
        <w:rPr>
          <w:rFonts w:ascii="Arial" w:hAnsi="Arial" w:cs="Arial"/>
          <w:sz w:val="22"/>
          <w:szCs w:val="22"/>
          <w:lang w:val="en-US"/>
        </w:rPr>
        <w:t>al</w:t>
      </w:r>
      <w:r w:rsidR="00130F8F" w:rsidRPr="009C5096">
        <w:rPr>
          <w:rFonts w:ascii="Arial" w:hAnsi="Arial" w:cs="Arial"/>
          <w:sz w:val="22"/>
          <w:szCs w:val="22"/>
          <w:lang w:val="en-US"/>
        </w:rPr>
        <w:t xml:space="preserve"> </w:t>
      </w:r>
      <w:r w:rsidRPr="009C5096">
        <w:rPr>
          <w:rFonts w:ascii="Arial" w:hAnsi="Arial" w:cs="Arial"/>
          <w:sz w:val="22"/>
          <w:szCs w:val="22"/>
          <w:lang w:val="en-US"/>
        </w:rPr>
        <w:t xml:space="preserve">protection). Investments like this (construction activities) have higher value than those related to </w:t>
      </w:r>
      <w:r w:rsidR="00130F8F" w:rsidRPr="009C5096">
        <w:rPr>
          <w:rFonts w:ascii="Arial" w:hAnsi="Arial" w:cs="Arial"/>
          <w:sz w:val="22"/>
          <w:szCs w:val="22"/>
          <w:lang w:val="en-US"/>
        </w:rPr>
        <w:t xml:space="preserve">equipment </w:t>
      </w:r>
      <w:r w:rsidRPr="009C5096">
        <w:rPr>
          <w:rFonts w:ascii="Arial" w:hAnsi="Arial" w:cs="Arial"/>
          <w:sz w:val="22"/>
          <w:szCs w:val="22"/>
          <w:lang w:val="en-US"/>
        </w:rPr>
        <w:t xml:space="preserve">procurement and installation, so the lack of such investment activities affected the </w:t>
      </w:r>
      <w:r w:rsidR="00130F8F" w:rsidRPr="009C5096">
        <w:rPr>
          <w:rFonts w:ascii="Arial" w:hAnsi="Arial" w:cs="Arial"/>
          <w:sz w:val="22"/>
          <w:szCs w:val="22"/>
          <w:lang w:val="en-US"/>
        </w:rPr>
        <w:t xml:space="preserve">Programme </w:t>
      </w:r>
      <w:r w:rsidRPr="009C5096">
        <w:rPr>
          <w:rFonts w:ascii="Arial" w:hAnsi="Arial" w:cs="Arial"/>
          <w:sz w:val="22"/>
          <w:szCs w:val="22"/>
          <w:lang w:val="en-US"/>
        </w:rPr>
        <w:t xml:space="preserve">financial targets </w:t>
      </w:r>
      <w:r w:rsidR="00130F8F" w:rsidRPr="009C5096">
        <w:rPr>
          <w:rFonts w:ascii="Arial" w:hAnsi="Arial" w:cs="Arial"/>
          <w:sz w:val="22"/>
          <w:szCs w:val="22"/>
          <w:lang w:val="en-US"/>
        </w:rPr>
        <w:t>implementation</w:t>
      </w:r>
      <w:r w:rsidRPr="009C5096">
        <w:rPr>
          <w:rFonts w:ascii="Arial" w:hAnsi="Arial" w:cs="Arial"/>
          <w:sz w:val="22"/>
          <w:szCs w:val="22"/>
          <w:lang w:val="en-US"/>
        </w:rPr>
        <w:t>.</w:t>
      </w:r>
      <w:r w:rsidR="00130F8F" w:rsidRPr="00130F8F">
        <w:rPr>
          <w:rFonts w:ascii="Arial" w:hAnsi="Arial" w:cs="Arial"/>
          <w:sz w:val="22"/>
          <w:szCs w:val="22"/>
          <w:lang w:val="en-US"/>
        </w:rPr>
        <w:t xml:space="preserve"> </w:t>
      </w:r>
    </w:p>
    <w:p w:rsidR="003136C5" w:rsidRPr="00036440" w:rsidRDefault="003136C5" w:rsidP="003136C5">
      <w:pPr>
        <w:pStyle w:val="m343668044302477783m-3986873246552044066msolistparagraph"/>
        <w:spacing w:before="120" w:beforeAutospacing="0" w:after="120" w:afterAutospacing="0"/>
        <w:jc w:val="both"/>
        <w:rPr>
          <w:rFonts w:ascii="Arial" w:hAnsi="Arial" w:cs="Arial"/>
          <w:sz w:val="20"/>
          <w:szCs w:val="20"/>
          <w:lang w:val="en-US"/>
        </w:rPr>
      </w:pPr>
      <w:bookmarkStart w:id="37" w:name="_Toc6902278"/>
      <w:r w:rsidRPr="00036440">
        <w:rPr>
          <w:rFonts w:ascii="Arial" w:eastAsia="Times New Roman" w:hAnsi="Arial" w:cs="Arial"/>
          <w:sz w:val="20"/>
          <w:szCs w:val="20"/>
          <w:lang w:val="en-US"/>
        </w:rPr>
        <w:t xml:space="preserve">Table </w:t>
      </w:r>
      <w:r w:rsidRPr="00036440">
        <w:rPr>
          <w:rFonts w:ascii="Arial" w:eastAsia="Times New Roman" w:hAnsi="Arial" w:cs="Arial"/>
          <w:i/>
          <w:sz w:val="20"/>
          <w:szCs w:val="20"/>
          <w:lang w:val="en-US"/>
        </w:rPr>
        <w:fldChar w:fldCharType="begin"/>
      </w:r>
      <w:r w:rsidRPr="00036440">
        <w:rPr>
          <w:rFonts w:ascii="Arial" w:eastAsia="Times New Roman" w:hAnsi="Arial" w:cs="Arial"/>
          <w:sz w:val="20"/>
          <w:szCs w:val="20"/>
          <w:lang w:val="en-US"/>
        </w:rPr>
        <w:instrText xml:space="preserve"> SEQ Table \* ARABIC </w:instrText>
      </w:r>
      <w:r w:rsidRPr="00036440">
        <w:rPr>
          <w:rFonts w:ascii="Arial" w:eastAsia="Times New Roman" w:hAnsi="Arial" w:cs="Arial"/>
          <w:i/>
          <w:sz w:val="20"/>
          <w:szCs w:val="20"/>
          <w:lang w:val="en-US"/>
        </w:rPr>
        <w:fldChar w:fldCharType="separate"/>
      </w:r>
      <w:r w:rsidRPr="00036440">
        <w:rPr>
          <w:rFonts w:ascii="Arial" w:eastAsia="Times New Roman" w:hAnsi="Arial" w:cs="Arial"/>
          <w:sz w:val="20"/>
          <w:szCs w:val="20"/>
          <w:lang w:val="en-US"/>
        </w:rPr>
        <w:t>12</w:t>
      </w:r>
      <w:r w:rsidRPr="00036440">
        <w:rPr>
          <w:rFonts w:ascii="Arial" w:eastAsia="Times New Roman" w:hAnsi="Arial" w:cs="Arial"/>
          <w:i/>
          <w:sz w:val="20"/>
          <w:szCs w:val="20"/>
          <w:lang w:val="en-US"/>
        </w:rPr>
        <w:fldChar w:fldCharType="end"/>
      </w:r>
      <w:r w:rsidRPr="00036440">
        <w:rPr>
          <w:rFonts w:ascii="Arial" w:eastAsia="Times New Roman" w:hAnsi="Arial" w:cs="Arial"/>
          <w:sz w:val="20"/>
          <w:szCs w:val="20"/>
          <w:lang w:val="en-US"/>
        </w:rPr>
        <w:t>:</w:t>
      </w:r>
      <w:r w:rsidRPr="00036440">
        <w:rPr>
          <w:rFonts w:ascii="Arial" w:hAnsi="Arial" w:cs="Arial"/>
          <w:sz w:val="20"/>
          <w:szCs w:val="20"/>
          <w:lang w:val="en-US"/>
        </w:rPr>
        <w:t xml:space="preserve"> Review of applications per priority sectors in Measure 1</w:t>
      </w:r>
      <w:bookmarkEnd w:id="37"/>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072"/>
        <w:gridCol w:w="1266"/>
        <w:gridCol w:w="1235"/>
        <w:gridCol w:w="837"/>
        <w:gridCol w:w="1260"/>
        <w:gridCol w:w="1530"/>
      </w:tblGrid>
      <w:tr w:rsidR="003136C5" w:rsidRPr="009C5096" w:rsidTr="00612896">
        <w:tc>
          <w:tcPr>
            <w:tcW w:w="2155" w:type="dxa"/>
            <w:shd w:val="clear" w:color="auto" w:fill="auto"/>
            <w:noWrap/>
            <w:vAlign w:val="bottom"/>
            <w:hideMark/>
          </w:tcPr>
          <w:p w:rsidR="003136C5" w:rsidRPr="009C5096" w:rsidRDefault="003136C5" w:rsidP="00612896">
            <w:pPr>
              <w:rPr>
                <w:rFonts w:ascii="Arial" w:hAnsi="Arial" w:cs="Arial"/>
              </w:rPr>
            </w:pPr>
          </w:p>
        </w:tc>
        <w:tc>
          <w:tcPr>
            <w:tcW w:w="1072"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Received</w:t>
            </w:r>
          </w:p>
          <w:p w:rsidR="003136C5" w:rsidRPr="009C5096" w:rsidRDefault="003136C5" w:rsidP="00612896">
            <w:pPr>
              <w:jc w:val="center"/>
              <w:rPr>
                <w:rFonts w:ascii="Arial" w:hAnsi="Arial" w:cs="Arial"/>
                <w:sz w:val="20"/>
                <w:szCs w:val="20"/>
              </w:rPr>
            </w:pPr>
            <w:r w:rsidRPr="009C5096">
              <w:rPr>
                <w:rFonts w:ascii="Arial" w:hAnsi="Arial" w:cs="Arial"/>
                <w:sz w:val="20"/>
                <w:szCs w:val="20"/>
              </w:rPr>
              <w:t>(A)</w:t>
            </w:r>
          </w:p>
        </w:tc>
        <w:tc>
          <w:tcPr>
            <w:tcW w:w="1266"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Contracted</w:t>
            </w:r>
          </w:p>
          <w:p w:rsidR="003136C5" w:rsidRPr="009C5096" w:rsidRDefault="003136C5" w:rsidP="00612896">
            <w:pPr>
              <w:jc w:val="center"/>
              <w:rPr>
                <w:rFonts w:ascii="Arial" w:hAnsi="Arial" w:cs="Arial"/>
                <w:sz w:val="20"/>
                <w:szCs w:val="20"/>
              </w:rPr>
            </w:pPr>
            <w:r w:rsidRPr="009C5096">
              <w:rPr>
                <w:rFonts w:ascii="Arial" w:hAnsi="Arial" w:cs="Arial"/>
                <w:sz w:val="20"/>
                <w:szCs w:val="20"/>
              </w:rPr>
              <w:t>(B)</w:t>
            </w:r>
          </w:p>
        </w:tc>
        <w:tc>
          <w:tcPr>
            <w:tcW w:w="1235"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EU part contracted</w:t>
            </w:r>
          </w:p>
        </w:tc>
        <w:tc>
          <w:tcPr>
            <w:tcW w:w="837"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Paid</w:t>
            </w:r>
          </w:p>
        </w:tc>
        <w:tc>
          <w:tcPr>
            <w:tcW w:w="126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EU part paid</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 of approval</w:t>
            </w:r>
          </w:p>
          <w:p w:rsidR="003136C5" w:rsidRPr="009C5096" w:rsidRDefault="003136C5" w:rsidP="00612896">
            <w:pPr>
              <w:jc w:val="center"/>
              <w:rPr>
                <w:rFonts w:ascii="Arial" w:hAnsi="Arial" w:cs="Arial"/>
                <w:sz w:val="20"/>
                <w:szCs w:val="20"/>
              </w:rPr>
            </w:pPr>
            <w:r w:rsidRPr="009C5096">
              <w:rPr>
                <w:rFonts w:ascii="Arial" w:hAnsi="Arial" w:cs="Arial"/>
                <w:sz w:val="20"/>
                <w:szCs w:val="20"/>
              </w:rPr>
              <w:t>(B/A)</w:t>
            </w:r>
          </w:p>
        </w:tc>
      </w:tr>
      <w:tr w:rsidR="003136C5" w:rsidRPr="009C5096" w:rsidTr="00612896">
        <w:tc>
          <w:tcPr>
            <w:tcW w:w="2155" w:type="dxa"/>
            <w:shd w:val="clear" w:color="auto" w:fill="auto"/>
            <w:noWrap/>
            <w:vAlign w:val="bottom"/>
            <w:hideMark/>
          </w:tcPr>
          <w:p w:rsidR="003136C5" w:rsidRPr="009C5096" w:rsidRDefault="003136C5" w:rsidP="00612896">
            <w:pPr>
              <w:rPr>
                <w:rFonts w:ascii="Arial" w:hAnsi="Arial" w:cs="Arial"/>
                <w:sz w:val="20"/>
                <w:szCs w:val="20"/>
              </w:rPr>
            </w:pPr>
            <w:r w:rsidRPr="009C5096">
              <w:rPr>
                <w:rFonts w:ascii="Arial" w:hAnsi="Arial" w:cs="Arial"/>
                <w:sz w:val="20"/>
                <w:szCs w:val="20"/>
              </w:rPr>
              <w:t>Cattle</w:t>
            </w:r>
          </w:p>
        </w:tc>
        <w:tc>
          <w:tcPr>
            <w:tcW w:w="1072"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10</w:t>
            </w:r>
          </w:p>
        </w:tc>
        <w:tc>
          <w:tcPr>
            <w:tcW w:w="1266"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1235" w:type="dxa"/>
            <w:shd w:val="clear" w:color="auto" w:fill="auto"/>
            <w:noWrap/>
            <w:vAlign w:val="bottom"/>
            <w:hideMark/>
          </w:tcPr>
          <w:p w:rsidR="003136C5" w:rsidRPr="009C5096" w:rsidRDefault="003136C5" w:rsidP="00130F8F">
            <w:pPr>
              <w:jc w:val="right"/>
              <w:rPr>
                <w:rFonts w:ascii="Arial" w:hAnsi="Arial" w:cs="Arial"/>
                <w:sz w:val="20"/>
                <w:szCs w:val="20"/>
              </w:rPr>
            </w:pPr>
            <w:r w:rsidRPr="009C5096">
              <w:rPr>
                <w:rFonts w:ascii="Arial" w:hAnsi="Arial" w:cs="Arial"/>
                <w:sz w:val="20"/>
                <w:szCs w:val="20"/>
              </w:rPr>
              <w:t>57</w:t>
            </w:r>
            <w:r w:rsidR="00130F8F">
              <w:rPr>
                <w:rFonts w:ascii="Arial" w:hAnsi="Arial" w:cs="Arial"/>
                <w:sz w:val="20"/>
                <w:szCs w:val="20"/>
              </w:rPr>
              <w:t>,</w:t>
            </w:r>
            <w:r w:rsidRPr="009C5096">
              <w:rPr>
                <w:rFonts w:ascii="Arial" w:hAnsi="Arial" w:cs="Arial"/>
                <w:sz w:val="20"/>
                <w:szCs w:val="20"/>
              </w:rPr>
              <w:t>430</w:t>
            </w:r>
          </w:p>
        </w:tc>
        <w:tc>
          <w:tcPr>
            <w:tcW w:w="837"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c>
          <w:tcPr>
            <w:tcW w:w="1260" w:type="dxa"/>
            <w:shd w:val="clear" w:color="auto" w:fill="auto"/>
            <w:noWrap/>
            <w:vAlign w:val="bottom"/>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0</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20%</w:t>
            </w:r>
          </w:p>
        </w:tc>
      </w:tr>
      <w:tr w:rsidR="003136C5" w:rsidRPr="009C5096" w:rsidTr="00612896">
        <w:tc>
          <w:tcPr>
            <w:tcW w:w="2155" w:type="dxa"/>
            <w:shd w:val="clear" w:color="auto" w:fill="auto"/>
            <w:noWrap/>
            <w:vAlign w:val="bottom"/>
            <w:hideMark/>
          </w:tcPr>
          <w:p w:rsidR="003136C5" w:rsidRPr="009C5096" w:rsidRDefault="003136C5" w:rsidP="00612896">
            <w:pPr>
              <w:rPr>
                <w:rFonts w:ascii="Arial" w:hAnsi="Arial" w:cs="Arial"/>
                <w:sz w:val="20"/>
                <w:szCs w:val="20"/>
              </w:rPr>
            </w:pPr>
            <w:r w:rsidRPr="009C5096">
              <w:rPr>
                <w:rFonts w:ascii="Arial" w:hAnsi="Arial" w:cs="Arial"/>
                <w:sz w:val="20"/>
                <w:szCs w:val="20"/>
              </w:rPr>
              <w:t>Poultry</w:t>
            </w:r>
          </w:p>
        </w:tc>
        <w:tc>
          <w:tcPr>
            <w:tcW w:w="1072"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4</w:t>
            </w:r>
          </w:p>
        </w:tc>
        <w:tc>
          <w:tcPr>
            <w:tcW w:w="1266"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1235" w:type="dxa"/>
            <w:shd w:val="clear" w:color="auto" w:fill="auto"/>
            <w:noWrap/>
            <w:vAlign w:val="bottom"/>
            <w:hideMark/>
          </w:tcPr>
          <w:p w:rsidR="003136C5" w:rsidRPr="009C5096" w:rsidRDefault="003136C5" w:rsidP="00130F8F">
            <w:pPr>
              <w:jc w:val="right"/>
              <w:rPr>
                <w:rFonts w:ascii="Arial" w:hAnsi="Arial" w:cs="Arial"/>
                <w:sz w:val="20"/>
                <w:szCs w:val="20"/>
              </w:rPr>
            </w:pPr>
            <w:r w:rsidRPr="009C5096">
              <w:rPr>
                <w:rFonts w:ascii="Arial" w:hAnsi="Arial" w:cs="Arial"/>
                <w:sz w:val="20"/>
                <w:szCs w:val="20"/>
              </w:rPr>
              <w:t>446</w:t>
            </w:r>
            <w:r w:rsidR="00130F8F">
              <w:rPr>
                <w:rFonts w:ascii="Arial" w:hAnsi="Arial" w:cs="Arial"/>
                <w:sz w:val="20"/>
                <w:szCs w:val="20"/>
              </w:rPr>
              <w:t>,</w:t>
            </w:r>
            <w:r w:rsidRPr="009C5096">
              <w:rPr>
                <w:rFonts w:ascii="Arial" w:hAnsi="Arial" w:cs="Arial"/>
                <w:sz w:val="20"/>
                <w:szCs w:val="20"/>
              </w:rPr>
              <w:t>268</w:t>
            </w:r>
          </w:p>
        </w:tc>
        <w:tc>
          <w:tcPr>
            <w:tcW w:w="837"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c>
          <w:tcPr>
            <w:tcW w:w="1260" w:type="dxa"/>
            <w:shd w:val="clear" w:color="auto" w:fill="auto"/>
            <w:noWrap/>
            <w:vAlign w:val="bottom"/>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0</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50%</w:t>
            </w:r>
          </w:p>
        </w:tc>
      </w:tr>
      <w:tr w:rsidR="003136C5" w:rsidRPr="009C5096" w:rsidTr="00612896">
        <w:tc>
          <w:tcPr>
            <w:tcW w:w="2155" w:type="dxa"/>
            <w:shd w:val="clear" w:color="auto" w:fill="auto"/>
            <w:noWrap/>
            <w:vAlign w:val="bottom"/>
            <w:hideMark/>
          </w:tcPr>
          <w:p w:rsidR="003136C5" w:rsidRPr="009C5096" w:rsidRDefault="003136C5" w:rsidP="00612896">
            <w:pPr>
              <w:rPr>
                <w:rFonts w:ascii="Arial" w:hAnsi="Arial" w:cs="Arial"/>
                <w:sz w:val="20"/>
                <w:szCs w:val="20"/>
              </w:rPr>
            </w:pPr>
            <w:r w:rsidRPr="009C5096">
              <w:rPr>
                <w:rFonts w:ascii="Arial" w:hAnsi="Arial" w:cs="Arial"/>
                <w:sz w:val="20"/>
                <w:szCs w:val="20"/>
              </w:rPr>
              <w:t>Sheep</w:t>
            </w:r>
          </w:p>
        </w:tc>
        <w:tc>
          <w:tcPr>
            <w:tcW w:w="1072"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12</w:t>
            </w:r>
          </w:p>
        </w:tc>
        <w:tc>
          <w:tcPr>
            <w:tcW w:w="1266"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w:t>
            </w:r>
          </w:p>
        </w:tc>
        <w:tc>
          <w:tcPr>
            <w:tcW w:w="1235" w:type="dxa"/>
            <w:shd w:val="clear" w:color="auto" w:fill="auto"/>
            <w:noWrap/>
            <w:vAlign w:val="bottom"/>
            <w:hideMark/>
          </w:tcPr>
          <w:p w:rsidR="003136C5" w:rsidRPr="009C5096" w:rsidRDefault="003136C5" w:rsidP="00130F8F">
            <w:pPr>
              <w:jc w:val="right"/>
              <w:rPr>
                <w:rFonts w:ascii="Arial" w:hAnsi="Arial" w:cs="Arial"/>
                <w:sz w:val="20"/>
                <w:szCs w:val="20"/>
              </w:rPr>
            </w:pPr>
            <w:r w:rsidRPr="009C5096">
              <w:rPr>
                <w:rFonts w:ascii="Arial" w:hAnsi="Arial" w:cs="Arial"/>
                <w:sz w:val="20"/>
                <w:szCs w:val="20"/>
              </w:rPr>
              <w:t>17</w:t>
            </w:r>
            <w:r w:rsidR="00130F8F">
              <w:rPr>
                <w:rFonts w:ascii="Arial" w:hAnsi="Arial" w:cs="Arial"/>
                <w:sz w:val="20"/>
                <w:szCs w:val="20"/>
              </w:rPr>
              <w:t>,</w:t>
            </w:r>
            <w:r w:rsidRPr="009C5096">
              <w:rPr>
                <w:rFonts w:ascii="Arial" w:hAnsi="Arial" w:cs="Arial"/>
                <w:sz w:val="20"/>
                <w:szCs w:val="20"/>
              </w:rPr>
              <w:t>271</w:t>
            </w:r>
          </w:p>
        </w:tc>
        <w:tc>
          <w:tcPr>
            <w:tcW w:w="837"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c>
          <w:tcPr>
            <w:tcW w:w="1260" w:type="dxa"/>
            <w:shd w:val="clear" w:color="auto" w:fill="auto"/>
            <w:noWrap/>
            <w:vAlign w:val="bottom"/>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0</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25%</w:t>
            </w:r>
          </w:p>
        </w:tc>
      </w:tr>
      <w:tr w:rsidR="003136C5" w:rsidRPr="009C5096" w:rsidTr="00612896">
        <w:tc>
          <w:tcPr>
            <w:tcW w:w="2155" w:type="dxa"/>
            <w:shd w:val="clear" w:color="auto" w:fill="auto"/>
            <w:noWrap/>
            <w:vAlign w:val="bottom"/>
            <w:hideMark/>
          </w:tcPr>
          <w:p w:rsidR="003136C5" w:rsidRPr="009C5096" w:rsidRDefault="003136C5" w:rsidP="00612896">
            <w:pPr>
              <w:rPr>
                <w:rFonts w:ascii="Arial" w:hAnsi="Arial" w:cs="Arial"/>
                <w:sz w:val="20"/>
                <w:szCs w:val="20"/>
              </w:rPr>
            </w:pPr>
            <w:r w:rsidRPr="009C5096">
              <w:rPr>
                <w:rFonts w:ascii="Arial" w:hAnsi="Arial" w:cs="Arial"/>
                <w:sz w:val="20"/>
                <w:szCs w:val="20"/>
              </w:rPr>
              <w:t>Pigs</w:t>
            </w:r>
          </w:p>
        </w:tc>
        <w:tc>
          <w:tcPr>
            <w:tcW w:w="1072"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7</w:t>
            </w:r>
          </w:p>
        </w:tc>
        <w:tc>
          <w:tcPr>
            <w:tcW w:w="1266"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w:t>
            </w:r>
          </w:p>
        </w:tc>
        <w:tc>
          <w:tcPr>
            <w:tcW w:w="1235" w:type="dxa"/>
            <w:shd w:val="clear" w:color="auto" w:fill="auto"/>
            <w:noWrap/>
            <w:vAlign w:val="bottom"/>
            <w:hideMark/>
          </w:tcPr>
          <w:p w:rsidR="003136C5" w:rsidRPr="009C5096" w:rsidRDefault="003136C5" w:rsidP="00130F8F">
            <w:pPr>
              <w:jc w:val="right"/>
              <w:rPr>
                <w:rFonts w:ascii="Arial" w:hAnsi="Arial" w:cs="Arial"/>
                <w:sz w:val="20"/>
                <w:szCs w:val="20"/>
              </w:rPr>
            </w:pPr>
            <w:r w:rsidRPr="009C5096">
              <w:rPr>
                <w:rFonts w:ascii="Arial" w:hAnsi="Arial" w:cs="Arial"/>
                <w:sz w:val="20"/>
                <w:szCs w:val="20"/>
              </w:rPr>
              <w:t>917</w:t>
            </w:r>
            <w:r w:rsidR="00130F8F">
              <w:rPr>
                <w:rFonts w:ascii="Arial" w:hAnsi="Arial" w:cs="Arial"/>
                <w:sz w:val="20"/>
                <w:szCs w:val="20"/>
              </w:rPr>
              <w:t>,</w:t>
            </w:r>
            <w:r w:rsidRPr="009C5096">
              <w:rPr>
                <w:rFonts w:ascii="Arial" w:hAnsi="Arial" w:cs="Arial"/>
                <w:sz w:val="20"/>
                <w:szCs w:val="20"/>
              </w:rPr>
              <w:t>611</w:t>
            </w:r>
          </w:p>
        </w:tc>
        <w:tc>
          <w:tcPr>
            <w:tcW w:w="837"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c>
          <w:tcPr>
            <w:tcW w:w="1260" w:type="dxa"/>
            <w:shd w:val="clear" w:color="auto" w:fill="auto"/>
            <w:noWrap/>
            <w:vAlign w:val="bottom"/>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0</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43%</w:t>
            </w:r>
          </w:p>
        </w:tc>
      </w:tr>
      <w:tr w:rsidR="003136C5" w:rsidRPr="009C5096" w:rsidTr="00612896">
        <w:tc>
          <w:tcPr>
            <w:tcW w:w="2155" w:type="dxa"/>
            <w:shd w:val="clear" w:color="auto" w:fill="auto"/>
            <w:noWrap/>
            <w:vAlign w:val="bottom"/>
            <w:hideMark/>
          </w:tcPr>
          <w:p w:rsidR="003136C5" w:rsidRPr="009C5096" w:rsidRDefault="003136C5" w:rsidP="00612896">
            <w:pPr>
              <w:rPr>
                <w:rFonts w:ascii="Arial" w:hAnsi="Arial" w:cs="Arial"/>
                <w:sz w:val="20"/>
                <w:szCs w:val="20"/>
              </w:rPr>
            </w:pPr>
            <w:r w:rsidRPr="009C5096">
              <w:rPr>
                <w:rFonts w:ascii="Arial" w:hAnsi="Arial" w:cs="Arial"/>
                <w:sz w:val="20"/>
                <w:szCs w:val="20"/>
              </w:rPr>
              <w:t>Orchards</w:t>
            </w:r>
          </w:p>
        </w:tc>
        <w:tc>
          <w:tcPr>
            <w:tcW w:w="1072"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444</w:t>
            </w:r>
          </w:p>
        </w:tc>
        <w:tc>
          <w:tcPr>
            <w:tcW w:w="1266"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308</w:t>
            </w:r>
          </w:p>
        </w:tc>
        <w:tc>
          <w:tcPr>
            <w:tcW w:w="1235" w:type="dxa"/>
            <w:shd w:val="clear" w:color="auto" w:fill="auto"/>
            <w:noWrap/>
            <w:vAlign w:val="bottom"/>
            <w:hideMark/>
          </w:tcPr>
          <w:p w:rsidR="003136C5" w:rsidRPr="009C5096" w:rsidRDefault="003136C5" w:rsidP="00130F8F">
            <w:pPr>
              <w:jc w:val="right"/>
              <w:rPr>
                <w:rFonts w:ascii="Arial" w:hAnsi="Arial" w:cs="Arial"/>
                <w:sz w:val="20"/>
                <w:szCs w:val="20"/>
              </w:rPr>
            </w:pPr>
            <w:r w:rsidRPr="009C5096">
              <w:rPr>
                <w:rFonts w:ascii="Arial" w:hAnsi="Arial" w:cs="Arial"/>
                <w:sz w:val="20"/>
                <w:szCs w:val="20"/>
              </w:rPr>
              <w:t>2</w:t>
            </w:r>
            <w:r w:rsidR="00130F8F">
              <w:rPr>
                <w:rFonts w:ascii="Arial" w:hAnsi="Arial" w:cs="Arial"/>
                <w:sz w:val="20"/>
                <w:szCs w:val="20"/>
              </w:rPr>
              <w:t>,</w:t>
            </w:r>
            <w:r w:rsidRPr="009C5096">
              <w:rPr>
                <w:rFonts w:ascii="Arial" w:hAnsi="Arial" w:cs="Arial"/>
                <w:sz w:val="20"/>
                <w:szCs w:val="20"/>
              </w:rPr>
              <w:t>528</w:t>
            </w:r>
            <w:r w:rsidR="00130F8F">
              <w:rPr>
                <w:rFonts w:ascii="Arial" w:hAnsi="Arial" w:cs="Arial"/>
                <w:sz w:val="20"/>
                <w:szCs w:val="20"/>
              </w:rPr>
              <w:t>,</w:t>
            </w:r>
            <w:r w:rsidRPr="009C5096">
              <w:rPr>
                <w:rFonts w:ascii="Arial" w:hAnsi="Arial" w:cs="Arial"/>
                <w:sz w:val="20"/>
                <w:szCs w:val="20"/>
              </w:rPr>
              <w:t>272</w:t>
            </w:r>
          </w:p>
        </w:tc>
        <w:tc>
          <w:tcPr>
            <w:tcW w:w="837"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53</w:t>
            </w:r>
          </w:p>
        </w:tc>
        <w:tc>
          <w:tcPr>
            <w:tcW w:w="1260" w:type="dxa"/>
            <w:shd w:val="clear" w:color="auto" w:fill="auto"/>
            <w:noWrap/>
            <w:vAlign w:val="bottom"/>
            <w:hideMark/>
          </w:tcPr>
          <w:p w:rsidR="003136C5" w:rsidRPr="009C5096" w:rsidRDefault="003136C5" w:rsidP="00130F8F">
            <w:pPr>
              <w:jc w:val="right"/>
              <w:rPr>
                <w:rFonts w:ascii="Arial" w:hAnsi="Arial" w:cs="Arial"/>
                <w:sz w:val="20"/>
                <w:szCs w:val="20"/>
              </w:rPr>
            </w:pPr>
            <w:r w:rsidRPr="009C5096">
              <w:rPr>
                <w:rFonts w:ascii="Arial" w:hAnsi="Arial" w:cs="Arial"/>
                <w:sz w:val="20"/>
                <w:szCs w:val="20"/>
              </w:rPr>
              <w:t>186</w:t>
            </w:r>
            <w:r w:rsidR="00130F8F">
              <w:rPr>
                <w:rFonts w:ascii="Arial" w:hAnsi="Arial" w:cs="Arial"/>
                <w:sz w:val="20"/>
                <w:szCs w:val="20"/>
              </w:rPr>
              <w:t>,</w:t>
            </w:r>
            <w:r w:rsidRPr="009C5096">
              <w:rPr>
                <w:rFonts w:ascii="Arial" w:hAnsi="Arial" w:cs="Arial"/>
                <w:sz w:val="20"/>
                <w:szCs w:val="20"/>
              </w:rPr>
              <w:t>897</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69%</w:t>
            </w:r>
          </w:p>
        </w:tc>
      </w:tr>
      <w:tr w:rsidR="003136C5" w:rsidRPr="009C5096" w:rsidTr="00612896">
        <w:tc>
          <w:tcPr>
            <w:tcW w:w="2155" w:type="dxa"/>
            <w:shd w:val="clear" w:color="auto" w:fill="auto"/>
            <w:noWrap/>
            <w:vAlign w:val="bottom"/>
            <w:hideMark/>
          </w:tcPr>
          <w:p w:rsidR="003136C5" w:rsidRPr="009C5096" w:rsidRDefault="003136C5" w:rsidP="00612896">
            <w:pPr>
              <w:rPr>
                <w:rFonts w:ascii="Arial" w:hAnsi="Arial" w:cs="Arial"/>
                <w:sz w:val="20"/>
                <w:szCs w:val="20"/>
              </w:rPr>
            </w:pPr>
            <w:r w:rsidRPr="009C5096">
              <w:rPr>
                <w:rFonts w:ascii="Arial" w:hAnsi="Arial" w:cs="Arial"/>
                <w:sz w:val="20"/>
                <w:szCs w:val="20"/>
              </w:rPr>
              <w:t>Vineyards</w:t>
            </w:r>
          </w:p>
        </w:tc>
        <w:tc>
          <w:tcPr>
            <w:tcW w:w="1072"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155</w:t>
            </w:r>
          </w:p>
        </w:tc>
        <w:tc>
          <w:tcPr>
            <w:tcW w:w="1266"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123</w:t>
            </w:r>
          </w:p>
        </w:tc>
        <w:tc>
          <w:tcPr>
            <w:tcW w:w="1235" w:type="dxa"/>
            <w:shd w:val="clear" w:color="auto" w:fill="auto"/>
            <w:noWrap/>
            <w:vAlign w:val="bottom"/>
            <w:hideMark/>
          </w:tcPr>
          <w:p w:rsidR="003136C5" w:rsidRPr="009C5096" w:rsidRDefault="003136C5" w:rsidP="00130F8F">
            <w:pPr>
              <w:jc w:val="right"/>
              <w:rPr>
                <w:rFonts w:ascii="Arial" w:hAnsi="Arial" w:cs="Arial"/>
                <w:sz w:val="20"/>
                <w:szCs w:val="20"/>
              </w:rPr>
            </w:pPr>
            <w:r w:rsidRPr="009C5096">
              <w:rPr>
                <w:rFonts w:ascii="Arial" w:hAnsi="Arial" w:cs="Arial"/>
                <w:sz w:val="20"/>
                <w:szCs w:val="20"/>
              </w:rPr>
              <w:t>834</w:t>
            </w:r>
            <w:r w:rsidR="00130F8F">
              <w:rPr>
                <w:rFonts w:ascii="Arial" w:hAnsi="Arial" w:cs="Arial"/>
                <w:sz w:val="20"/>
                <w:szCs w:val="20"/>
              </w:rPr>
              <w:t>,</w:t>
            </w:r>
            <w:r w:rsidRPr="009C5096">
              <w:rPr>
                <w:rFonts w:ascii="Arial" w:hAnsi="Arial" w:cs="Arial"/>
                <w:sz w:val="20"/>
                <w:szCs w:val="20"/>
              </w:rPr>
              <w:t>980</w:t>
            </w:r>
          </w:p>
        </w:tc>
        <w:tc>
          <w:tcPr>
            <w:tcW w:w="837"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21</w:t>
            </w:r>
          </w:p>
        </w:tc>
        <w:tc>
          <w:tcPr>
            <w:tcW w:w="1260" w:type="dxa"/>
            <w:shd w:val="clear" w:color="auto" w:fill="auto"/>
            <w:noWrap/>
            <w:vAlign w:val="bottom"/>
            <w:hideMark/>
          </w:tcPr>
          <w:p w:rsidR="003136C5" w:rsidRPr="009C5096" w:rsidRDefault="003136C5" w:rsidP="00130F8F">
            <w:pPr>
              <w:jc w:val="right"/>
              <w:rPr>
                <w:rFonts w:ascii="Arial" w:hAnsi="Arial" w:cs="Arial"/>
                <w:sz w:val="20"/>
                <w:szCs w:val="20"/>
              </w:rPr>
            </w:pPr>
            <w:r w:rsidRPr="009C5096">
              <w:rPr>
                <w:rFonts w:ascii="Arial" w:hAnsi="Arial" w:cs="Arial"/>
                <w:sz w:val="20"/>
                <w:szCs w:val="20"/>
              </w:rPr>
              <w:t>40</w:t>
            </w:r>
            <w:r w:rsidR="00130F8F">
              <w:rPr>
                <w:rFonts w:ascii="Arial" w:hAnsi="Arial" w:cs="Arial"/>
                <w:sz w:val="20"/>
                <w:szCs w:val="20"/>
              </w:rPr>
              <w:t>,</w:t>
            </w:r>
            <w:r w:rsidRPr="009C5096">
              <w:rPr>
                <w:rFonts w:ascii="Arial" w:hAnsi="Arial" w:cs="Arial"/>
                <w:sz w:val="20"/>
                <w:szCs w:val="20"/>
              </w:rPr>
              <w:t>637</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79%</w:t>
            </w:r>
          </w:p>
        </w:tc>
      </w:tr>
      <w:tr w:rsidR="003136C5" w:rsidRPr="009C5096" w:rsidTr="00612896">
        <w:tc>
          <w:tcPr>
            <w:tcW w:w="2155" w:type="dxa"/>
            <w:shd w:val="clear" w:color="auto" w:fill="auto"/>
            <w:noWrap/>
            <w:vAlign w:val="bottom"/>
            <w:hideMark/>
          </w:tcPr>
          <w:p w:rsidR="003136C5" w:rsidRPr="009C5096" w:rsidRDefault="003136C5" w:rsidP="00612896">
            <w:pPr>
              <w:rPr>
                <w:rFonts w:ascii="Arial" w:hAnsi="Arial" w:cs="Arial"/>
                <w:sz w:val="20"/>
                <w:szCs w:val="20"/>
              </w:rPr>
            </w:pPr>
            <w:r w:rsidRPr="009C5096">
              <w:rPr>
                <w:rFonts w:ascii="Arial" w:hAnsi="Arial" w:cs="Arial"/>
                <w:sz w:val="20"/>
                <w:szCs w:val="20"/>
              </w:rPr>
              <w:t>Vegetables</w:t>
            </w:r>
          </w:p>
        </w:tc>
        <w:tc>
          <w:tcPr>
            <w:tcW w:w="1072"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101</w:t>
            </w:r>
          </w:p>
        </w:tc>
        <w:tc>
          <w:tcPr>
            <w:tcW w:w="1266"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61</w:t>
            </w:r>
          </w:p>
        </w:tc>
        <w:tc>
          <w:tcPr>
            <w:tcW w:w="1235" w:type="dxa"/>
            <w:shd w:val="clear" w:color="auto" w:fill="auto"/>
            <w:noWrap/>
            <w:vAlign w:val="bottom"/>
            <w:hideMark/>
          </w:tcPr>
          <w:p w:rsidR="003136C5" w:rsidRPr="009C5096" w:rsidRDefault="003136C5" w:rsidP="00130F8F">
            <w:pPr>
              <w:jc w:val="right"/>
              <w:rPr>
                <w:rFonts w:ascii="Arial" w:hAnsi="Arial" w:cs="Arial"/>
                <w:sz w:val="20"/>
                <w:szCs w:val="20"/>
              </w:rPr>
            </w:pPr>
            <w:r w:rsidRPr="009C5096">
              <w:rPr>
                <w:rFonts w:ascii="Arial" w:hAnsi="Arial" w:cs="Arial"/>
                <w:sz w:val="20"/>
                <w:szCs w:val="20"/>
              </w:rPr>
              <w:t>381</w:t>
            </w:r>
            <w:r w:rsidR="00130F8F">
              <w:rPr>
                <w:rFonts w:ascii="Arial" w:hAnsi="Arial" w:cs="Arial"/>
                <w:sz w:val="20"/>
                <w:szCs w:val="20"/>
              </w:rPr>
              <w:t>,</w:t>
            </w:r>
            <w:r w:rsidRPr="009C5096">
              <w:rPr>
                <w:rFonts w:ascii="Arial" w:hAnsi="Arial" w:cs="Arial"/>
                <w:sz w:val="20"/>
                <w:szCs w:val="20"/>
              </w:rPr>
              <w:t>672</w:t>
            </w:r>
          </w:p>
        </w:tc>
        <w:tc>
          <w:tcPr>
            <w:tcW w:w="837"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5</w:t>
            </w:r>
          </w:p>
        </w:tc>
        <w:tc>
          <w:tcPr>
            <w:tcW w:w="1260" w:type="dxa"/>
            <w:shd w:val="clear" w:color="auto" w:fill="auto"/>
            <w:noWrap/>
            <w:vAlign w:val="bottom"/>
            <w:hideMark/>
          </w:tcPr>
          <w:p w:rsidR="003136C5" w:rsidRPr="009C5096" w:rsidRDefault="003136C5" w:rsidP="00130F8F">
            <w:pPr>
              <w:jc w:val="right"/>
              <w:rPr>
                <w:rFonts w:ascii="Arial" w:hAnsi="Arial" w:cs="Arial"/>
                <w:sz w:val="20"/>
                <w:szCs w:val="20"/>
              </w:rPr>
            </w:pPr>
            <w:r w:rsidRPr="009C5096">
              <w:rPr>
                <w:rFonts w:ascii="Arial" w:hAnsi="Arial" w:cs="Arial"/>
                <w:sz w:val="20"/>
                <w:szCs w:val="20"/>
              </w:rPr>
              <w:t>53</w:t>
            </w:r>
            <w:r w:rsidR="00130F8F">
              <w:rPr>
                <w:rFonts w:ascii="Arial" w:hAnsi="Arial" w:cs="Arial"/>
                <w:sz w:val="20"/>
                <w:szCs w:val="20"/>
              </w:rPr>
              <w:t>,</w:t>
            </w:r>
            <w:r w:rsidRPr="009C5096">
              <w:rPr>
                <w:rFonts w:ascii="Arial" w:hAnsi="Arial" w:cs="Arial"/>
                <w:sz w:val="20"/>
                <w:szCs w:val="20"/>
              </w:rPr>
              <w:t>922</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60%</w:t>
            </w:r>
          </w:p>
        </w:tc>
      </w:tr>
      <w:tr w:rsidR="003136C5" w:rsidRPr="009C5096" w:rsidTr="00612896">
        <w:tc>
          <w:tcPr>
            <w:tcW w:w="2155" w:type="dxa"/>
            <w:shd w:val="clear" w:color="auto" w:fill="auto"/>
            <w:noWrap/>
            <w:vAlign w:val="bottom"/>
            <w:hideMark/>
          </w:tcPr>
          <w:p w:rsidR="003136C5" w:rsidRPr="009C5096" w:rsidRDefault="003136C5" w:rsidP="00612896">
            <w:pPr>
              <w:rPr>
                <w:rFonts w:ascii="Arial" w:hAnsi="Arial" w:cs="Arial"/>
                <w:sz w:val="20"/>
                <w:szCs w:val="20"/>
              </w:rPr>
            </w:pPr>
            <w:r w:rsidRPr="009C5096">
              <w:rPr>
                <w:rFonts w:ascii="Arial" w:hAnsi="Arial" w:cs="Arial"/>
                <w:sz w:val="20"/>
                <w:szCs w:val="20"/>
              </w:rPr>
              <w:t>Cereals</w:t>
            </w:r>
          </w:p>
        </w:tc>
        <w:tc>
          <w:tcPr>
            <w:tcW w:w="1072"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665</w:t>
            </w:r>
          </w:p>
        </w:tc>
        <w:tc>
          <w:tcPr>
            <w:tcW w:w="1266"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397</w:t>
            </w:r>
          </w:p>
        </w:tc>
        <w:tc>
          <w:tcPr>
            <w:tcW w:w="1235" w:type="dxa"/>
            <w:shd w:val="clear" w:color="auto" w:fill="auto"/>
            <w:noWrap/>
            <w:vAlign w:val="bottom"/>
            <w:hideMark/>
          </w:tcPr>
          <w:p w:rsidR="003136C5" w:rsidRPr="009C5096" w:rsidRDefault="003136C5" w:rsidP="00130F8F">
            <w:pPr>
              <w:jc w:val="right"/>
              <w:rPr>
                <w:rFonts w:ascii="Arial" w:hAnsi="Arial" w:cs="Arial"/>
                <w:sz w:val="20"/>
                <w:szCs w:val="20"/>
              </w:rPr>
            </w:pPr>
            <w:r w:rsidRPr="009C5096">
              <w:rPr>
                <w:rFonts w:ascii="Arial" w:hAnsi="Arial" w:cs="Arial"/>
                <w:sz w:val="20"/>
                <w:szCs w:val="20"/>
              </w:rPr>
              <w:t>2</w:t>
            </w:r>
            <w:r w:rsidR="00130F8F">
              <w:rPr>
                <w:rFonts w:ascii="Arial" w:hAnsi="Arial" w:cs="Arial"/>
                <w:sz w:val="20"/>
                <w:szCs w:val="20"/>
              </w:rPr>
              <w:t>,</w:t>
            </w:r>
            <w:r w:rsidRPr="009C5096">
              <w:rPr>
                <w:rFonts w:ascii="Arial" w:hAnsi="Arial" w:cs="Arial"/>
                <w:sz w:val="20"/>
                <w:szCs w:val="20"/>
              </w:rPr>
              <w:t>927</w:t>
            </w:r>
            <w:r w:rsidR="00130F8F">
              <w:rPr>
                <w:rFonts w:ascii="Arial" w:hAnsi="Arial" w:cs="Arial"/>
                <w:sz w:val="20"/>
                <w:szCs w:val="20"/>
              </w:rPr>
              <w:t>,</w:t>
            </w:r>
            <w:r w:rsidRPr="009C5096">
              <w:rPr>
                <w:rFonts w:ascii="Arial" w:hAnsi="Arial" w:cs="Arial"/>
                <w:sz w:val="20"/>
                <w:szCs w:val="20"/>
              </w:rPr>
              <w:t>769</w:t>
            </w:r>
          </w:p>
        </w:tc>
        <w:tc>
          <w:tcPr>
            <w:tcW w:w="837"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36</w:t>
            </w:r>
          </w:p>
        </w:tc>
        <w:tc>
          <w:tcPr>
            <w:tcW w:w="1260" w:type="dxa"/>
            <w:shd w:val="clear" w:color="auto" w:fill="auto"/>
            <w:noWrap/>
            <w:vAlign w:val="bottom"/>
            <w:hideMark/>
          </w:tcPr>
          <w:p w:rsidR="003136C5" w:rsidRPr="009C5096" w:rsidRDefault="003136C5" w:rsidP="00130F8F">
            <w:pPr>
              <w:jc w:val="right"/>
              <w:rPr>
                <w:rFonts w:ascii="Arial" w:hAnsi="Arial" w:cs="Arial"/>
                <w:sz w:val="20"/>
                <w:szCs w:val="20"/>
              </w:rPr>
            </w:pPr>
            <w:r w:rsidRPr="009C5096">
              <w:rPr>
                <w:rFonts w:ascii="Arial" w:hAnsi="Arial" w:cs="Arial"/>
                <w:sz w:val="20"/>
                <w:szCs w:val="20"/>
              </w:rPr>
              <w:t>168</w:t>
            </w:r>
            <w:r w:rsidR="00130F8F">
              <w:rPr>
                <w:rFonts w:ascii="Arial" w:hAnsi="Arial" w:cs="Arial"/>
                <w:sz w:val="20"/>
                <w:szCs w:val="20"/>
              </w:rPr>
              <w:t>,</w:t>
            </w:r>
            <w:r w:rsidRPr="009C5096">
              <w:rPr>
                <w:rFonts w:ascii="Arial" w:hAnsi="Arial" w:cs="Arial"/>
                <w:sz w:val="20"/>
                <w:szCs w:val="20"/>
              </w:rPr>
              <w:t>270</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60%</w:t>
            </w:r>
          </w:p>
        </w:tc>
      </w:tr>
      <w:tr w:rsidR="003136C5" w:rsidRPr="009C5096" w:rsidTr="00612896">
        <w:tc>
          <w:tcPr>
            <w:tcW w:w="2155" w:type="dxa"/>
            <w:shd w:val="clear" w:color="auto" w:fill="auto"/>
            <w:noWrap/>
            <w:vAlign w:val="bottom"/>
            <w:hideMark/>
          </w:tcPr>
          <w:p w:rsidR="003136C5" w:rsidRPr="009C5096" w:rsidRDefault="003136C5" w:rsidP="00612896">
            <w:pPr>
              <w:rPr>
                <w:rFonts w:ascii="Arial" w:hAnsi="Arial" w:cs="Arial"/>
                <w:sz w:val="20"/>
                <w:szCs w:val="20"/>
              </w:rPr>
            </w:pPr>
            <w:r w:rsidRPr="009C5096">
              <w:rPr>
                <w:rFonts w:ascii="Arial" w:hAnsi="Arial" w:cs="Arial"/>
                <w:sz w:val="20"/>
                <w:szCs w:val="20"/>
              </w:rPr>
              <w:t>On-farm processing</w:t>
            </w:r>
          </w:p>
        </w:tc>
        <w:tc>
          <w:tcPr>
            <w:tcW w:w="1072"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4</w:t>
            </w:r>
          </w:p>
        </w:tc>
        <w:tc>
          <w:tcPr>
            <w:tcW w:w="1266"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w:t>
            </w:r>
          </w:p>
        </w:tc>
        <w:tc>
          <w:tcPr>
            <w:tcW w:w="1235" w:type="dxa"/>
            <w:shd w:val="clear" w:color="auto" w:fill="auto"/>
            <w:noWrap/>
            <w:vAlign w:val="bottom"/>
            <w:hideMark/>
          </w:tcPr>
          <w:p w:rsidR="003136C5" w:rsidRPr="009C5096" w:rsidRDefault="003136C5" w:rsidP="00130F8F">
            <w:pPr>
              <w:jc w:val="right"/>
              <w:rPr>
                <w:rFonts w:ascii="Arial" w:hAnsi="Arial" w:cs="Arial"/>
                <w:sz w:val="20"/>
                <w:szCs w:val="20"/>
              </w:rPr>
            </w:pPr>
            <w:r w:rsidRPr="009C5096">
              <w:rPr>
                <w:rFonts w:ascii="Arial" w:hAnsi="Arial" w:cs="Arial"/>
                <w:sz w:val="20"/>
                <w:szCs w:val="20"/>
              </w:rPr>
              <w:t>12</w:t>
            </w:r>
            <w:r w:rsidR="00130F8F">
              <w:rPr>
                <w:rFonts w:ascii="Arial" w:hAnsi="Arial" w:cs="Arial"/>
                <w:sz w:val="20"/>
                <w:szCs w:val="20"/>
              </w:rPr>
              <w:t>,</w:t>
            </w:r>
            <w:r w:rsidRPr="009C5096">
              <w:rPr>
                <w:rFonts w:ascii="Arial" w:hAnsi="Arial" w:cs="Arial"/>
                <w:sz w:val="20"/>
                <w:szCs w:val="20"/>
              </w:rPr>
              <w:t>790</w:t>
            </w:r>
          </w:p>
        </w:tc>
        <w:tc>
          <w:tcPr>
            <w:tcW w:w="837"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c>
          <w:tcPr>
            <w:tcW w:w="1260" w:type="dxa"/>
            <w:shd w:val="clear" w:color="auto" w:fill="auto"/>
            <w:noWrap/>
            <w:vAlign w:val="bottom"/>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0</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25%</w:t>
            </w:r>
          </w:p>
        </w:tc>
      </w:tr>
      <w:tr w:rsidR="003136C5" w:rsidRPr="009C5096" w:rsidTr="00612896">
        <w:tc>
          <w:tcPr>
            <w:tcW w:w="2155" w:type="dxa"/>
            <w:shd w:val="clear" w:color="auto" w:fill="auto"/>
            <w:noWrap/>
            <w:vAlign w:val="bottom"/>
            <w:hideMark/>
          </w:tcPr>
          <w:p w:rsidR="003136C5" w:rsidRPr="009C5096" w:rsidRDefault="003136C5" w:rsidP="00612896">
            <w:pPr>
              <w:rPr>
                <w:rFonts w:ascii="Arial" w:hAnsi="Arial" w:cs="Arial"/>
                <w:sz w:val="20"/>
                <w:szCs w:val="20"/>
              </w:rPr>
            </w:pPr>
            <w:r w:rsidRPr="009C5096">
              <w:rPr>
                <w:rFonts w:ascii="Arial" w:hAnsi="Arial" w:cs="Arial"/>
                <w:sz w:val="20"/>
                <w:szCs w:val="20"/>
              </w:rPr>
              <w:t>Renewable energy</w:t>
            </w:r>
          </w:p>
        </w:tc>
        <w:tc>
          <w:tcPr>
            <w:tcW w:w="1072"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1266"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1235" w:type="dxa"/>
            <w:shd w:val="clear" w:color="auto" w:fill="auto"/>
            <w:noWrap/>
            <w:vAlign w:val="bottom"/>
            <w:hideMark/>
          </w:tcPr>
          <w:p w:rsidR="003136C5" w:rsidRPr="009C5096" w:rsidRDefault="003136C5" w:rsidP="00130F8F">
            <w:pPr>
              <w:jc w:val="right"/>
              <w:rPr>
                <w:rFonts w:ascii="Arial" w:hAnsi="Arial" w:cs="Arial"/>
                <w:sz w:val="20"/>
                <w:szCs w:val="20"/>
              </w:rPr>
            </w:pPr>
            <w:r w:rsidRPr="009C5096">
              <w:rPr>
                <w:rFonts w:ascii="Arial" w:hAnsi="Arial" w:cs="Arial"/>
                <w:sz w:val="20"/>
                <w:szCs w:val="20"/>
              </w:rPr>
              <w:t>3</w:t>
            </w:r>
            <w:r w:rsidR="00130F8F">
              <w:rPr>
                <w:rFonts w:ascii="Arial" w:hAnsi="Arial" w:cs="Arial"/>
                <w:sz w:val="20"/>
                <w:szCs w:val="20"/>
              </w:rPr>
              <w:t>,</w:t>
            </w:r>
            <w:r w:rsidRPr="009C5096">
              <w:rPr>
                <w:rFonts w:ascii="Arial" w:hAnsi="Arial" w:cs="Arial"/>
                <w:sz w:val="20"/>
                <w:szCs w:val="20"/>
              </w:rPr>
              <w:t>150</w:t>
            </w:r>
          </w:p>
        </w:tc>
        <w:tc>
          <w:tcPr>
            <w:tcW w:w="837" w:type="dxa"/>
            <w:shd w:val="clear" w:color="auto" w:fill="auto"/>
            <w:noWrap/>
            <w:vAlign w:val="bottom"/>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w:t>
            </w:r>
          </w:p>
        </w:tc>
        <w:tc>
          <w:tcPr>
            <w:tcW w:w="1260" w:type="dxa"/>
            <w:shd w:val="clear" w:color="auto" w:fill="auto"/>
            <w:noWrap/>
            <w:vAlign w:val="bottom"/>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3.150</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100%</w:t>
            </w:r>
          </w:p>
        </w:tc>
      </w:tr>
    </w:tbl>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eastAsia="en-US"/>
        </w:rPr>
      </w:pPr>
      <w:r w:rsidRPr="009C5096">
        <w:rPr>
          <w:rFonts w:ascii="Arial" w:hAnsi="Arial" w:cs="Arial"/>
          <w:sz w:val="18"/>
          <w:szCs w:val="18"/>
          <w:lang w:val="en-US" w:eastAsia="en-US"/>
        </w:rPr>
        <w:t>Source: Managing Authority</w:t>
      </w:r>
    </w:p>
    <w:p w:rsidR="003136C5"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Wheat, orchards, grapes and open field vegetables production were types of production most common</w:t>
      </w:r>
      <w:r w:rsidR="00130F8F">
        <w:rPr>
          <w:rFonts w:ascii="Arial" w:hAnsi="Arial" w:cs="Arial"/>
          <w:sz w:val="22"/>
          <w:szCs w:val="22"/>
          <w:lang w:val="en-US"/>
        </w:rPr>
        <w:t>ly</w:t>
      </w:r>
      <w:r w:rsidRPr="009C5096">
        <w:rPr>
          <w:rFonts w:ascii="Arial" w:hAnsi="Arial" w:cs="Arial"/>
          <w:sz w:val="22"/>
          <w:szCs w:val="22"/>
          <w:lang w:val="en-US"/>
        </w:rPr>
        <w:t xml:space="preserve"> used by the applicants.</w:t>
      </w:r>
    </w:p>
    <w:p w:rsidR="00036440" w:rsidRDefault="00036440" w:rsidP="003136C5">
      <w:pPr>
        <w:pStyle w:val="m343668044302477783m-3986873246552044066msolistparagraph"/>
        <w:spacing w:before="120" w:beforeAutospacing="0" w:after="0" w:afterAutospacing="0"/>
        <w:jc w:val="both"/>
        <w:rPr>
          <w:rFonts w:ascii="Arial" w:hAnsi="Arial" w:cs="Arial"/>
          <w:sz w:val="22"/>
          <w:szCs w:val="22"/>
          <w:lang w:val="en-US"/>
        </w:rPr>
      </w:pPr>
    </w:p>
    <w:p w:rsidR="00036440" w:rsidRDefault="00036440" w:rsidP="003136C5">
      <w:pPr>
        <w:pStyle w:val="m343668044302477783m-3986873246552044066msolistparagraph"/>
        <w:spacing w:before="120" w:beforeAutospacing="0" w:after="0" w:afterAutospacing="0"/>
        <w:jc w:val="both"/>
        <w:rPr>
          <w:rFonts w:ascii="Arial" w:hAnsi="Arial" w:cs="Arial"/>
          <w:sz w:val="22"/>
          <w:szCs w:val="22"/>
          <w:lang w:val="en-US"/>
        </w:rPr>
      </w:pPr>
    </w:p>
    <w:p w:rsidR="00036440" w:rsidRPr="009C5096" w:rsidRDefault="00036440" w:rsidP="003136C5">
      <w:pPr>
        <w:pStyle w:val="m343668044302477783m-3986873246552044066msolistparagraph"/>
        <w:spacing w:before="120" w:beforeAutospacing="0" w:after="0" w:afterAutospacing="0"/>
        <w:jc w:val="both"/>
        <w:rPr>
          <w:rFonts w:ascii="Arial" w:hAnsi="Arial" w:cs="Arial"/>
          <w:sz w:val="22"/>
          <w:szCs w:val="22"/>
          <w:lang w:val="en-US"/>
        </w:rPr>
      </w:pPr>
    </w:p>
    <w:p w:rsidR="003136C5" w:rsidRPr="00036440" w:rsidRDefault="003136C5" w:rsidP="003136C5">
      <w:pPr>
        <w:pStyle w:val="m343668044302477783m-3986873246552044066msolistparagraph"/>
        <w:spacing w:before="120" w:beforeAutospacing="0" w:after="0" w:afterAutospacing="0"/>
        <w:jc w:val="both"/>
        <w:rPr>
          <w:rFonts w:ascii="Arial" w:hAnsi="Arial" w:cs="Arial"/>
          <w:sz w:val="20"/>
          <w:lang w:val="en-US" w:eastAsia="en-US"/>
        </w:rPr>
      </w:pPr>
      <w:bookmarkStart w:id="38" w:name="_Toc6903704"/>
      <w:r w:rsidRPr="00036440">
        <w:rPr>
          <w:rFonts w:ascii="Arial" w:hAnsi="Arial" w:cs="Arial"/>
          <w:sz w:val="20"/>
          <w:lang w:val="en-US"/>
        </w:rPr>
        <w:t xml:space="preserve">Figure </w:t>
      </w:r>
      <w:r w:rsidRPr="00036440">
        <w:rPr>
          <w:rFonts w:ascii="Arial" w:hAnsi="Arial" w:cs="Arial"/>
          <w:sz w:val="20"/>
          <w:lang w:val="en-US"/>
        </w:rPr>
        <w:fldChar w:fldCharType="begin"/>
      </w:r>
      <w:r w:rsidRPr="00036440">
        <w:rPr>
          <w:rFonts w:ascii="Arial" w:hAnsi="Arial" w:cs="Arial"/>
          <w:sz w:val="20"/>
          <w:lang w:val="en-US"/>
        </w:rPr>
        <w:instrText xml:space="preserve"> SEQ Figure \* ARABIC </w:instrText>
      </w:r>
      <w:r w:rsidRPr="00036440">
        <w:rPr>
          <w:rFonts w:ascii="Arial" w:hAnsi="Arial" w:cs="Arial"/>
          <w:sz w:val="20"/>
          <w:lang w:val="en-US"/>
        </w:rPr>
        <w:fldChar w:fldCharType="separate"/>
      </w:r>
      <w:r w:rsidRPr="00036440">
        <w:rPr>
          <w:rFonts w:ascii="Arial" w:hAnsi="Arial" w:cs="Arial"/>
          <w:sz w:val="20"/>
          <w:lang w:val="en-US"/>
        </w:rPr>
        <w:t>4</w:t>
      </w:r>
      <w:r w:rsidRPr="00036440">
        <w:rPr>
          <w:rFonts w:ascii="Arial" w:hAnsi="Arial" w:cs="Arial"/>
          <w:sz w:val="20"/>
          <w:lang w:val="en-US"/>
        </w:rPr>
        <w:fldChar w:fldCharType="end"/>
      </w:r>
      <w:r w:rsidRPr="00036440">
        <w:rPr>
          <w:rFonts w:ascii="Arial" w:hAnsi="Arial" w:cs="Arial"/>
          <w:sz w:val="20"/>
          <w:lang w:val="en-US"/>
        </w:rPr>
        <w:t>: Review of applications per production culture in Measure 1</w:t>
      </w:r>
      <w:bookmarkEnd w:id="38"/>
    </w:p>
    <w:p w:rsidR="003136C5" w:rsidRPr="009C5096" w:rsidRDefault="003136C5" w:rsidP="003136C5">
      <w:pPr>
        <w:pStyle w:val="m343668044302477783m-3986873246552044066msolistparagraph"/>
        <w:spacing w:before="120" w:beforeAutospacing="0" w:after="0" w:afterAutospacing="0"/>
        <w:jc w:val="both"/>
        <w:rPr>
          <w:rFonts w:ascii="Arial" w:hAnsi="Arial" w:cs="Arial"/>
          <w:lang w:val="en-US" w:eastAsia="en-US"/>
        </w:rPr>
      </w:pPr>
      <w:r w:rsidRPr="009C5096">
        <w:rPr>
          <w:rFonts w:ascii="Arial" w:hAnsi="Arial" w:cs="Arial"/>
          <w:noProof/>
          <w:lang w:val="en-US" w:eastAsia="en-US"/>
        </w:rPr>
        <w:drawing>
          <wp:inline distT="0" distB="0" distL="0" distR="0" wp14:anchorId="06386B97" wp14:editId="3D8431D5">
            <wp:extent cx="4584295" cy="2305878"/>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5580" cy="2311554"/>
                    </a:xfrm>
                    <a:prstGeom prst="rect">
                      <a:avLst/>
                    </a:prstGeom>
                    <a:noFill/>
                  </pic:spPr>
                </pic:pic>
              </a:graphicData>
            </a:graphic>
          </wp:inline>
        </w:drawing>
      </w:r>
    </w:p>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eastAsia="en-US"/>
        </w:rPr>
      </w:pPr>
      <w:r w:rsidRPr="009C5096">
        <w:rPr>
          <w:rFonts w:ascii="Arial" w:hAnsi="Arial" w:cs="Arial"/>
          <w:sz w:val="18"/>
          <w:szCs w:val="18"/>
          <w:lang w:val="en-US" w:eastAsia="en-US"/>
        </w:rPr>
        <w:t>Source: Managing Authority</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Regarding the interest for types of investments, investments in tractors and agricultural mechanization, </w:t>
      </w:r>
      <w:r w:rsidR="009D4DC6">
        <w:rPr>
          <w:rFonts w:ascii="Arial" w:hAnsi="Arial" w:cs="Arial"/>
          <w:sz w:val="22"/>
          <w:szCs w:val="22"/>
          <w:lang w:val="en-US"/>
        </w:rPr>
        <w:t xml:space="preserve">just </w:t>
      </w:r>
      <w:r w:rsidRPr="009C5096">
        <w:rPr>
          <w:rFonts w:ascii="Arial" w:hAnsi="Arial" w:cs="Arial"/>
          <w:sz w:val="22"/>
          <w:szCs w:val="22"/>
          <w:lang w:val="en-US"/>
        </w:rPr>
        <w:t xml:space="preserve">as in the past, were most </w:t>
      </w:r>
      <w:r w:rsidR="009D4DC6">
        <w:rPr>
          <w:rFonts w:ascii="Arial" w:hAnsi="Arial" w:cs="Arial"/>
          <w:sz w:val="22"/>
          <w:szCs w:val="22"/>
          <w:lang w:val="en-US"/>
        </w:rPr>
        <w:t xml:space="preserve">attractive </w:t>
      </w:r>
      <w:r w:rsidRPr="009C5096">
        <w:rPr>
          <w:rFonts w:ascii="Arial" w:hAnsi="Arial" w:cs="Arial"/>
          <w:sz w:val="22"/>
          <w:szCs w:val="22"/>
          <w:lang w:val="en-US"/>
        </w:rPr>
        <w:t xml:space="preserve">for farmers. </w:t>
      </w:r>
      <w:r w:rsidR="009D4DC6">
        <w:rPr>
          <w:rFonts w:ascii="Arial" w:hAnsi="Arial" w:cs="Arial"/>
          <w:sz w:val="22"/>
          <w:szCs w:val="22"/>
          <w:lang w:val="en-US"/>
        </w:rPr>
        <w:t>From the t</w:t>
      </w:r>
      <w:r w:rsidRPr="009C5096">
        <w:rPr>
          <w:rFonts w:ascii="Arial" w:hAnsi="Arial" w:cs="Arial"/>
          <w:sz w:val="22"/>
          <w:szCs w:val="22"/>
          <w:lang w:val="en-US"/>
        </w:rPr>
        <w:t>otal number of 1</w:t>
      </w:r>
      <w:r w:rsidR="009D4DC6">
        <w:rPr>
          <w:rFonts w:ascii="Arial" w:hAnsi="Arial" w:cs="Arial"/>
          <w:sz w:val="22"/>
          <w:szCs w:val="22"/>
          <w:lang w:val="en-US"/>
        </w:rPr>
        <w:t>,</w:t>
      </w:r>
      <w:r w:rsidRPr="009C5096">
        <w:rPr>
          <w:rFonts w:ascii="Arial" w:hAnsi="Arial" w:cs="Arial"/>
          <w:sz w:val="22"/>
          <w:szCs w:val="22"/>
          <w:lang w:val="en-US"/>
        </w:rPr>
        <w:t xml:space="preserve">034 applications </w:t>
      </w:r>
      <w:r w:rsidR="009D4DC6" w:rsidRPr="009C5096">
        <w:rPr>
          <w:rFonts w:ascii="Arial" w:hAnsi="Arial" w:cs="Arial"/>
          <w:sz w:val="22"/>
          <w:szCs w:val="22"/>
          <w:lang w:val="en-US"/>
        </w:rPr>
        <w:t xml:space="preserve">submitted </w:t>
      </w:r>
      <w:r w:rsidRPr="009C5096">
        <w:rPr>
          <w:rFonts w:ascii="Arial" w:hAnsi="Arial" w:cs="Arial"/>
          <w:sz w:val="22"/>
          <w:szCs w:val="22"/>
          <w:lang w:val="en-US"/>
        </w:rPr>
        <w:t xml:space="preserve">for tractors, </w:t>
      </w:r>
      <w:r w:rsidR="009D4DC6">
        <w:rPr>
          <w:rFonts w:ascii="Arial" w:hAnsi="Arial" w:cs="Arial"/>
          <w:sz w:val="22"/>
          <w:szCs w:val="22"/>
          <w:lang w:val="en-US"/>
        </w:rPr>
        <w:t xml:space="preserve">under </w:t>
      </w:r>
      <w:r w:rsidRPr="009C5096">
        <w:rPr>
          <w:rFonts w:ascii="Arial" w:hAnsi="Arial" w:cs="Arial"/>
          <w:sz w:val="22"/>
          <w:szCs w:val="22"/>
          <w:lang w:val="en-US"/>
        </w:rPr>
        <w:t>688 contract</w:t>
      </w:r>
      <w:r w:rsidR="009D4DC6">
        <w:rPr>
          <w:rFonts w:ascii="Arial" w:hAnsi="Arial" w:cs="Arial"/>
          <w:sz w:val="22"/>
          <w:szCs w:val="22"/>
          <w:lang w:val="en-US"/>
        </w:rPr>
        <w:t xml:space="preserve">s have been signed </w:t>
      </w:r>
      <w:r w:rsidRPr="009C5096">
        <w:rPr>
          <w:rFonts w:ascii="Arial" w:hAnsi="Arial" w:cs="Arial"/>
          <w:sz w:val="22"/>
          <w:szCs w:val="22"/>
          <w:lang w:val="en-US"/>
        </w:rPr>
        <w:t>(5</w:t>
      </w:r>
      <w:r w:rsidR="009D4DC6">
        <w:rPr>
          <w:rFonts w:ascii="Arial" w:hAnsi="Arial" w:cs="Arial"/>
          <w:sz w:val="22"/>
          <w:szCs w:val="22"/>
          <w:lang w:val="en-US"/>
        </w:rPr>
        <w:t>,</w:t>
      </w:r>
      <w:r w:rsidRPr="009C5096">
        <w:rPr>
          <w:rFonts w:ascii="Arial" w:hAnsi="Arial" w:cs="Arial"/>
          <w:sz w:val="22"/>
          <w:szCs w:val="22"/>
          <w:lang w:val="en-US"/>
        </w:rPr>
        <w:t>413</w:t>
      </w:r>
      <w:r w:rsidR="009D4DC6">
        <w:rPr>
          <w:rFonts w:ascii="Arial" w:hAnsi="Arial" w:cs="Arial"/>
          <w:sz w:val="22"/>
          <w:szCs w:val="22"/>
          <w:lang w:val="en-US"/>
        </w:rPr>
        <w:t>,</w:t>
      </w:r>
      <w:r w:rsidRPr="009C5096">
        <w:rPr>
          <w:rFonts w:ascii="Arial" w:hAnsi="Arial" w:cs="Arial"/>
          <w:sz w:val="22"/>
          <w:szCs w:val="22"/>
          <w:lang w:val="en-US"/>
        </w:rPr>
        <w:t xml:space="preserve">581 EU funds) and 42 paid </w:t>
      </w:r>
      <w:r w:rsidR="009D4DC6">
        <w:rPr>
          <w:rFonts w:ascii="Arial" w:hAnsi="Arial" w:cs="Arial"/>
          <w:sz w:val="22"/>
          <w:szCs w:val="22"/>
          <w:lang w:val="en-US"/>
        </w:rPr>
        <w:t xml:space="preserve">have been paid </w:t>
      </w:r>
      <w:r w:rsidRPr="009C5096">
        <w:rPr>
          <w:rFonts w:ascii="Arial" w:hAnsi="Arial" w:cs="Arial"/>
          <w:sz w:val="22"/>
          <w:szCs w:val="22"/>
          <w:lang w:val="en-US"/>
        </w:rPr>
        <w:t>(181</w:t>
      </w:r>
      <w:r w:rsidR="009D4DC6">
        <w:rPr>
          <w:rFonts w:ascii="Arial" w:hAnsi="Arial" w:cs="Arial"/>
          <w:sz w:val="22"/>
          <w:szCs w:val="22"/>
          <w:lang w:val="en-US"/>
        </w:rPr>
        <w:t>,</w:t>
      </w:r>
      <w:r w:rsidRPr="009C5096">
        <w:rPr>
          <w:rFonts w:ascii="Arial" w:hAnsi="Arial" w:cs="Arial"/>
          <w:sz w:val="22"/>
          <w:szCs w:val="22"/>
          <w:lang w:val="en-US"/>
        </w:rPr>
        <w:t xml:space="preserve">010 EU funds). According </w:t>
      </w:r>
      <w:r w:rsidR="009D4DC6">
        <w:rPr>
          <w:rFonts w:ascii="Arial" w:hAnsi="Arial" w:cs="Arial"/>
          <w:sz w:val="22"/>
          <w:szCs w:val="22"/>
          <w:lang w:val="en-US"/>
        </w:rPr>
        <w:t xml:space="preserve">to </w:t>
      </w:r>
      <w:r w:rsidRPr="009C5096">
        <w:rPr>
          <w:rFonts w:ascii="Arial" w:hAnsi="Arial" w:cs="Arial"/>
          <w:sz w:val="22"/>
          <w:szCs w:val="22"/>
          <w:lang w:val="en-US"/>
        </w:rPr>
        <w:t xml:space="preserve">IPARD Programme (Measure 1, Indicative budget), the distribution of the public funds for agriculture </w:t>
      </w:r>
      <w:r w:rsidR="009D4DC6" w:rsidRPr="009C5096">
        <w:rPr>
          <w:rFonts w:ascii="Arial" w:hAnsi="Arial" w:cs="Arial"/>
          <w:sz w:val="22"/>
          <w:szCs w:val="22"/>
          <w:lang w:val="en-US"/>
        </w:rPr>
        <w:t>mechanization</w:t>
      </w:r>
      <w:r w:rsidRPr="009C5096">
        <w:rPr>
          <w:rFonts w:ascii="Arial" w:hAnsi="Arial" w:cs="Arial"/>
          <w:sz w:val="22"/>
          <w:szCs w:val="22"/>
          <w:lang w:val="en-US"/>
        </w:rPr>
        <w:t xml:space="preserve"> – tractors including </w:t>
      </w:r>
      <w:r w:rsidR="009D4DC6">
        <w:rPr>
          <w:rFonts w:ascii="Arial" w:hAnsi="Arial" w:cs="Arial"/>
          <w:sz w:val="22"/>
          <w:szCs w:val="22"/>
          <w:lang w:val="en-US"/>
        </w:rPr>
        <w:t xml:space="preserve">their </w:t>
      </w:r>
      <w:r w:rsidRPr="009C5096">
        <w:rPr>
          <w:rFonts w:ascii="Arial" w:hAnsi="Arial" w:cs="Arial"/>
          <w:sz w:val="22"/>
          <w:szCs w:val="22"/>
          <w:lang w:val="en-US"/>
        </w:rPr>
        <w:t>equipment (excluding attachments) shall not exceed 20% of the total available financial budget for this measure (5</w:t>
      </w:r>
      <w:r w:rsidR="009D4DC6">
        <w:rPr>
          <w:rFonts w:ascii="Arial" w:hAnsi="Arial" w:cs="Arial"/>
          <w:sz w:val="22"/>
          <w:szCs w:val="22"/>
          <w:lang w:val="en-US"/>
        </w:rPr>
        <w:t>,</w:t>
      </w:r>
      <w:r w:rsidRPr="009C5096">
        <w:rPr>
          <w:rFonts w:ascii="Arial" w:hAnsi="Arial" w:cs="Arial"/>
          <w:sz w:val="22"/>
          <w:szCs w:val="22"/>
          <w:lang w:val="en-US"/>
        </w:rPr>
        <w:t>893</w:t>
      </w:r>
      <w:r w:rsidR="009D4DC6">
        <w:rPr>
          <w:rFonts w:ascii="Arial" w:hAnsi="Arial" w:cs="Arial"/>
          <w:sz w:val="22"/>
          <w:szCs w:val="22"/>
          <w:lang w:val="en-US"/>
        </w:rPr>
        <w:t>,</w:t>
      </w:r>
      <w:r w:rsidRPr="009C5096">
        <w:rPr>
          <w:rFonts w:ascii="Arial" w:hAnsi="Arial" w:cs="Arial"/>
          <w:sz w:val="22"/>
          <w:szCs w:val="22"/>
          <w:lang w:val="en-US"/>
        </w:rPr>
        <w:t>333</w:t>
      </w:r>
      <w:r w:rsidR="009D4DC6">
        <w:rPr>
          <w:rFonts w:ascii="Arial" w:hAnsi="Arial" w:cs="Arial"/>
          <w:sz w:val="22"/>
          <w:szCs w:val="22"/>
          <w:lang w:val="en-US"/>
        </w:rPr>
        <w:t>.</w:t>
      </w:r>
      <w:r w:rsidRPr="009C5096">
        <w:rPr>
          <w:rFonts w:ascii="Arial" w:hAnsi="Arial" w:cs="Arial"/>
          <w:sz w:val="22"/>
          <w:szCs w:val="22"/>
          <w:lang w:val="en-US"/>
        </w:rPr>
        <w:t>4) for the whole period of the Programme implementation. In this regard, the Public Call 02/2018 did not include tractors as an eligible expense.</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Applicants have not shown interest for investing in: environmental protection</w:t>
      </w:r>
      <w:r w:rsidR="009D4DC6" w:rsidRPr="009D4DC6">
        <w:rPr>
          <w:rFonts w:ascii="Arial" w:hAnsi="Arial" w:cs="Arial"/>
          <w:sz w:val="22"/>
          <w:szCs w:val="22"/>
          <w:lang w:val="en-US"/>
        </w:rPr>
        <w:t xml:space="preserve"> </w:t>
      </w:r>
      <w:r w:rsidR="009D4DC6" w:rsidRPr="009C5096">
        <w:rPr>
          <w:rFonts w:ascii="Arial" w:hAnsi="Arial" w:cs="Arial"/>
          <w:sz w:val="22"/>
          <w:szCs w:val="22"/>
          <w:lang w:val="en-US"/>
        </w:rPr>
        <w:t>equipment</w:t>
      </w:r>
      <w:r w:rsidRPr="009C5096">
        <w:rPr>
          <w:rFonts w:ascii="Arial" w:hAnsi="Arial" w:cs="Arial"/>
          <w:sz w:val="22"/>
          <w:szCs w:val="22"/>
          <w:lang w:val="en-US"/>
        </w:rPr>
        <w:t>,</w:t>
      </w:r>
      <w:r w:rsidRPr="009C5096">
        <w:rPr>
          <w:rFonts w:ascii="Arial" w:hAnsi="Arial" w:cs="Arial"/>
          <w:lang w:val="en-US"/>
        </w:rPr>
        <w:t xml:space="preserve"> </w:t>
      </w:r>
      <w:r w:rsidR="009D4DC6" w:rsidRPr="009C5096">
        <w:rPr>
          <w:rFonts w:ascii="Arial" w:hAnsi="Arial" w:cs="Arial"/>
          <w:sz w:val="22"/>
          <w:szCs w:val="22"/>
          <w:lang w:val="en-US"/>
        </w:rPr>
        <w:t>specialized</w:t>
      </w:r>
      <w:r w:rsidRPr="009C5096">
        <w:rPr>
          <w:rFonts w:ascii="Arial" w:hAnsi="Arial" w:cs="Arial"/>
          <w:sz w:val="22"/>
          <w:szCs w:val="22"/>
          <w:lang w:val="en-US"/>
        </w:rPr>
        <w:t xml:space="preserve"> agricultural transport trailers and vehicles, irrigation systems, construction and reconstruction of immovable property for agriculture production, processing, post harvesting and direct marketing and development of holdings infrastructure.</w:t>
      </w:r>
    </w:p>
    <w:p w:rsidR="003136C5" w:rsidRPr="00036440" w:rsidRDefault="003136C5" w:rsidP="003136C5">
      <w:pPr>
        <w:pStyle w:val="m343668044302477783m-3986873246552044066msolistparagraph"/>
        <w:spacing w:before="120" w:beforeAutospacing="0" w:after="0" w:afterAutospacing="0"/>
        <w:jc w:val="both"/>
        <w:rPr>
          <w:rFonts w:ascii="Arial" w:hAnsi="Arial" w:cs="Arial"/>
          <w:sz w:val="18"/>
          <w:szCs w:val="22"/>
          <w:lang w:val="en-US"/>
        </w:rPr>
      </w:pPr>
      <w:bookmarkStart w:id="39" w:name="_Toc6903705"/>
      <w:r w:rsidRPr="00036440">
        <w:rPr>
          <w:rFonts w:ascii="Arial" w:hAnsi="Arial" w:cs="Arial"/>
          <w:sz w:val="20"/>
          <w:lang w:val="en-US"/>
        </w:rPr>
        <w:t xml:space="preserve">Figure </w:t>
      </w:r>
      <w:r w:rsidRPr="00036440">
        <w:rPr>
          <w:rFonts w:ascii="Arial" w:hAnsi="Arial" w:cs="Arial"/>
          <w:sz w:val="20"/>
          <w:lang w:val="en-US"/>
        </w:rPr>
        <w:fldChar w:fldCharType="begin"/>
      </w:r>
      <w:r w:rsidRPr="00036440">
        <w:rPr>
          <w:rFonts w:ascii="Arial" w:hAnsi="Arial" w:cs="Arial"/>
          <w:sz w:val="20"/>
          <w:lang w:val="en-US"/>
        </w:rPr>
        <w:instrText xml:space="preserve"> SEQ Figure \* ARABIC </w:instrText>
      </w:r>
      <w:r w:rsidRPr="00036440">
        <w:rPr>
          <w:rFonts w:ascii="Arial" w:hAnsi="Arial" w:cs="Arial"/>
          <w:sz w:val="20"/>
          <w:lang w:val="en-US"/>
        </w:rPr>
        <w:fldChar w:fldCharType="separate"/>
      </w:r>
      <w:r w:rsidRPr="00036440">
        <w:rPr>
          <w:rFonts w:ascii="Arial" w:hAnsi="Arial" w:cs="Arial"/>
          <w:sz w:val="20"/>
          <w:lang w:val="en-US"/>
        </w:rPr>
        <w:t>5</w:t>
      </w:r>
      <w:r w:rsidRPr="00036440">
        <w:rPr>
          <w:rFonts w:ascii="Arial" w:hAnsi="Arial" w:cs="Arial"/>
          <w:sz w:val="20"/>
          <w:lang w:val="en-US"/>
        </w:rPr>
        <w:fldChar w:fldCharType="end"/>
      </w:r>
      <w:r w:rsidRPr="00036440">
        <w:rPr>
          <w:rFonts w:ascii="Arial" w:hAnsi="Arial" w:cs="Arial"/>
          <w:sz w:val="20"/>
          <w:lang w:val="en-US"/>
        </w:rPr>
        <w:t>: Review of applications per type of investment in Measure 1</w:t>
      </w:r>
      <w:bookmarkEnd w:id="39"/>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noProof/>
          <w:sz w:val="22"/>
          <w:szCs w:val="22"/>
          <w:lang w:val="en-US" w:eastAsia="en-US"/>
        </w:rPr>
        <w:drawing>
          <wp:inline distT="0" distB="0" distL="0" distR="0" wp14:anchorId="13789824" wp14:editId="147155CD">
            <wp:extent cx="5334635" cy="27559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635" cy="2755900"/>
                    </a:xfrm>
                    <a:prstGeom prst="rect">
                      <a:avLst/>
                    </a:prstGeom>
                    <a:noFill/>
                  </pic:spPr>
                </pic:pic>
              </a:graphicData>
            </a:graphic>
          </wp:inline>
        </w:drawing>
      </w:r>
    </w:p>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eastAsia="en-US"/>
        </w:rPr>
      </w:pPr>
      <w:r w:rsidRPr="009C5096">
        <w:rPr>
          <w:rFonts w:ascii="Arial" w:hAnsi="Arial" w:cs="Arial"/>
          <w:sz w:val="18"/>
          <w:szCs w:val="18"/>
          <w:lang w:val="en-US" w:eastAsia="en-US"/>
        </w:rPr>
        <w:t>Source: Managing Authority</w:t>
      </w:r>
    </w:p>
    <w:p w:rsidR="003136C5" w:rsidRPr="009C5096" w:rsidRDefault="003136C5" w:rsidP="003136C5">
      <w:pPr>
        <w:rPr>
          <w:rFonts w:ascii="Arial" w:eastAsia="Calibri" w:hAnsi="Arial" w:cs="Arial"/>
          <w:lang w:eastAsia="en-GB"/>
        </w:rPr>
      </w:pPr>
      <w:r w:rsidRPr="009C5096">
        <w:rPr>
          <w:rFonts w:ascii="Arial" w:hAnsi="Arial" w:cs="Arial"/>
        </w:rPr>
        <w:br w:type="page"/>
      </w:r>
    </w:p>
    <w:p w:rsidR="003136C5" w:rsidRPr="009C509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sz w:val="22"/>
          <w:szCs w:val="22"/>
          <w:lang w:val="en-US"/>
        </w:rPr>
      </w:pPr>
      <w:bookmarkStart w:id="40" w:name="_Toc8649812"/>
      <w:r w:rsidRPr="009C5096">
        <w:rPr>
          <w:rFonts w:ascii="Arial" w:hAnsi="Arial" w:cs="Arial"/>
          <w:b/>
          <w:lang w:val="en-US"/>
        </w:rPr>
        <w:lastRenderedPageBreak/>
        <w:t>Measure 3 – Investments in physical assets concerning processing and marketing of agricultural and fishery products</w:t>
      </w:r>
      <w:bookmarkEnd w:id="40"/>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During the reporting period, the number of projects submitted under Measure 3 reached 57 (13</w:t>
      </w:r>
      <w:r w:rsidR="009D4DC6">
        <w:rPr>
          <w:rFonts w:ascii="Arial" w:hAnsi="Arial" w:cs="Arial"/>
          <w:sz w:val="22"/>
          <w:szCs w:val="22"/>
          <w:lang w:val="en-US"/>
        </w:rPr>
        <w:t>,</w:t>
      </w:r>
      <w:r w:rsidRPr="009C5096">
        <w:rPr>
          <w:rFonts w:ascii="Arial" w:hAnsi="Arial" w:cs="Arial"/>
          <w:sz w:val="22"/>
          <w:szCs w:val="22"/>
          <w:lang w:val="en-US"/>
        </w:rPr>
        <w:t>027</w:t>
      </w:r>
      <w:r w:rsidR="009D4DC6">
        <w:rPr>
          <w:rFonts w:ascii="Arial" w:hAnsi="Arial" w:cs="Arial"/>
          <w:sz w:val="22"/>
          <w:szCs w:val="22"/>
          <w:lang w:val="en-US"/>
        </w:rPr>
        <w:t>,</w:t>
      </w:r>
      <w:r w:rsidRPr="009C5096">
        <w:rPr>
          <w:rFonts w:ascii="Arial" w:hAnsi="Arial" w:cs="Arial"/>
          <w:sz w:val="22"/>
          <w:szCs w:val="22"/>
          <w:lang w:val="en-US"/>
        </w:rPr>
        <w:t>752 EU contribution). Contracts have been signed with 30 applicants (4</w:t>
      </w:r>
      <w:r w:rsidR="009D4DC6">
        <w:rPr>
          <w:rFonts w:ascii="Arial" w:hAnsi="Arial" w:cs="Arial"/>
          <w:sz w:val="22"/>
          <w:szCs w:val="22"/>
          <w:lang w:val="en-US"/>
        </w:rPr>
        <w:t>,</w:t>
      </w:r>
      <w:r w:rsidRPr="009C5096">
        <w:rPr>
          <w:rFonts w:ascii="Arial" w:hAnsi="Arial" w:cs="Arial"/>
          <w:sz w:val="22"/>
          <w:szCs w:val="22"/>
          <w:lang w:val="en-US"/>
        </w:rPr>
        <w:t>942</w:t>
      </w:r>
      <w:r w:rsidR="009D4DC6">
        <w:rPr>
          <w:rFonts w:ascii="Arial" w:hAnsi="Arial" w:cs="Arial"/>
          <w:sz w:val="22"/>
          <w:szCs w:val="22"/>
          <w:lang w:val="en-US"/>
        </w:rPr>
        <w:t>,</w:t>
      </w:r>
      <w:r w:rsidRPr="009C5096">
        <w:rPr>
          <w:rFonts w:ascii="Arial" w:hAnsi="Arial" w:cs="Arial"/>
          <w:sz w:val="22"/>
          <w:szCs w:val="22"/>
          <w:lang w:val="en-US"/>
        </w:rPr>
        <w:t xml:space="preserve">889 EU contribution). </w:t>
      </w:r>
      <w:r w:rsidR="009D4DC6">
        <w:rPr>
          <w:rFonts w:ascii="Arial" w:hAnsi="Arial" w:cs="Arial"/>
          <w:sz w:val="22"/>
          <w:szCs w:val="22"/>
          <w:lang w:val="en-US"/>
        </w:rPr>
        <w:t>The p</w:t>
      </w:r>
      <w:r w:rsidRPr="009C5096">
        <w:rPr>
          <w:rFonts w:ascii="Arial" w:hAnsi="Arial" w:cs="Arial"/>
          <w:sz w:val="22"/>
          <w:szCs w:val="22"/>
          <w:lang w:val="en-US"/>
        </w:rPr>
        <w:t xml:space="preserve">ayment </w:t>
      </w:r>
      <w:r w:rsidR="009D4DC6">
        <w:rPr>
          <w:rFonts w:ascii="Arial" w:hAnsi="Arial" w:cs="Arial"/>
          <w:sz w:val="22"/>
          <w:szCs w:val="22"/>
          <w:lang w:val="en-US"/>
        </w:rPr>
        <w:t xml:space="preserve">under </w:t>
      </w:r>
      <w:r w:rsidRPr="009C5096">
        <w:rPr>
          <w:rFonts w:ascii="Arial" w:hAnsi="Arial" w:cs="Arial"/>
          <w:sz w:val="22"/>
          <w:szCs w:val="22"/>
          <w:lang w:val="en-US"/>
        </w:rPr>
        <w:t>contracts reached 8 (546</w:t>
      </w:r>
      <w:r w:rsidR="009D4DC6">
        <w:rPr>
          <w:rFonts w:ascii="Arial" w:hAnsi="Arial" w:cs="Arial"/>
          <w:sz w:val="22"/>
          <w:szCs w:val="22"/>
          <w:lang w:val="en-US"/>
        </w:rPr>
        <w:t>,</w:t>
      </w:r>
      <w:r w:rsidRPr="009C5096">
        <w:rPr>
          <w:rFonts w:ascii="Arial" w:hAnsi="Arial" w:cs="Arial"/>
          <w:sz w:val="22"/>
          <w:szCs w:val="22"/>
          <w:lang w:val="en-US"/>
        </w:rPr>
        <w:t>072 EU contribution).</w:t>
      </w:r>
    </w:p>
    <w:p w:rsidR="003136C5" w:rsidRPr="00036440" w:rsidRDefault="003136C5" w:rsidP="003136C5">
      <w:pPr>
        <w:pStyle w:val="m343668044302477783m-3986873246552044066msolistparagraph"/>
        <w:spacing w:before="120" w:beforeAutospacing="0" w:after="120" w:afterAutospacing="0"/>
        <w:jc w:val="both"/>
        <w:rPr>
          <w:rFonts w:ascii="Arial" w:hAnsi="Arial" w:cs="Arial"/>
          <w:sz w:val="20"/>
          <w:szCs w:val="20"/>
          <w:lang w:val="en-US"/>
        </w:rPr>
      </w:pPr>
      <w:bookmarkStart w:id="41" w:name="_Toc6902279"/>
      <w:r w:rsidRPr="00036440">
        <w:rPr>
          <w:rFonts w:ascii="Arial" w:eastAsia="Times New Roman" w:hAnsi="Arial" w:cs="Arial"/>
          <w:sz w:val="20"/>
          <w:szCs w:val="20"/>
          <w:lang w:val="en-US"/>
        </w:rPr>
        <w:t xml:space="preserve">Table </w:t>
      </w:r>
      <w:r w:rsidRPr="00036440">
        <w:rPr>
          <w:rFonts w:ascii="Arial" w:eastAsia="Times New Roman" w:hAnsi="Arial" w:cs="Arial"/>
          <w:i/>
          <w:sz w:val="20"/>
          <w:szCs w:val="20"/>
          <w:lang w:val="en-US"/>
        </w:rPr>
        <w:fldChar w:fldCharType="begin"/>
      </w:r>
      <w:r w:rsidRPr="00036440">
        <w:rPr>
          <w:rFonts w:ascii="Arial" w:eastAsia="Times New Roman" w:hAnsi="Arial" w:cs="Arial"/>
          <w:sz w:val="20"/>
          <w:szCs w:val="20"/>
          <w:lang w:val="en-US"/>
        </w:rPr>
        <w:instrText xml:space="preserve"> SEQ Table \* ARABIC </w:instrText>
      </w:r>
      <w:r w:rsidRPr="00036440">
        <w:rPr>
          <w:rFonts w:ascii="Arial" w:eastAsia="Times New Roman" w:hAnsi="Arial" w:cs="Arial"/>
          <w:i/>
          <w:sz w:val="20"/>
          <w:szCs w:val="20"/>
          <w:lang w:val="en-US"/>
        </w:rPr>
        <w:fldChar w:fldCharType="separate"/>
      </w:r>
      <w:r w:rsidRPr="00036440">
        <w:rPr>
          <w:rFonts w:ascii="Arial" w:eastAsia="Times New Roman" w:hAnsi="Arial" w:cs="Arial"/>
          <w:sz w:val="20"/>
          <w:szCs w:val="20"/>
          <w:lang w:val="en-US"/>
        </w:rPr>
        <w:t>13</w:t>
      </w:r>
      <w:r w:rsidRPr="00036440">
        <w:rPr>
          <w:rFonts w:ascii="Arial" w:eastAsia="Times New Roman" w:hAnsi="Arial" w:cs="Arial"/>
          <w:i/>
          <w:sz w:val="20"/>
          <w:szCs w:val="20"/>
          <w:lang w:val="en-US"/>
        </w:rPr>
        <w:fldChar w:fldCharType="end"/>
      </w:r>
      <w:r w:rsidRPr="00036440">
        <w:rPr>
          <w:rFonts w:ascii="Arial" w:eastAsia="Times New Roman" w:hAnsi="Arial" w:cs="Arial"/>
          <w:sz w:val="20"/>
          <w:szCs w:val="20"/>
          <w:lang w:val="en-US"/>
        </w:rPr>
        <w:t>: Overview of objectives fulfilment by applications</w:t>
      </w:r>
      <w:r w:rsidRPr="00036440">
        <w:rPr>
          <w:rFonts w:ascii="Arial" w:hAnsi="Arial" w:cs="Arial"/>
          <w:sz w:val="20"/>
          <w:szCs w:val="20"/>
          <w:lang w:val="en-US"/>
        </w:rPr>
        <w:t xml:space="preserve"> in Measure 3</w:t>
      </w:r>
      <w:bookmarkEnd w:id="41"/>
    </w:p>
    <w:tbl>
      <w:tblPr>
        <w:tblW w:w="9355" w:type="dxa"/>
        <w:tblBorders>
          <w:top w:val="single" w:sz="8" w:space="0" w:color="auto"/>
          <w:left w:val="single" w:sz="2" w:space="0" w:color="auto"/>
          <w:bottom w:val="single" w:sz="4" w:space="0" w:color="auto"/>
          <w:right w:val="single" w:sz="8" w:space="0" w:color="auto"/>
          <w:insideH w:val="single" w:sz="2" w:space="0" w:color="auto"/>
          <w:insideV w:val="single" w:sz="2" w:space="0" w:color="auto"/>
        </w:tblBorders>
        <w:tblLook w:val="04A0" w:firstRow="1" w:lastRow="0" w:firstColumn="1" w:lastColumn="0" w:noHBand="0" w:noVBand="1"/>
      </w:tblPr>
      <w:tblGrid>
        <w:gridCol w:w="6207"/>
        <w:gridCol w:w="1072"/>
        <w:gridCol w:w="1266"/>
        <w:gridCol w:w="810"/>
      </w:tblGrid>
      <w:tr w:rsidR="003136C5" w:rsidRPr="009C5096" w:rsidTr="00612896">
        <w:trPr>
          <w:trHeight w:val="765"/>
        </w:trPr>
        <w:tc>
          <w:tcPr>
            <w:tcW w:w="6207"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Measure objectives</w:t>
            </w:r>
          </w:p>
        </w:tc>
        <w:tc>
          <w:tcPr>
            <w:tcW w:w="1072" w:type="dxa"/>
            <w:shd w:val="clear" w:color="auto" w:fill="auto"/>
            <w:noWrap/>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Received</w:t>
            </w:r>
          </w:p>
        </w:tc>
        <w:tc>
          <w:tcPr>
            <w:tcW w:w="1266" w:type="dxa"/>
            <w:shd w:val="clear" w:color="auto" w:fill="auto"/>
            <w:noWrap/>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Contracted</w:t>
            </w:r>
          </w:p>
        </w:tc>
        <w:tc>
          <w:tcPr>
            <w:tcW w:w="810" w:type="dxa"/>
            <w:shd w:val="clear" w:color="auto" w:fill="auto"/>
            <w:noWrap/>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Paid</w:t>
            </w:r>
          </w:p>
        </w:tc>
      </w:tr>
      <w:tr w:rsidR="003136C5" w:rsidRPr="009C5096" w:rsidTr="00612896">
        <w:trPr>
          <w:trHeight w:val="765"/>
        </w:trPr>
        <w:tc>
          <w:tcPr>
            <w:tcW w:w="6207"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Upgrade to the Community Standards as regards environmental protection, public health (food safety and quality of products), animal and plant health, animal welfare and occupational safety</w:t>
            </w:r>
          </w:p>
        </w:tc>
        <w:tc>
          <w:tcPr>
            <w:tcW w:w="1072"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w:t>
            </w:r>
          </w:p>
        </w:tc>
        <w:tc>
          <w:tcPr>
            <w:tcW w:w="1266"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w:t>
            </w:r>
          </w:p>
        </w:tc>
        <w:tc>
          <w:tcPr>
            <w:tcW w:w="81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r>
      <w:tr w:rsidR="003136C5" w:rsidRPr="009C5096" w:rsidTr="00612896">
        <w:trPr>
          <w:trHeight w:val="510"/>
        </w:trPr>
        <w:tc>
          <w:tcPr>
            <w:tcW w:w="6207"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Improve the overall performance in the processing and marketing of primary agricultural products</w:t>
            </w:r>
          </w:p>
        </w:tc>
        <w:tc>
          <w:tcPr>
            <w:tcW w:w="1072"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13</w:t>
            </w:r>
          </w:p>
        </w:tc>
        <w:tc>
          <w:tcPr>
            <w:tcW w:w="1266"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6</w:t>
            </w:r>
          </w:p>
        </w:tc>
        <w:tc>
          <w:tcPr>
            <w:tcW w:w="81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r>
      <w:tr w:rsidR="003136C5" w:rsidRPr="009C5096" w:rsidTr="00612896">
        <w:trPr>
          <w:trHeight w:val="510"/>
        </w:trPr>
        <w:tc>
          <w:tcPr>
            <w:tcW w:w="6207"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Facilitate competition in the internal market by the introduction of new technologies and innovation</w:t>
            </w:r>
          </w:p>
        </w:tc>
        <w:tc>
          <w:tcPr>
            <w:tcW w:w="1072"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6</w:t>
            </w:r>
          </w:p>
        </w:tc>
        <w:tc>
          <w:tcPr>
            <w:tcW w:w="1266"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w:t>
            </w:r>
          </w:p>
        </w:tc>
        <w:tc>
          <w:tcPr>
            <w:tcW w:w="81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w:t>
            </w:r>
          </w:p>
        </w:tc>
      </w:tr>
      <w:tr w:rsidR="003136C5" w:rsidRPr="009C5096" w:rsidTr="00612896">
        <w:trPr>
          <w:trHeight w:val="765"/>
        </w:trPr>
        <w:tc>
          <w:tcPr>
            <w:tcW w:w="6207" w:type="dxa"/>
            <w:shd w:val="clear" w:color="auto" w:fill="auto"/>
            <w:vAlign w:val="center"/>
            <w:hideMark/>
          </w:tcPr>
          <w:p w:rsidR="003136C5" w:rsidRPr="009C5096" w:rsidRDefault="003136C5" w:rsidP="009D4DC6">
            <w:pPr>
              <w:rPr>
                <w:rFonts w:ascii="Arial" w:hAnsi="Arial" w:cs="Arial"/>
                <w:sz w:val="20"/>
                <w:szCs w:val="20"/>
              </w:rPr>
            </w:pPr>
            <w:r w:rsidRPr="009C5096">
              <w:rPr>
                <w:rFonts w:ascii="Arial" w:hAnsi="Arial" w:cs="Arial"/>
                <w:sz w:val="20"/>
                <w:szCs w:val="20"/>
              </w:rPr>
              <w:t>Promote environmentally sound production practices (reduction of water losses, decreasing the pollution of the environment, and/or elimination of by-products or of wastes)</w:t>
            </w:r>
          </w:p>
        </w:tc>
        <w:tc>
          <w:tcPr>
            <w:tcW w:w="1072"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w:t>
            </w:r>
          </w:p>
        </w:tc>
        <w:tc>
          <w:tcPr>
            <w:tcW w:w="1266"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81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r>
      <w:tr w:rsidR="003136C5" w:rsidRPr="009C5096" w:rsidTr="00612896">
        <w:trPr>
          <w:trHeight w:val="915"/>
        </w:trPr>
        <w:tc>
          <w:tcPr>
            <w:tcW w:w="6207" w:type="dxa"/>
            <w:shd w:val="clear" w:color="auto" w:fill="auto"/>
            <w:vAlign w:val="center"/>
            <w:hideMark/>
          </w:tcPr>
          <w:p w:rsidR="003136C5" w:rsidRPr="009C5096" w:rsidRDefault="009D4DC6" w:rsidP="009D4DC6">
            <w:pPr>
              <w:rPr>
                <w:rFonts w:ascii="Arial" w:hAnsi="Arial" w:cs="Arial"/>
                <w:sz w:val="20"/>
                <w:szCs w:val="20"/>
              </w:rPr>
            </w:pPr>
            <w:r>
              <w:rPr>
                <w:rFonts w:ascii="Arial" w:hAnsi="Arial" w:cs="Arial"/>
                <w:sz w:val="20"/>
                <w:szCs w:val="20"/>
              </w:rPr>
              <w:t>I</w:t>
            </w:r>
            <w:r w:rsidR="003136C5" w:rsidRPr="009C5096">
              <w:rPr>
                <w:rFonts w:ascii="Arial" w:hAnsi="Arial" w:cs="Arial"/>
                <w:sz w:val="20"/>
                <w:szCs w:val="20"/>
              </w:rPr>
              <w:t>mprove the utilization of processing capacities in terms of efficiency and production technology improvements</w:t>
            </w:r>
            <w:r>
              <w:rPr>
                <w:rFonts w:ascii="Arial" w:hAnsi="Arial" w:cs="Arial"/>
                <w:sz w:val="20"/>
                <w:szCs w:val="20"/>
              </w:rPr>
              <w:t>,</w:t>
            </w:r>
            <w:r w:rsidR="003136C5" w:rsidRPr="009C5096">
              <w:rPr>
                <w:rFonts w:ascii="Arial" w:hAnsi="Arial" w:cs="Arial"/>
                <w:sz w:val="20"/>
                <w:szCs w:val="20"/>
              </w:rPr>
              <w:t xml:space="preserve"> as well as marketing activities</w:t>
            </w:r>
            <w:r w:rsidR="00151265">
              <w:rPr>
                <w:rFonts w:ascii="Arial" w:hAnsi="Arial" w:cs="Arial"/>
                <w:sz w:val="20"/>
                <w:szCs w:val="20"/>
              </w:rPr>
              <w:t>,</w:t>
            </w:r>
            <w:r w:rsidR="003136C5" w:rsidRPr="009C5096">
              <w:rPr>
                <w:rFonts w:ascii="Arial" w:hAnsi="Arial" w:cs="Arial"/>
                <w:sz w:val="20"/>
                <w:szCs w:val="20"/>
              </w:rPr>
              <w:t xml:space="preserve"> at the same time promoting innovations, and aiming at full alignment to the EU food safety standards</w:t>
            </w:r>
          </w:p>
        </w:tc>
        <w:tc>
          <w:tcPr>
            <w:tcW w:w="1072"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34</w:t>
            </w:r>
          </w:p>
        </w:tc>
        <w:tc>
          <w:tcPr>
            <w:tcW w:w="1266"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18</w:t>
            </w:r>
          </w:p>
        </w:tc>
        <w:tc>
          <w:tcPr>
            <w:tcW w:w="81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7</w:t>
            </w:r>
          </w:p>
        </w:tc>
      </w:tr>
    </w:tbl>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eastAsia="en-US"/>
        </w:rPr>
      </w:pPr>
      <w:r w:rsidRPr="009C5096">
        <w:rPr>
          <w:rFonts w:ascii="Arial" w:hAnsi="Arial" w:cs="Arial"/>
          <w:sz w:val="18"/>
          <w:szCs w:val="18"/>
          <w:lang w:val="en-US" w:eastAsia="en-US"/>
        </w:rPr>
        <w:t>Source: Managing Authority</w:t>
      </w:r>
    </w:p>
    <w:p w:rsidR="003136C5" w:rsidRPr="009C5096" w:rsidRDefault="00151265" w:rsidP="003136C5">
      <w:pPr>
        <w:pStyle w:val="m343668044302477783m-3986873246552044066msolistparagraph"/>
        <w:spacing w:before="120" w:beforeAutospacing="0" w:after="0" w:afterAutospacing="0"/>
        <w:jc w:val="both"/>
        <w:rPr>
          <w:rFonts w:ascii="Arial" w:hAnsi="Arial" w:cs="Arial"/>
          <w:sz w:val="22"/>
          <w:szCs w:val="22"/>
          <w:lang w:val="en-US"/>
        </w:rPr>
      </w:pPr>
      <w:r>
        <w:rPr>
          <w:rFonts w:ascii="Arial" w:hAnsi="Arial" w:cs="Arial"/>
          <w:sz w:val="22"/>
          <w:szCs w:val="22"/>
          <w:lang w:val="en-US"/>
        </w:rPr>
        <w:t>The a</w:t>
      </w:r>
      <w:r w:rsidR="003136C5" w:rsidRPr="009C5096">
        <w:rPr>
          <w:rFonts w:ascii="Arial" w:hAnsi="Arial" w:cs="Arial"/>
          <w:sz w:val="22"/>
          <w:szCs w:val="22"/>
          <w:lang w:val="en-US"/>
        </w:rPr>
        <w:t xml:space="preserve">pplication received </w:t>
      </w:r>
      <w:r>
        <w:rPr>
          <w:rFonts w:ascii="Arial" w:hAnsi="Arial" w:cs="Arial"/>
          <w:sz w:val="22"/>
          <w:szCs w:val="22"/>
          <w:lang w:val="en-US"/>
        </w:rPr>
        <w:t xml:space="preserve">under </w:t>
      </w:r>
      <w:r w:rsidR="003136C5" w:rsidRPr="009C5096">
        <w:rPr>
          <w:rFonts w:ascii="Arial" w:hAnsi="Arial" w:cs="Arial"/>
          <w:sz w:val="22"/>
          <w:szCs w:val="22"/>
          <w:lang w:val="en-US"/>
        </w:rPr>
        <w:t>the first call ha</w:t>
      </w:r>
      <w:r>
        <w:rPr>
          <w:rFonts w:ascii="Arial" w:hAnsi="Arial" w:cs="Arial"/>
          <w:sz w:val="22"/>
          <w:szCs w:val="22"/>
          <w:lang w:val="en-US"/>
        </w:rPr>
        <w:t>d</w:t>
      </w:r>
      <w:r w:rsidR="003136C5" w:rsidRPr="009C5096">
        <w:rPr>
          <w:rFonts w:ascii="Arial" w:hAnsi="Arial" w:cs="Arial"/>
          <w:sz w:val="22"/>
          <w:szCs w:val="22"/>
          <w:lang w:val="en-US"/>
        </w:rPr>
        <w:t xml:space="preserve"> higher value. Most of the applications (42%) were in the range between 100</w:t>
      </w:r>
      <w:r>
        <w:rPr>
          <w:rFonts w:ascii="Arial" w:hAnsi="Arial" w:cs="Arial"/>
          <w:sz w:val="22"/>
          <w:szCs w:val="22"/>
          <w:lang w:val="en-US"/>
        </w:rPr>
        <w:t>,</w:t>
      </w:r>
      <w:r w:rsidR="003136C5" w:rsidRPr="009C5096">
        <w:rPr>
          <w:rFonts w:ascii="Arial" w:hAnsi="Arial" w:cs="Arial"/>
          <w:sz w:val="22"/>
          <w:szCs w:val="22"/>
          <w:lang w:val="en-US"/>
        </w:rPr>
        <w:t>000 and 500</w:t>
      </w:r>
      <w:r>
        <w:rPr>
          <w:rFonts w:ascii="Arial" w:hAnsi="Arial" w:cs="Arial"/>
          <w:sz w:val="22"/>
          <w:szCs w:val="22"/>
          <w:lang w:val="en-US"/>
        </w:rPr>
        <w:t>,</w:t>
      </w:r>
      <w:r w:rsidR="003136C5" w:rsidRPr="009C5096">
        <w:rPr>
          <w:rFonts w:ascii="Arial" w:hAnsi="Arial" w:cs="Arial"/>
          <w:sz w:val="22"/>
          <w:szCs w:val="22"/>
          <w:lang w:val="en-US"/>
        </w:rPr>
        <w:t xml:space="preserve">000€, 23% </w:t>
      </w:r>
      <w:r>
        <w:rPr>
          <w:rFonts w:ascii="Arial" w:hAnsi="Arial" w:cs="Arial"/>
          <w:sz w:val="22"/>
          <w:szCs w:val="22"/>
          <w:lang w:val="en-US"/>
        </w:rPr>
        <w:t xml:space="preserve">were </w:t>
      </w:r>
      <w:r w:rsidR="003136C5" w:rsidRPr="009C5096">
        <w:rPr>
          <w:rFonts w:ascii="Arial" w:hAnsi="Arial" w:cs="Arial"/>
          <w:sz w:val="22"/>
          <w:szCs w:val="22"/>
          <w:lang w:val="en-US"/>
        </w:rPr>
        <w:t>in the range from 10</w:t>
      </w:r>
      <w:r>
        <w:rPr>
          <w:rFonts w:ascii="Arial" w:hAnsi="Arial" w:cs="Arial"/>
          <w:sz w:val="22"/>
          <w:szCs w:val="22"/>
          <w:lang w:val="en-US"/>
        </w:rPr>
        <w:t>,</w:t>
      </w:r>
      <w:r w:rsidR="003136C5" w:rsidRPr="009C5096">
        <w:rPr>
          <w:rFonts w:ascii="Arial" w:hAnsi="Arial" w:cs="Arial"/>
          <w:sz w:val="22"/>
          <w:szCs w:val="22"/>
          <w:lang w:val="en-US"/>
        </w:rPr>
        <w:t>000 – 50</w:t>
      </w:r>
      <w:r>
        <w:rPr>
          <w:rFonts w:ascii="Arial" w:hAnsi="Arial" w:cs="Arial"/>
          <w:sz w:val="22"/>
          <w:szCs w:val="22"/>
          <w:lang w:val="en-US"/>
        </w:rPr>
        <w:t>,</w:t>
      </w:r>
      <w:r w:rsidR="003136C5" w:rsidRPr="009C5096">
        <w:rPr>
          <w:rFonts w:ascii="Arial" w:hAnsi="Arial" w:cs="Arial"/>
          <w:sz w:val="22"/>
          <w:szCs w:val="22"/>
          <w:lang w:val="en-US"/>
        </w:rPr>
        <w:t xml:space="preserve">000€ and 11% </w:t>
      </w:r>
      <w:r>
        <w:rPr>
          <w:rFonts w:ascii="Arial" w:hAnsi="Arial" w:cs="Arial"/>
          <w:sz w:val="22"/>
          <w:szCs w:val="22"/>
          <w:lang w:val="en-US"/>
        </w:rPr>
        <w:t xml:space="preserve">were </w:t>
      </w:r>
      <w:r w:rsidR="003136C5" w:rsidRPr="009C5096">
        <w:rPr>
          <w:rFonts w:ascii="Arial" w:hAnsi="Arial" w:cs="Arial"/>
          <w:sz w:val="22"/>
          <w:szCs w:val="22"/>
          <w:lang w:val="en-US"/>
        </w:rPr>
        <w:t xml:space="preserve">with </w:t>
      </w:r>
      <w:r>
        <w:rPr>
          <w:rFonts w:ascii="Arial" w:hAnsi="Arial" w:cs="Arial"/>
          <w:sz w:val="22"/>
          <w:szCs w:val="22"/>
          <w:lang w:val="en-US"/>
        </w:rPr>
        <w:t xml:space="preserve">a </w:t>
      </w:r>
      <w:r w:rsidR="003136C5" w:rsidRPr="009C5096">
        <w:rPr>
          <w:rFonts w:ascii="Arial" w:hAnsi="Arial" w:cs="Arial"/>
          <w:sz w:val="22"/>
          <w:szCs w:val="22"/>
          <w:lang w:val="en-US"/>
        </w:rPr>
        <w:t>value from 50</w:t>
      </w:r>
      <w:r>
        <w:rPr>
          <w:rFonts w:ascii="Arial" w:hAnsi="Arial" w:cs="Arial"/>
          <w:sz w:val="22"/>
          <w:szCs w:val="22"/>
          <w:lang w:val="en-US"/>
        </w:rPr>
        <w:t>,</w:t>
      </w:r>
      <w:r w:rsidR="003136C5" w:rsidRPr="009C5096">
        <w:rPr>
          <w:rFonts w:ascii="Arial" w:hAnsi="Arial" w:cs="Arial"/>
          <w:sz w:val="22"/>
          <w:szCs w:val="22"/>
          <w:lang w:val="en-US"/>
        </w:rPr>
        <w:t>000 to 100</w:t>
      </w:r>
      <w:r>
        <w:rPr>
          <w:rFonts w:ascii="Arial" w:hAnsi="Arial" w:cs="Arial"/>
          <w:sz w:val="22"/>
          <w:szCs w:val="22"/>
          <w:lang w:val="en-US"/>
        </w:rPr>
        <w:t>,</w:t>
      </w:r>
      <w:r w:rsidR="003136C5" w:rsidRPr="009C5096">
        <w:rPr>
          <w:rFonts w:ascii="Arial" w:hAnsi="Arial" w:cs="Arial"/>
          <w:sz w:val="22"/>
          <w:szCs w:val="22"/>
          <w:lang w:val="en-US"/>
        </w:rPr>
        <w:t>000 €</w:t>
      </w:r>
      <w:r w:rsidR="003136C5" w:rsidRPr="009C5096">
        <w:rPr>
          <w:rStyle w:val="FootnoteReference"/>
          <w:rFonts w:ascii="Arial" w:hAnsi="Arial" w:cs="Arial"/>
          <w:sz w:val="22"/>
          <w:szCs w:val="22"/>
          <w:lang w:val="en-US"/>
        </w:rPr>
        <w:footnoteReference w:id="5"/>
      </w:r>
      <w:r w:rsidR="003136C5" w:rsidRPr="009C5096">
        <w:rPr>
          <w:rFonts w:ascii="Arial" w:hAnsi="Arial" w:cs="Arial"/>
          <w:sz w:val="22"/>
          <w:szCs w:val="22"/>
          <w:lang w:val="en-US"/>
        </w:rPr>
        <w:t xml:space="preserve">. </w:t>
      </w:r>
    </w:p>
    <w:p w:rsidR="003136C5" w:rsidRPr="00036440" w:rsidRDefault="003136C5" w:rsidP="003136C5">
      <w:pPr>
        <w:pStyle w:val="m343668044302477783m-3986873246552044066msolistparagraph"/>
        <w:spacing w:before="120" w:beforeAutospacing="0" w:after="0" w:afterAutospacing="0"/>
        <w:jc w:val="both"/>
        <w:rPr>
          <w:rFonts w:ascii="Arial" w:hAnsi="Arial" w:cs="Arial"/>
          <w:sz w:val="20"/>
          <w:szCs w:val="20"/>
          <w:lang w:val="en-US"/>
        </w:rPr>
      </w:pPr>
      <w:bookmarkStart w:id="42" w:name="_Toc6903706"/>
      <w:r w:rsidRPr="00036440">
        <w:rPr>
          <w:rFonts w:ascii="Arial" w:hAnsi="Arial" w:cs="Arial"/>
          <w:sz w:val="20"/>
          <w:szCs w:val="20"/>
          <w:lang w:val="en-US"/>
        </w:rPr>
        <w:t xml:space="preserve">Figure </w:t>
      </w:r>
      <w:r w:rsidRPr="00036440">
        <w:rPr>
          <w:rFonts w:ascii="Arial" w:hAnsi="Arial" w:cs="Arial"/>
          <w:sz w:val="20"/>
          <w:szCs w:val="20"/>
          <w:lang w:val="en-US"/>
        </w:rPr>
        <w:fldChar w:fldCharType="begin"/>
      </w:r>
      <w:r w:rsidRPr="00036440">
        <w:rPr>
          <w:rFonts w:ascii="Arial" w:hAnsi="Arial" w:cs="Arial"/>
          <w:sz w:val="20"/>
          <w:szCs w:val="20"/>
          <w:lang w:val="en-US"/>
        </w:rPr>
        <w:instrText xml:space="preserve"> SEQ Figure \* ARABIC </w:instrText>
      </w:r>
      <w:r w:rsidRPr="00036440">
        <w:rPr>
          <w:rFonts w:ascii="Arial" w:hAnsi="Arial" w:cs="Arial"/>
          <w:sz w:val="20"/>
          <w:szCs w:val="20"/>
          <w:lang w:val="en-US"/>
        </w:rPr>
        <w:fldChar w:fldCharType="separate"/>
      </w:r>
      <w:r w:rsidRPr="00036440">
        <w:rPr>
          <w:rFonts w:ascii="Arial" w:hAnsi="Arial" w:cs="Arial"/>
          <w:sz w:val="20"/>
          <w:szCs w:val="20"/>
          <w:lang w:val="en-US"/>
        </w:rPr>
        <w:t>6</w:t>
      </w:r>
      <w:r w:rsidRPr="00036440">
        <w:rPr>
          <w:rFonts w:ascii="Arial" w:hAnsi="Arial" w:cs="Arial"/>
          <w:sz w:val="20"/>
          <w:szCs w:val="20"/>
          <w:lang w:val="en-US"/>
        </w:rPr>
        <w:fldChar w:fldCharType="end"/>
      </w:r>
      <w:r w:rsidRPr="00036440">
        <w:rPr>
          <w:rFonts w:ascii="Arial" w:hAnsi="Arial" w:cs="Arial"/>
          <w:sz w:val="20"/>
          <w:szCs w:val="20"/>
          <w:lang w:val="en-US"/>
        </w:rPr>
        <w:t>: Review of applications per value of investments in Measure 3</w:t>
      </w:r>
      <w:bookmarkEnd w:id="42"/>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noProof/>
          <w:sz w:val="22"/>
          <w:szCs w:val="22"/>
          <w:lang w:val="en-US" w:eastAsia="en-US"/>
        </w:rPr>
        <w:drawing>
          <wp:inline distT="0" distB="0" distL="0" distR="0" wp14:anchorId="5AF56034" wp14:editId="127896B7">
            <wp:extent cx="4580010" cy="186060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1674" cy="1922218"/>
                    </a:xfrm>
                    <a:prstGeom prst="rect">
                      <a:avLst/>
                    </a:prstGeom>
                    <a:noFill/>
                  </pic:spPr>
                </pic:pic>
              </a:graphicData>
            </a:graphic>
          </wp:inline>
        </w:drawing>
      </w:r>
    </w:p>
    <w:p w:rsidR="003136C5" w:rsidRPr="009C5096" w:rsidRDefault="003136C5" w:rsidP="003136C5">
      <w:pPr>
        <w:pStyle w:val="m343668044302477783m-3986873246552044066msolistparagraph"/>
        <w:spacing w:before="0" w:beforeAutospacing="0" w:after="0" w:afterAutospacing="0"/>
        <w:jc w:val="both"/>
        <w:rPr>
          <w:rFonts w:ascii="Arial" w:hAnsi="Arial" w:cs="Arial"/>
          <w:sz w:val="22"/>
          <w:szCs w:val="22"/>
          <w:lang w:val="en-US"/>
        </w:rPr>
      </w:pPr>
      <w:r w:rsidRPr="009C5096">
        <w:rPr>
          <w:rFonts w:ascii="Arial" w:hAnsi="Arial" w:cs="Arial"/>
          <w:sz w:val="18"/>
          <w:szCs w:val="18"/>
          <w:lang w:val="en-US" w:eastAsia="en-US"/>
        </w:rPr>
        <w:t>Source: Managing Authority</w:t>
      </w:r>
    </w:p>
    <w:p w:rsidR="003136C5"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The interest for use of IPARD Programme funds is </w:t>
      </w:r>
      <w:r w:rsidR="00A53278">
        <w:rPr>
          <w:rFonts w:ascii="Arial" w:hAnsi="Arial" w:cs="Arial"/>
          <w:sz w:val="22"/>
          <w:szCs w:val="22"/>
          <w:lang w:val="en-US"/>
        </w:rPr>
        <w:t xml:space="preserve">highest </w:t>
      </w:r>
      <w:r w:rsidRPr="009C5096">
        <w:rPr>
          <w:rFonts w:ascii="Arial" w:hAnsi="Arial" w:cs="Arial"/>
          <w:sz w:val="22"/>
          <w:szCs w:val="22"/>
          <w:lang w:val="en-US"/>
        </w:rPr>
        <w:t>in the meat and meat products priority sector and fruit and vegetables</w:t>
      </w:r>
      <w:r w:rsidR="00A53278" w:rsidRPr="00A53278">
        <w:rPr>
          <w:rFonts w:ascii="Arial" w:hAnsi="Arial" w:cs="Arial"/>
          <w:sz w:val="22"/>
          <w:szCs w:val="22"/>
          <w:lang w:val="en-US"/>
        </w:rPr>
        <w:t xml:space="preserve"> </w:t>
      </w:r>
      <w:r w:rsidR="00A53278" w:rsidRPr="009C5096">
        <w:rPr>
          <w:rFonts w:ascii="Arial" w:hAnsi="Arial" w:cs="Arial"/>
          <w:sz w:val="22"/>
          <w:szCs w:val="22"/>
          <w:lang w:val="en-US"/>
        </w:rPr>
        <w:t>processing</w:t>
      </w:r>
      <w:r w:rsidRPr="009C5096">
        <w:rPr>
          <w:rFonts w:ascii="Arial" w:hAnsi="Arial" w:cs="Arial"/>
          <w:sz w:val="22"/>
          <w:szCs w:val="22"/>
          <w:lang w:val="en-US"/>
        </w:rPr>
        <w:t xml:space="preserve">. The fruit and vegetable processing and wine sector are export-oriented, with high level of liquidity of companies and investments needs in equipment for technological process </w:t>
      </w:r>
      <w:r w:rsidR="00A53278" w:rsidRPr="009C5096">
        <w:rPr>
          <w:rFonts w:ascii="Arial" w:hAnsi="Arial" w:cs="Arial"/>
          <w:sz w:val="22"/>
          <w:szCs w:val="22"/>
          <w:lang w:val="en-US"/>
        </w:rPr>
        <w:t xml:space="preserve">modernization </w:t>
      </w:r>
      <w:r w:rsidRPr="009C5096">
        <w:rPr>
          <w:rFonts w:ascii="Arial" w:hAnsi="Arial" w:cs="Arial"/>
          <w:sz w:val="22"/>
          <w:szCs w:val="22"/>
          <w:lang w:val="en-US"/>
        </w:rPr>
        <w:t>or new production lines</w:t>
      </w:r>
      <w:r w:rsidR="00A53278">
        <w:rPr>
          <w:rFonts w:ascii="Arial" w:hAnsi="Arial" w:cs="Arial"/>
          <w:sz w:val="22"/>
          <w:szCs w:val="22"/>
          <w:lang w:val="en-US"/>
        </w:rPr>
        <w:t xml:space="preserve"> </w:t>
      </w:r>
      <w:r w:rsidR="00A53278" w:rsidRPr="009C5096">
        <w:rPr>
          <w:rFonts w:ascii="Arial" w:hAnsi="Arial" w:cs="Arial"/>
          <w:sz w:val="22"/>
          <w:szCs w:val="22"/>
          <w:lang w:val="en-US"/>
        </w:rPr>
        <w:t>introduction</w:t>
      </w:r>
      <w:r w:rsidRPr="009C5096">
        <w:rPr>
          <w:rFonts w:ascii="Arial" w:hAnsi="Arial" w:cs="Arial"/>
          <w:sz w:val="22"/>
          <w:szCs w:val="22"/>
          <w:lang w:val="en-US"/>
        </w:rPr>
        <w:t>.</w:t>
      </w:r>
    </w:p>
    <w:p w:rsidR="00036440" w:rsidRDefault="00036440" w:rsidP="003136C5">
      <w:pPr>
        <w:pStyle w:val="m343668044302477783m-3986873246552044066msolistparagraph"/>
        <w:spacing w:before="120" w:beforeAutospacing="0" w:after="0" w:afterAutospacing="0"/>
        <w:jc w:val="both"/>
        <w:rPr>
          <w:rFonts w:ascii="Arial" w:hAnsi="Arial" w:cs="Arial"/>
          <w:sz w:val="22"/>
          <w:szCs w:val="22"/>
          <w:lang w:val="en-US"/>
        </w:rPr>
      </w:pPr>
    </w:p>
    <w:p w:rsidR="00036440" w:rsidRDefault="00036440" w:rsidP="003136C5">
      <w:pPr>
        <w:pStyle w:val="m343668044302477783m-3986873246552044066msolistparagraph"/>
        <w:spacing w:before="120" w:beforeAutospacing="0" w:after="0" w:afterAutospacing="0"/>
        <w:jc w:val="both"/>
        <w:rPr>
          <w:rFonts w:ascii="Arial" w:hAnsi="Arial" w:cs="Arial"/>
          <w:sz w:val="22"/>
          <w:szCs w:val="22"/>
          <w:lang w:val="en-US"/>
        </w:rPr>
      </w:pPr>
    </w:p>
    <w:p w:rsidR="00036440" w:rsidRPr="009C5096" w:rsidRDefault="00036440" w:rsidP="003136C5">
      <w:pPr>
        <w:pStyle w:val="m343668044302477783m-3986873246552044066msolistparagraph"/>
        <w:spacing w:before="120" w:beforeAutospacing="0" w:after="0" w:afterAutospacing="0"/>
        <w:jc w:val="both"/>
        <w:rPr>
          <w:rFonts w:ascii="Arial" w:hAnsi="Arial" w:cs="Arial"/>
          <w:sz w:val="22"/>
          <w:szCs w:val="22"/>
          <w:lang w:val="en-US"/>
        </w:rPr>
      </w:pPr>
    </w:p>
    <w:p w:rsidR="003136C5" w:rsidRPr="00036440" w:rsidRDefault="003136C5" w:rsidP="003136C5">
      <w:pPr>
        <w:pStyle w:val="m343668044302477783m-3986873246552044066msolistparagraph"/>
        <w:spacing w:before="120" w:beforeAutospacing="0" w:after="120" w:afterAutospacing="0"/>
        <w:jc w:val="both"/>
        <w:rPr>
          <w:rFonts w:ascii="Arial" w:hAnsi="Arial" w:cs="Arial"/>
          <w:sz w:val="20"/>
          <w:szCs w:val="20"/>
          <w:lang w:val="en-US"/>
        </w:rPr>
      </w:pPr>
      <w:bookmarkStart w:id="43" w:name="_Toc6902280"/>
      <w:r w:rsidRPr="00036440">
        <w:rPr>
          <w:rFonts w:ascii="Arial" w:eastAsia="Times New Roman" w:hAnsi="Arial" w:cs="Arial"/>
          <w:sz w:val="20"/>
          <w:szCs w:val="20"/>
          <w:lang w:val="en-US"/>
        </w:rPr>
        <w:lastRenderedPageBreak/>
        <w:t xml:space="preserve">Table </w:t>
      </w:r>
      <w:r w:rsidRPr="00036440">
        <w:rPr>
          <w:rFonts w:ascii="Arial" w:eastAsia="Times New Roman" w:hAnsi="Arial" w:cs="Arial"/>
          <w:i/>
          <w:sz w:val="20"/>
          <w:szCs w:val="20"/>
          <w:lang w:val="en-US"/>
        </w:rPr>
        <w:fldChar w:fldCharType="begin"/>
      </w:r>
      <w:r w:rsidRPr="00036440">
        <w:rPr>
          <w:rFonts w:ascii="Arial" w:eastAsia="Times New Roman" w:hAnsi="Arial" w:cs="Arial"/>
          <w:sz w:val="20"/>
          <w:szCs w:val="20"/>
          <w:lang w:val="en-US"/>
        </w:rPr>
        <w:instrText xml:space="preserve"> SEQ Table \* ARABIC </w:instrText>
      </w:r>
      <w:r w:rsidRPr="00036440">
        <w:rPr>
          <w:rFonts w:ascii="Arial" w:eastAsia="Times New Roman" w:hAnsi="Arial" w:cs="Arial"/>
          <w:i/>
          <w:sz w:val="20"/>
          <w:szCs w:val="20"/>
          <w:lang w:val="en-US"/>
        </w:rPr>
        <w:fldChar w:fldCharType="separate"/>
      </w:r>
      <w:r w:rsidRPr="00036440">
        <w:rPr>
          <w:rFonts w:ascii="Arial" w:eastAsia="Times New Roman" w:hAnsi="Arial" w:cs="Arial"/>
          <w:sz w:val="20"/>
          <w:szCs w:val="20"/>
          <w:lang w:val="en-US"/>
        </w:rPr>
        <w:t>14</w:t>
      </w:r>
      <w:r w:rsidRPr="00036440">
        <w:rPr>
          <w:rFonts w:ascii="Arial" w:eastAsia="Times New Roman" w:hAnsi="Arial" w:cs="Arial"/>
          <w:i/>
          <w:sz w:val="20"/>
          <w:szCs w:val="20"/>
          <w:lang w:val="en-US"/>
        </w:rPr>
        <w:fldChar w:fldCharType="end"/>
      </w:r>
      <w:r w:rsidRPr="00036440">
        <w:rPr>
          <w:rFonts w:ascii="Arial" w:eastAsia="Times New Roman" w:hAnsi="Arial" w:cs="Arial"/>
          <w:sz w:val="20"/>
          <w:szCs w:val="20"/>
          <w:lang w:val="en-US"/>
        </w:rPr>
        <w:t>:</w:t>
      </w:r>
      <w:r w:rsidRPr="00036440">
        <w:rPr>
          <w:rFonts w:ascii="Arial" w:hAnsi="Arial" w:cs="Arial"/>
          <w:sz w:val="20"/>
          <w:szCs w:val="20"/>
          <w:lang w:val="en-US"/>
        </w:rPr>
        <w:t xml:space="preserve"> Review of applications per priority sectors in Measure 3</w:t>
      </w:r>
      <w:bookmarkEnd w:id="43"/>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072"/>
        <w:gridCol w:w="1266"/>
        <w:gridCol w:w="1262"/>
        <w:gridCol w:w="810"/>
        <w:gridCol w:w="990"/>
        <w:gridCol w:w="1530"/>
      </w:tblGrid>
      <w:tr w:rsidR="003136C5" w:rsidRPr="009C5096" w:rsidTr="00036440">
        <w:trPr>
          <w:trHeight w:val="665"/>
        </w:trPr>
        <w:tc>
          <w:tcPr>
            <w:tcW w:w="2425" w:type="dxa"/>
            <w:shd w:val="clear" w:color="auto" w:fill="auto"/>
            <w:noWrap/>
            <w:vAlign w:val="bottom"/>
            <w:hideMark/>
          </w:tcPr>
          <w:p w:rsidR="003136C5" w:rsidRPr="009C5096" w:rsidRDefault="003136C5" w:rsidP="00612896">
            <w:pPr>
              <w:jc w:val="center"/>
              <w:rPr>
                <w:rFonts w:ascii="Arial" w:hAnsi="Arial" w:cs="Arial"/>
              </w:rPr>
            </w:pPr>
          </w:p>
        </w:tc>
        <w:tc>
          <w:tcPr>
            <w:tcW w:w="1072"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Received</w:t>
            </w:r>
          </w:p>
          <w:p w:rsidR="003136C5" w:rsidRPr="009C5096" w:rsidRDefault="003136C5" w:rsidP="00612896">
            <w:pPr>
              <w:jc w:val="center"/>
              <w:rPr>
                <w:rFonts w:ascii="Arial" w:hAnsi="Arial" w:cs="Arial"/>
                <w:sz w:val="20"/>
                <w:szCs w:val="20"/>
              </w:rPr>
            </w:pPr>
            <w:r w:rsidRPr="009C5096">
              <w:rPr>
                <w:rFonts w:ascii="Arial" w:hAnsi="Arial" w:cs="Arial"/>
                <w:sz w:val="20"/>
                <w:szCs w:val="20"/>
              </w:rPr>
              <w:t>(A)</w:t>
            </w:r>
          </w:p>
        </w:tc>
        <w:tc>
          <w:tcPr>
            <w:tcW w:w="1266"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Contracted</w:t>
            </w:r>
          </w:p>
          <w:p w:rsidR="003136C5" w:rsidRPr="009C5096" w:rsidRDefault="003136C5" w:rsidP="00612896">
            <w:pPr>
              <w:jc w:val="center"/>
              <w:rPr>
                <w:rFonts w:ascii="Arial" w:hAnsi="Arial" w:cs="Arial"/>
                <w:sz w:val="20"/>
                <w:szCs w:val="20"/>
              </w:rPr>
            </w:pPr>
            <w:r w:rsidRPr="009C5096">
              <w:rPr>
                <w:rFonts w:ascii="Arial" w:hAnsi="Arial" w:cs="Arial"/>
                <w:sz w:val="20"/>
                <w:szCs w:val="20"/>
              </w:rPr>
              <w:t>(B)</w:t>
            </w:r>
          </w:p>
        </w:tc>
        <w:tc>
          <w:tcPr>
            <w:tcW w:w="1262"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EU part contracted</w:t>
            </w:r>
          </w:p>
        </w:tc>
        <w:tc>
          <w:tcPr>
            <w:tcW w:w="81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Paid</w:t>
            </w:r>
          </w:p>
        </w:tc>
        <w:tc>
          <w:tcPr>
            <w:tcW w:w="99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EU part paid</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 of approval</w:t>
            </w:r>
          </w:p>
          <w:p w:rsidR="003136C5" w:rsidRPr="009C5096" w:rsidRDefault="003136C5" w:rsidP="00612896">
            <w:pPr>
              <w:jc w:val="center"/>
              <w:rPr>
                <w:rFonts w:ascii="Arial" w:hAnsi="Arial" w:cs="Arial"/>
                <w:sz w:val="20"/>
                <w:szCs w:val="20"/>
              </w:rPr>
            </w:pPr>
            <w:r w:rsidRPr="009C5096">
              <w:rPr>
                <w:rFonts w:ascii="Arial" w:hAnsi="Arial" w:cs="Arial"/>
                <w:sz w:val="20"/>
                <w:szCs w:val="20"/>
              </w:rPr>
              <w:t>(B/A)</w:t>
            </w:r>
          </w:p>
        </w:tc>
      </w:tr>
      <w:tr w:rsidR="003136C5" w:rsidRPr="009C5096" w:rsidTr="00036440">
        <w:trPr>
          <w:trHeight w:val="435"/>
        </w:trPr>
        <w:tc>
          <w:tcPr>
            <w:tcW w:w="242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Milk collection centers</w:t>
            </w:r>
          </w:p>
        </w:tc>
        <w:tc>
          <w:tcPr>
            <w:tcW w:w="1072"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9</w:t>
            </w:r>
          </w:p>
        </w:tc>
        <w:tc>
          <w:tcPr>
            <w:tcW w:w="1266"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5</w:t>
            </w:r>
          </w:p>
        </w:tc>
        <w:tc>
          <w:tcPr>
            <w:tcW w:w="1262" w:type="dxa"/>
            <w:shd w:val="clear" w:color="auto" w:fill="auto"/>
            <w:vAlign w:val="center"/>
            <w:hideMark/>
          </w:tcPr>
          <w:p w:rsidR="003136C5" w:rsidRPr="009C5096" w:rsidRDefault="003136C5" w:rsidP="00A53278">
            <w:pPr>
              <w:jc w:val="right"/>
              <w:rPr>
                <w:rFonts w:ascii="Arial" w:hAnsi="Arial" w:cs="Arial"/>
                <w:sz w:val="20"/>
                <w:szCs w:val="20"/>
              </w:rPr>
            </w:pPr>
            <w:r w:rsidRPr="009C5096">
              <w:rPr>
                <w:rFonts w:ascii="Arial" w:hAnsi="Arial" w:cs="Arial"/>
                <w:sz w:val="20"/>
                <w:szCs w:val="20"/>
              </w:rPr>
              <w:t>303</w:t>
            </w:r>
            <w:r w:rsidR="00A53278">
              <w:rPr>
                <w:rFonts w:ascii="Arial" w:hAnsi="Arial" w:cs="Arial"/>
                <w:sz w:val="20"/>
                <w:szCs w:val="20"/>
              </w:rPr>
              <w:t>,</w:t>
            </w:r>
            <w:r w:rsidRPr="009C5096">
              <w:rPr>
                <w:rFonts w:ascii="Arial" w:hAnsi="Arial" w:cs="Arial"/>
                <w:sz w:val="20"/>
                <w:szCs w:val="20"/>
              </w:rPr>
              <w:t>880</w:t>
            </w:r>
          </w:p>
        </w:tc>
        <w:tc>
          <w:tcPr>
            <w:tcW w:w="81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990" w:type="dxa"/>
            <w:shd w:val="clear" w:color="auto" w:fill="auto"/>
            <w:vAlign w:val="center"/>
            <w:hideMark/>
          </w:tcPr>
          <w:p w:rsidR="003136C5" w:rsidRPr="009C5096" w:rsidRDefault="003136C5" w:rsidP="00A53278">
            <w:pPr>
              <w:jc w:val="right"/>
              <w:rPr>
                <w:rFonts w:ascii="Arial" w:hAnsi="Arial" w:cs="Arial"/>
                <w:sz w:val="20"/>
                <w:szCs w:val="20"/>
              </w:rPr>
            </w:pPr>
            <w:r w:rsidRPr="009C5096">
              <w:rPr>
                <w:rFonts w:ascii="Arial" w:hAnsi="Arial" w:cs="Arial"/>
                <w:sz w:val="20"/>
                <w:szCs w:val="20"/>
              </w:rPr>
              <w:t>66</w:t>
            </w:r>
            <w:r w:rsidR="00A53278">
              <w:rPr>
                <w:rFonts w:ascii="Arial" w:hAnsi="Arial" w:cs="Arial"/>
                <w:sz w:val="20"/>
                <w:szCs w:val="20"/>
              </w:rPr>
              <w:t>,</w:t>
            </w:r>
            <w:r w:rsidRPr="009C5096">
              <w:rPr>
                <w:rFonts w:ascii="Arial" w:hAnsi="Arial" w:cs="Arial"/>
                <w:sz w:val="20"/>
                <w:szCs w:val="20"/>
              </w:rPr>
              <w:t>425</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56%</w:t>
            </w:r>
          </w:p>
        </w:tc>
      </w:tr>
      <w:tr w:rsidR="003136C5" w:rsidRPr="009C5096" w:rsidTr="00036440">
        <w:trPr>
          <w:trHeight w:val="345"/>
        </w:trPr>
        <w:tc>
          <w:tcPr>
            <w:tcW w:w="242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Meat products</w:t>
            </w:r>
          </w:p>
        </w:tc>
        <w:tc>
          <w:tcPr>
            <w:tcW w:w="1072"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12</w:t>
            </w:r>
          </w:p>
        </w:tc>
        <w:tc>
          <w:tcPr>
            <w:tcW w:w="1266"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8</w:t>
            </w:r>
          </w:p>
        </w:tc>
        <w:tc>
          <w:tcPr>
            <w:tcW w:w="1262" w:type="dxa"/>
            <w:shd w:val="clear" w:color="auto" w:fill="auto"/>
            <w:vAlign w:val="center"/>
            <w:hideMark/>
          </w:tcPr>
          <w:p w:rsidR="003136C5" w:rsidRPr="009C5096" w:rsidRDefault="003136C5" w:rsidP="00A53278">
            <w:pPr>
              <w:jc w:val="right"/>
              <w:rPr>
                <w:rFonts w:ascii="Arial" w:hAnsi="Arial" w:cs="Arial"/>
                <w:sz w:val="20"/>
                <w:szCs w:val="20"/>
              </w:rPr>
            </w:pPr>
            <w:r w:rsidRPr="009C5096">
              <w:rPr>
                <w:rFonts w:ascii="Arial" w:hAnsi="Arial" w:cs="Arial"/>
                <w:sz w:val="20"/>
                <w:szCs w:val="20"/>
              </w:rPr>
              <w:t>2</w:t>
            </w:r>
            <w:r w:rsidR="00A53278">
              <w:rPr>
                <w:rFonts w:ascii="Arial" w:hAnsi="Arial" w:cs="Arial"/>
                <w:sz w:val="20"/>
                <w:szCs w:val="20"/>
              </w:rPr>
              <w:t>,</w:t>
            </w:r>
            <w:r w:rsidRPr="009C5096">
              <w:rPr>
                <w:rFonts w:ascii="Arial" w:hAnsi="Arial" w:cs="Arial"/>
                <w:sz w:val="20"/>
                <w:szCs w:val="20"/>
              </w:rPr>
              <w:t>328</w:t>
            </w:r>
            <w:r w:rsidR="00A53278">
              <w:rPr>
                <w:rFonts w:ascii="Arial" w:hAnsi="Arial" w:cs="Arial"/>
                <w:sz w:val="20"/>
                <w:szCs w:val="20"/>
              </w:rPr>
              <w:t>,</w:t>
            </w:r>
            <w:r w:rsidRPr="009C5096">
              <w:rPr>
                <w:rFonts w:ascii="Arial" w:hAnsi="Arial" w:cs="Arial"/>
                <w:sz w:val="20"/>
                <w:szCs w:val="20"/>
              </w:rPr>
              <w:t>524</w:t>
            </w:r>
          </w:p>
        </w:tc>
        <w:tc>
          <w:tcPr>
            <w:tcW w:w="81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w:t>
            </w:r>
          </w:p>
        </w:tc>
        <w:tc>
          <w:tcPr>
            <w:tcW w:w="990" w:type="dxa"/>
            <w:shd w:val="clear" w:color="auto" w:fill="auto"/>
            <w:vAlign w:val="center"/>
            <w:hideMark/>
          </w:tcPr>
          <w:p w:rsidR="003136C5" w:rsidRPr="009C5096" w:rsidRDefault="003136C5" w:rsidP="00A53278">
            <w:pPr>
              <w:jc w:val="right"/>
              <w:rPr>
                <w:rFonts w:ascii="Arial" w:hAnsi="Arial" w:cs="Arial"/>
                <w:sz w:val="20"/>
                <w:szCs w:val="20"/>
              </w:rPr>
            </w:pPr>
            <w:r w:rsidRPr="009C5096">
              <w:rPr>
                <w:rFonts w:ascii="Arial" w:hAnsi="Arial" w:cs="Arial"/>
                <w:sz w:val="20"/>
                <w:szCs w:val="20"/>
              </w:rPr>
              <w:t>95</w:t>
            </w:r>
            <w:r w:rsidR="00A53278">
              <w:rPr>
                <w:rFonts w:ascii="Arial" w:hAnsi="Arial" w:cs="Arial"/>
                <w:sz w:val="20"/>
                <w:szCs w:val="20"/>
              </w:rPr>
              <w:t>,</w:t>
            </w:r>
            <w:r w:rsidRPr="009C5096">
              <w:rPr>
                <w:rFonts w:ascii="Arial" w:hAnsi="Arial" w:cs="Arial"/>
                <w:sz w:val="20"/>
                <w:szCs w:val="20"/>
              </w:rPr>
              <w:t>783</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67%</w:t>
            </w:r>
          </w:p>
        </w:tc>
      </w:tr>
      <w:tr w:rsidR="003136C5" w:rsidRPr="009C5096" w:rsidTr="00036440">
        <w:trPr>
          <w:trHeight w:val="345"/>
        </w:trPr>
        <w:tc>
          <w:tcPr>
            <w:tcW w:w="242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F&amp;V collection centers</w:t>
            </w:r>
          </w:p>
        </w:tc>
        <w:tc>
          <w:tcPr>
            <w:tcW w:w="1072"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21</w:t>
            </w:r>
          </w:p>
        </w:tc>
        <w:tc>
          <w:tcPr>
            <w:tcW w:w="1266"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10</w:t>
            </w:r>
          </w:p>
        </w:tc>
        <w:tc>
          <w:tcPr>
            <w:tcW w:w="1262" w:type="dxa"/>
            <w:shd w:val="clear" w:color="auto" w:fill="auto"/>
            <w:vAlign w:val="center"/>
            <w:hideMark/>
          </w:tcPr>
          <w:p w:rsidR="003136C5" w:rsidRPr="009C5096" w:rsidRDefault="003136C5" w:rsidP="00A53278">
            <w:pPr>
              <w:jc w:val="right"/>
              <w:rPr>
                <w:rFonts w:ascii="Arial" w:hAnsi="Arial" w:cs="Arial"/>
                <w:sz w:val="20"/>
                <w:szCs w:val="20"/>
              </w:rPr>
            </w:pPr>
            <w:r w:rsidRPr="009C5096">
              <w:rPr>
                <w:rFonts w:ascii="Arial" w:hAnsi="Arial" w:cs="Arial"/>
                <w:sz w:val="20"/>
                <w:szCs w:val="20"/>
              </w:rPr>
              <w:t>1</w:t>
            </w:r>
            <w:r w:rsidR="00A53278">
              <w:rPr>
                <w:rFonts w:ascii="Arial" w:hAnsi="Arial" w:cs="Arial"/>
                <w:sz w:val="20"/>
                <w:szCs w:val="20"/>
              </w:rPr>
              <w:t>,</w:t>
            </w:r>
            <w:r w:rsidRPr="009C5096">
              <w:rPr>
                <w:rFonts w:ascii="Arial" w:hAnsi="Arial" w:cs="Arial"/>
                <w:sz w:val="20"/>
                <w:szCs w:val="20"/>
              </w:rPr>
              <w:t>727</w:t>
            </w:r>
            <w:r w:rsidR="00A53278">
              <w:rPr>
                <w:rFonts w:ascii="Arial" w:hAnsi="Arial" w:cs="Arial"/>
                <w:sz w:val="20"/>
                <w:szCs w:val="20"/>
              </w:rPr>
              <w:t>,</w:t>
            </w:r>
            <w:r w:rsidRPr="009C5096">
              <w:rPr>
                <w:rFonts w:ascii="Arial" w:hAnsi="Arial" w:cs="Arial"/>
                <w:sz w:val="20"/>
                <w:szCs w:val="20"/>
              </w:rPr>
              <w:t>013</w:t>
            </w:r>
          </w:p>
        </w:tc>
        <w:tc>
          <w:tcPr>
            <w:tcW w:w="81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w:t>
            </w:r>
          </w:p>
        </w:tc>
        <w:tc>
          <w:tcPr>
            <w:tcW w:w="990" w:type="dxa"/>
            <w:shd w:val="clear" w:color="auto" w:fill="auto"/>
            <w:vAlign w:val="center"/>
            <w:hideMark/>
          </w:tcPr>
          <w:p w:rsidR="003136C5" w:rsidRPr="009C5096" w:rsidRDefault="003136C5" w:rsidP="00A53278">
            <w:pPr>
              <w:jc w:val="right"/>
              <w:rPr>
                <w:rFonts w:ascii="Arial" w:hAnsi="Arial" w:cs="Arial"/>
                <w:sz w:val="20"/>
                <w:szCs w:val="20"/>
              </w:rPr>
            </w:pPr>
            <w:r w:rsidRPr="009C5096">
              <w:rPr>
                <w:rFonts w:ascii="Arial" w:hAnsi="Arial" w:cs="Arial"/>
                <w:sz w:val="20"/>
                <w:szCs w:val="20"/>
              </w:rPr>
              <w:t>383</w:t>
            </w:r>
            <w:r w:rsidR="00A53278">
              <w:rPr>
                <w:rFonts w:ascii="Arial" w:hAnsi="Arial" w:cs="Arial"/>
                <w:sz w:val="20"/>
                <w:szCs w:val="20"/>
              </w:rPr>
              <w:t>,</w:t>
            </w:r>
            <w:r w:rsidRPr="009C5096">
              <w:rPr>
                <w:rFonts w:ascii="Arial" w:hAnsi="Arial" w:cs="Arial"/>
                <w:sz w:val="20"/>
                <w:szCs w:val="20"/>
              </w:rPr>
              <w:t>864</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48%</w:t>
            </w:r>
          </w:p>
        </w:tc>
      </w:tr>
      <w:tr w:rsidR="003136C5" w:rsidRPr="009C5096" w:rsidTr="00036440">
        <w:trPr>
          <w:trHeight w:val="345"/>
        </w:trPr>
        <w:tc>
          <w:tcPr>
            <w:tcW w:w="242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Cereals milling</w:t>
            </w:r>
          </w:p>
        </w:tc>
        <w:tc>
          <w:tcPr>
            <w:tcW w:w="1072"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5</w:t>
            </w:r>
          </w:p>
        </w:tc>
        <w:tc>
          <w:tcPr>
            <w:tcW w:w="1266"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1262" w:type="dxa"/>
            <w:shd w:val="clear" w:color="auto" w:fill="auto"/>
            <w:vAlign w:val="center"/>
            <w:hideMark/>
          </w:tcPr>
          <w:p w:rsidR="003136C5" w:rsidRPr="009C5096" w:rsidRDefault="003136C5" w:rsidP="00A53278">
            <w:pPr>
              <w:jc w:val="right"/>
              <w:rPr>
                <w:rFonts w:ascii="Arial" w:hAnsi="Arial" w:cs="Arial"/>
                <w:sz w:val="20"/>
                <w:szCs w:val="20"/>
              </w:rPr>
            </w:pPr>
            <w:r w:rsidRPr="009C5096">
              <w:rPr>
                <w:rFonts w:ascii="Arial" w:hAnsi="Arial" w:cs="Arial"/>
                <w:sz w:val="20"/>
                <w:szCs w:val="20"/>
              </w:rPr>
              <w:t>75</w:t>
            </w:r>
            <w:r w:rsidR="00A53278">
              <w:rPr>
                <w:rFonts w:ascii="Arial" w:hAnsi="Arial" w:cs="Arial"/>
                <w:sz w:val="20"/>
                <w:szCs w:val="20"/>
              </w:rPr>
              <w:t>,</w:t>
            </w:r>
            <w:r w:rsidRPr="009C5096">
              <w:rPr>
                <w:rFonts w:ascii="Arial" w:hAnsi="Arial" w:cs="Arial"/>
                <w:sz w:val="20"/>
                <w:szCs w:val="20"/>
              </w:rPr>
              <w:t>879</w:t>
            </w:r>
          </w:p>
        </w:tc>
        <w:tc>
          <w:tcPr>
            <w:tcW w:w="81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c>
          <w:tcPr>
            <w:tcW w:w="990" w:type="dxa"/>
            <w:shd w:val="clear" w:color="auto" w:fill="auto"/>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0</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40%</w:t>
            </w:r>
          </w:p>
        </w:tc>
      </w:tr>
      <w:tr w:rsidR="003136C5" w:rsidRPr="009C5096" w:rsidTr="00036440">
        <w:trPr>
          <w:trHeight w:val="345"/>
        </w:trPr>
        <w:tc>
          <w:tcPr>
            <w:tcW w:w="242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Oils and fats</w:t>
            </w:r>
          </w:p>
        </w:tc>
        <w:tc>
          <w:tcPr>
            <w:tcW w:w="1072"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1266"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w:t>
            </w:r>
          </w:p>
        </w:tc>
        <w:tc>
          <w:tcPr>
            <w:tcW w:w="1262" w:type="dxa"/>
            <w:shd w:val="clear" w:color="auto" w:fill="auto"/>
            <w:vAlign w:val="center"/>
            <w:hideMark/>
          </w:tcPr>
          <w:p w:rsidR="003136C5" w:rsidRPr="009C5096" w:rsidRDefault="003136C5" w:rsidP="00A53278">
            <w:pPr>
              <w:jc w:val="right"/>
              <w:rPr>
                <w:rFonts w:ascii="Arial" w:hAnsi="Arial" w:cs="Arial"/>
                <w:sz w:val="20"/>
                <w:szCs w:val="20"/>
              </w:rPr>
            </w:pPr>
            <w:r w:rsidRPr="009C5096">
              <w:rPr>
                <w:rFonts w:ascii="Arial" w:hAnsi="Arial" w:cs="Arial"/>
                <w:sz w:val="20"/>
                <w:szCs w:val="20"/>
              </w:rPr>
              <w:t>9</w:t>
            </w:r>
            <w:r w:rsidR="00A53278">
              <w:rPr>
                <w:rFonts w:ascii="Arial" w:hAnsi="Arial" w:cs="Arial"/>
                <w:sz w:val="20"/>
                <w:szCs w:val="20"/>
              </w:rPr>
              <w:t>,</w:t>
            </w:r>
            <w:r w:rsidRPr="009C5096">
              <w:rPr>
                <w:rFonts w:ascii="Arial" w:hAnsi="Arial" w:cs="Arial"/>
                <w:sz w:val="20"/>
                <w:szCs w:val="20"/>
              </w:rPr>
              <w:t>619</w:t>
            </w:r>
          </w:p>
        </w:tc>
        <w:tc>
          <w:tcPr>
            <w:tcW w:w="81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c>
          <w:tcPr>
            <w:tcW w:w="990" w:type="dxa"/>
            <w:shd w:val="clear" w:color="auto" w:fill="auto"/>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0</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50%</w:t>
            </w:r>
          </w:p>
        </w:tc>
      </w:tr>
      <w:tr w:rsidR="003136C5" w:rsidRPr="009C5096" w:rsidTr="00036440">
        <w:trPr>
          <w:trHeight w:val="435"/>
        </w:trPr>
        <w:tc>
          <w:tcPr>
            <w:tcW w:w="242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Wineries</w:t>
            </w:r>
          </w:p>
        </w:tc>
        <w:tc>
          <w:tcPr>
            <w:tcW w:w="1072"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8</w:t>
            </w:r>
          </w:p>
        </w:tc>
        <w:tc>
          <w:tcPr>
            <w:tcW w:w="1266"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4</w:t>
            </w:r>
          </w:p>
        </w:tc>
        <w:tc>
          <w:tcPr>
            <w:tcW w:w="1262" w:type="dxa"/>
            <w:shd w:val="clear" w:color="auto" w:fill="auto"/>
            <w:vAlign w:val="center"/>
            <w:hideMark/>
          </w:tcPr>
          <w:p w:rsidR="003136C5" w:rsidRPr="009C5096" w:rsidRDefault="003136C5" w:rsidP="00A53278">
            <w:pPr>
              <w:jc w:val="right"/>
              <w:rPr>
                <w:rFonts w:ascii="Arial" w:hAnsi="Arial" w:cs="Arial"/>
                <w:sz w:val="20"/>
                <w:szCs w:val="20"/>
              </w:rPr>
            </w:pPr>
            <w:r w:rsidRPr="009C5096">
              <w:rPr>
                <w:rFonts w:ascii="Arial" w:hAnsi="Arial" w:cs="Arial"/>
                <w:sz w:val="20"/>
                <w:szCs w:val="20"/>
              </w:rPr>
              <w:t>497</w:t>
            </w:r>
            <w:r w:rsidR="00A53278">
              <w:rPr>
                <w:rFonts w:ascii="Arial" w:hAnsi="Arial" w:cs="Arial"/>
                <w:sz w:val="20"/>
                <w:szCs w:val="20"/>
              </w:rPr>
              <w:t>,</w:t>
            </w:r>
            <w:r w:rsidRPr="009C5096">
              <w:rPr>
                <w:rFonts w:ascii="Arial" w:hAnsi="Arial" w:cs="Arial"/>
                <w:sz w:val="20"/>
                <w:szCs w:val="20"/>
              </w:rPr>
              <w:t>974</w:t>
            </w:r>
          </w:p>
        </w:tc>
        <w:tc>
          <w:tcPr>
            <w:tcW w:w="81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c>
          <w:tcPr>
            <w:tcW w:w="990" w:type="dxa"/>
            <w:shd w:val="clear" w:color="auto" w:fill="auto"/>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0</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50%</w:t>
            </w:r>
          </w:p>
        </w:tc>
      </w:tr>
    </w:tbl>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eastAsia="en-US"/>
        </w:rPr>
      </w:pPr>
      <w:r w:rsidRPr="009C5096">
        <w:rPr>
          <w:rFonts w:ascii="Arial" w:hAnsi="Arial" w:cs="Arial"/>
          <w:sz w:val="18"/>
          <w:szCs w:val="18"/>
          <w:lang w:val="en-US" w:eastAsia="en-US"/>
        </w:rPr>
        <w:t>Source: Managing Authority</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Regarding the interest for types of investments, investments </w:t>
      </w:r>
      <w:r w:rsidR="00346516">
        <w:rPr>
          <w:rFonts w:ascii="Arial" w:hAnsi="Arial" w:cs="Arial"/>
          <w:sz w:val="22"/>
          <w:szCs w:val="22"/>
          <w:lang w:val="en-US"/>
        </w:rPr>
        <w:t xml:space="preserve">in </w:t>
      </w:r>
      <w:r w:rsidRPr="009C5096">
        <w:rPr>
          <w:rFonts w:ascii="Arial" w:hAnsi="Arial" w:cs="Arial"/>
          <w:sz w:val="22"/>
          <w:szCs w:val="22"/>
          <w:lang w:val="en-US"/>
        </w:rPr>
        <w:t xml:space="preserve">equipment for production technology </w:t>
      </w:r>
      <w:r w:rsidR="00346516" w:rsidRPr="009C5096">
        <w:rPr>
          <w:rFonts w:ascii="Arial" w:hAnsi="Arial" w:cs="Arial"/>
          <w:sz w:val="22"/>
          <w:szCs w:val="22"/>
          <w:lang w:val="en-US"/>
        </w:rPr>
        <w:t xml:space="preserve">modernization </w:t>
      </w:r>
      <w:r w:rsidRPr="009C5096">
        <w:rPr>
          <w:rFonts w:ascii="Arial" w:hAnsi="Arial" w:cs="Arial"/>
          <w:sz w:val="22"/>
          <w:szCs w:val="22"/>
          <w:lang w:val="en-US"/>
        </w:rPr>
        <w:t>was most wanted for the applicants (especially in F&amp;V processing-11 applications, 5 contracts), followed by construction/reconstruction of operational facilities (especially in F&amp;V collection centers</w:t>
      </w:r>
      <w:r w:rsidR="00346516">
        <w:rPr>
          <w:rFonts w:ascii="Arial" w:hAnsi="Arial" w:cs="Arial"/>
          <w:sz w:val="22"/>
          <w:szCs w:val="22"/>
          <w:lang w:val="en-US"/>
        </w:rPr>
        <w:t xml:space="preserve"> – </w:t>
      </w:r>
      <w:r w:rsidRPr="009C5096">
        <w:rPr>
          <w:rFonts w:ascii="Arial" w:hAnsi="Arial" w:cs="Arial"/>
          <w:sz w:val="22"/>
          <w:szCs w:val="22"/>
          <w:lang w:val="en-US"/>
        </w:rPr>
        <w:t>10 applications, 5 contracts). In addition, 2 green</w:t>
      </w:r>
      <w:r w:rsidR="00346516">
        <w:rPr>
          <w:rFonts w:ascii="Arial" w:hAnsi="Arial" w:cs="Arial"/>
          <w:sz w:val="22"/>
          <w:szCs w:val="22"/>
          <w:lang w:val="en-US"/>
        </w:rPr>
        <w:t xml:space="preserve">-field </w:t>
      </w:r>
      <w:r w:rsidRPr="009C5096">
        <w:rPr>
          <w:rFonts w:ascii="Arial" w:hAnsi="Arial" w:cs="Arial"/>
          <w:sz w:val="22"/>
          <w:szCs w:val="22"/>
          <w:lang w:val="en-US"/>
        </w:rPr>
        <w:t xml:space="preserve">investments have been submitted and </w:t>
      </w:r>
      <w:r w:rsidR="00346516">
        <w:rPr>
          <w:rFonts w:ascii="Arial" w:hAnsi="Arial" w:cs="Arial"/>
          <w:sz w:val="22"/>
          <w:szCs w:val="22"/>
          <w:lang w:val="en-US"/>
        </w:rPr>
        <w:t xml:space="preserve">there was </w:t>
      </w:r>
      <w:r w:rsidRPr="009C5096">
        <w:rPr>
          <w:rFonts w:ascii="Arial" w:hAnsi="Arial" w:cs="Arial"/>
          <w:sz w:val="22"/>
          <w:szCs w:val="22"/>
          <w:lang w:val="en-US"/>
        </w:rPr>
        <w:t>1 signed contract (meat processing</w:t>
      </w:r>
      <w:r w:rsidR="00346516">
        <w:rPr>
          <w:rFonts w:ascii="Arial" w:hAnsi="Arial" w:cs="Arial"/>
          <w:sz w:val="22"/>
          <w:szCs w:val="22"/>
          <w:lang w:val="en-US"/>
        </w:rPr>
        <w:t xml:space="preserve"> –</w:t>
      </w:r>
      <w:r w:rsidRPr="009C5096">
        <w:rPr>
          <w:rFonts w:ascii="Arial" w:hAnsi="Arial" w:cs="Arial"/>
          <w:sz w:val="22"/>
          <w:szCs w:val="22"/>
          <w:lang w:val="en-US"/>
        </w:rPr>
        <w:t xml:space="preserve">poultry). </w:t>
      </w:r>
    </w:p>
    <w:p w:rsidR="003136C5" w:rsidRPr="009C5096" w:rsidRDefault="003136C5" w:rsidP="003136C5">
      <w:pPr>
        <w:pStyle w:val="m343668044302477783m-3986873246552044066msolistparagraph"/>
        <w:spacing w:before="120" w:beforeAutospacing="0" w:after="120" w:afterAutospacing="0"/>
        <w:jc w:val="both"/>
        <w:rPr>
          <w:rFonts w:ascii="Arial" w:hAnsi="Arial" w:cs="Arial"/>
          <w:sz w:val="22"/>
          <w:szCs w:val="22"/>
          <w:lang w:val="en-US"/>
        </w:rPr>
      </w:pPr>
      <w:r w:rsidRPr="009C5096">
        <w:rPr>
          <w:rFonts w:ascii="Arial" w:hAnsi="Arial" w:cs="Arial"/>
          <w:sz w:val="22"/>
          <w:szCs w:val="22"/>
          <w:lang w:val="en-US"/>
        </w:rPr>
        <w:t>Applicants have not shown interest for investing in: waste and wastewater management, transport tanks, trailers and specialized vehicles for transport of raw materials, equipment for improvement of animal welfare standards and investments in development of holdings infrastructure.</w:t>
      </w:r>
    </w:p>
    <w:p w:rsidR="003136C5" w:rsidRPr="00036440" w:rsidRDefault="003136C5" w:rsidP="003136C5">
      <w:pPr>
        <w:pStyle w:val="m343668044302477783m-3986873246552044066msolistparagraph"/>
        <w:spacing w:before="120" w:beforeAutospacing="0" w:after="120" w:afterAutospacing="0"/>
        <w:jc w:val="both"/>
        <w:rPr>
          <w:rFonts w:ascii="Arial" w:hAnsi="Arial" w:cs="Arial"/>
          <w:sz w:val="14"/>
          <w:szCs w:val="18"/>
          <w:lang w:val="en-US" w:eastAsia="en-US"/>
        </w:rPr>
      </w:pPr>
      <w:bookmarkStart w:id="44" w:name="_Toc6903707"/>
      <w:r w:rsidRPr="00036440">
        <w:rPr>
          <w:rFonts w:ascii="Arial" w:hAnsi="Arial" w:cs="Arial"/>
          <w:sz w:val="20"/>
          <w:lang w:val="en-US"/>
        </w:rPr>
        <w:t xml:space="preserve">Figure </w:t>
      </w:r>
      <w:r w:rsidRPr="00036440">
        <w:rPr>
          <w:rFonts w:ascii="Arial" w:hAnsi="Arial" w:cs="Arial"/>
          <w:sz w:val="20"/>
          <w:lang w:val="en-US"/>
        </w:rPr>
        <w:fldChar w:fldCharType="begin"/>
      </w:r>
      <w:r w:rsidRPr="00036440">
        <w:rPr>
          <w:rFonts w:ascii="Arial" w:hAnsi="Arial" w:cs="Arial"/>
          <w:sz w:val="20"/>
          <w:lang w:val="en-US"/>
        </w:rPr>
        <w:instrText xml:space="preserve"> SEQ Figure \* ARABIC </w:instrText>
      </w:r>
      <w:r w:rsidRPr="00036440">
        <w:rPr>
          <w:rFonts w:ascii="Arial" w:hAnsi="Arial" w:cs="Arial"/>
          <w:sz w:val="20"/>
          <w:lang w:val="en-US"/>
        </w:rPr>
        <w:fldChar w:fldCharType="separate"/>
      </w:r>
      <w:r w:rsidRPr="00036440">
        <w:rPr>
          <w:rFonts w:ascii="Arial" w:hAnsi="Arial" w:cs="Arial"/>
          <w:sz w:val="20"/>
          <w:lang w:val="en-US"/>
        </w:rPr>
        <w:t>7</w:t>
      </w:r>
      <w:r w:rsidRPr="00036440">
        <w:rPr>
          <w:rFonts w:ascii="Arial" w:hAnsi="Arial" w:cs="Arial"/>
          <w:sz w:val="20"/>
          <w:lang w:val="en-US"/>
        </w:rPr>
        <w:fldChar w:fldCharType="end"/>
      </w:r>
      <w:r w:rsidRPr="00036440">
        <w:rPr>
          <w:rFonts w:ascii="Arial" w:hAnsi="Arial" w:cs="Arial"/>
          <w:sz w:val="20"/>
          <w:lang w:val="en-US"/>
        </w:rPr>
        <w:t>: Review of applications per type of investment in Measure 3</w:t>
      </w:r>
      <w:bookmarkEnd w:id="44"/>
    </w:p>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eastAsia="en-US"/>
        </w:rPr>
      </w:pPr>
      <w:r w:rsidRPr="009C5096">
        <w:rPr>
          <w:rFonts w:ascii="Arial" w:hAnsi="Arial" w:cs="Arial"/>
          <w:noProof/>
          <w:sz w:val="18"/>
          <w:szCs w:val="18"/>
          <w:lang w:val="en-US" w:eastAsia="en-US"/>
        </w:rPr>
        <w:drawing>
          <wp:inline distT="0" distB="0" distL="0" distR="0" wp14:anchorId="373AAC91" wp14:editId="60FB1875">
            <wp:extent cx="5657351" cy="2146852"/>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8564" cy="2151107"/>
                    </a:xfrm>
                    <a:prstGeom prst="rect">
                      <a:avLst/>
                    </a:prstGeom>
                    <a:noFill/>
                  </pic:spPr>
                </pic:pic>
              </a:graphicData>
            </a:graphic>
          </wp:inline>
        </w:drawing>
      </w:r>
    </w:p>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eastAsia="en-US"/>
        </w:rPr>
      </w:pPr>
      <w:r w:rsidRPr="009C5096">
        <w:rPr>
          <w:rFonts w:ascii="Arial" w:hAnsi="Arial" w:cs="Arial"/>
          <w:sz w:val="18"/>
          <w:szCs w:val="18"/>
          <w:lang w:val="en-US" w:eastAsia="en-US"/>
        </w:rPr>
        <w:t>Source: Managing Authority</w:t>
      </w:r>
    </w:p>
    <w:p w:rsidR="003136C5" w:rsidRPr="0034651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lang w:val="en-US" w:eastAsia="en-US"/>
        </w:rPr>
      </w:pPr>
      <w:bookmarkStart w:id="45" w:name="_Toc8649813"/>
      <w:r w:rsidRPr="009C5096">
        <w:rPr>
          <w:rFonts w:ascii="Arial" w:hAnsi="Arial" w:cs="Arial"/>
          <w:b/>
          <w:lang w:val="en-US"/>
        </w:rPr>
        <w:t xml:space="preserve">Measure 7 </w:t>
      </w:r>
      <w:r w:rsidR="00346516">
        <w:rPr>
          <w:rFonts w:ascii="Arial" w:hAnsi="Arial" w:cs="Arial"/>
          <w:b/>
          <w:lang w:val="en-US"/>
        </w:rPr>
        <w:t>–</w:t>
      </w:r>
      <w:r w:rsidRPr="00346516">
        <w:rPr>
          <w:rFonts w:ascii="Arial" w:hAnsi="Arial" w:cs="Arial"/>
          <w:b/>
          <w:lang w:val="en-US"/>
        </w:rPr>
        <w:t xml:space="preserve"> Farm diversification and business development</w:t>
      </w:r>
      <w:bookmarkEnd w:id="45"/>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eastAsia="en-US"/>
        </w:rPr>
      </w:pPr>
      <w:r w:rsidRPr="009C5096">
        <w:rPr>
          <w:rFonts w:ascii="Arial" w:hAnsi="Arial" w:cs="Arial"/>
          <w:sz w:val="22"/>
          <w:szCs w:val="22"/>
          <w:lang w:val="en-US" w:eastAsia="en-US"/>
        </w:rPr>
        <w:t xml:space="preserve">Contracting under this measure was delayed due to </w:t>
      </w:r>
      <w:r w:rsidR="00346516">
        <w:rPr>
          <w:rFonts w:ascii="Arial" w:hAnsi="Arial" w:cs="Arial"/>
          <w:sz w:val="22"/>
          <w:szCs w:val="22"/>
          <w:lang w:val="en-US" w:eastAsia="en-US"/>
        </w:rPr>
        <w:t xml:space="preserve">the </w:t>
      </w:r>
      <w:r w:rsidRPr="009C5096">
        <w:rPr>
          <w:rFonts w:ascii="Arial" w:hAnsi="Arial" w:cs="Arial"/>
          <w:sz w:val="22"/>
          <w:szCs w:val="22"/>
          <w:lang w:val="en-US" w:eastAsia="en-US"/>
        </w:rPr>
        <w:t xml:space="preserve">great number and value of applications submitted. </w:t>
      </w:r>
      <w:r w:rsidR="00346516">
        <w:rPr>
          <w:rFonts w:ascii="Arial" w:hAnsi="Arial" w:cs="Arial"/>
          <w:sz w:val="22"/>
          <w:szCs w:val="22"/>
          <w:lang w:val="en-US" w:eastAsia="en-US"/>
        </w:rPr>
        <w:t>The f</w:t>
      </w:r>
      <w:r w:rsidRPr="009C5096">
        <w:rPr>
          <w:rFonts w:ascii="Arial" w:hAnsi="Arial" w:cs="Arial"/>
          <w:sz w:val="22"/>
          <w:szCs w:val="22"/>
          <w:lang w:val="en-US" w:eastAsia="en-US"/>
        </w:rPr>
        <w:t>irst call had 187 applications (41</w:t>
      </w:r>
      <w:r w:rsidR="00346516">
        <w:rPr>
          <w:rFonts w:ascii="Arial" w:hAnsi="Arial" w:cs="Arial"/>
          <w:sz w:val="22"/>
          <w:szCs w:val="22"/>
          <w:lang w:val="en-US" w:eastAsia="en-US"/>
        </w:rPr>
        <w:t>,</w:t>
      </w:r>
      <w:r w:rsidRPr="009C5096">
        <w:rPr>
          <w:rFonts w:ascii="Arial" w:hAnsi="Arial" w:cs="Arial"/>
          <w:sz w:val="22"/>
          <w:szCs w:val="22"/>
          <w:lang w:val="en-US" w:eastAsia="en-US"/>
        </w:rPr>
        <w:t>342</w:t>
      </w:r>
      <w:r w:rsidR="00346516">
        <w:rPr>
          <w:rFonts w:ascii="Arial" w:hAnsi="Arial" w:cs="Arial"/>
          <w:sz w:val="22"/>
          <w:szCs w:val="22"/>
          <w:lang w:val="en-US" w:eastAsia="en-US"/>
        </w:rPr>
        <w:t>,</w:t>
      </w:r>
      <w:r w:rsidRPr="009C5096">
        <w:rPr>
          <w:rFonts w:ascii="Arial" w:hAnsi="Arial" w:cs="Arial"/>
          <w:sz w:val="22"/>
          <w:szCs w:val="22"/>
          <w:lang w:val="en-US" w:eastAsia="en-US"/>
        </w:rPr>
        <w:t xml:space="preserve">988 € EU </w:t>
      </w:r>
      <w:r w:rsidR="00346516" w:rsidRPr="009C5096">
        <w:rPr>
          <w:rFonts w:ascii="Arial" w:hAnsi="Arial" w:cs="Arial"/>
          <w:sz w:val="22"/>
          <w:szCs w:val="22"/>
          <w:lang w:val="en-US" w:eastAsia="en-US"/>
        </w:rPr>
        <w:t>contribution</w:t>
      </w:r>
      <w:r w:rsidRPr="009C5096">
        <w:rPr>
          <w:rFonts w:ascii="Arial" w:hAnsi="Arial" w:cs="Arial"/>
          <w:sz w:val="22"/>
          <w:szCs w:val="22"/>
          <w:lang w:val="en-US" w:eastAsia="en-US"/>
        </w:rPr>
        <w:t xml:space="preserve">) submitted for this measure. </w:t>
      </w:r>
      <w:r w:rsidR="00346516">
        <w:rPr>
          <w:rFonts w:ascii="Arial" w:hAnsi="Arial" w:cs="Arial"/>
          <w:sz w:val="22"/>
          <w:szCs w:val="22"/>
          <w:lang w:val="en-US" w:eastAsia="en-US"/>
        </w:rPr>
        <w:t>The f</w:t>
      </w:r>
      <w:r w:rsidRPr="009C5096">
        <w:rPr>
          <w:rFonts w:ascii="Arial" w:hAnsi="Arial" w:cs="Arial"/>
          <w:sz w:val="22"/>
          <w:szCs w:val="22"/>
          <w:lang w:val="en-US" w:eastAsia="en-US"/>
        </w:rPr>
        <w:t xml:space="preserve">irst 20 contracts under </w:t>
      </w:r>
      <w:r w:rsidR="00346516">
        <w:rPr>
          <w:rFonts w:ascii="Arial" w:hAnsi="Arial" w:cs="Arial"/>
          <w:sz w:val="22"/>
          <w:szCs w:val="22"/>
          <w:lang w:val="en-US" w:eastAsia="en-US"/>
        </w:rPr>
        <w:t>M</w:t>
      </w:r>
      <w:r w:rsidRPr="009C5096">
        <w:rPr>
          <w:rFonts w:ascii="Arial" w:hAnsi="Arial" w:cs="Arial"/>
          <w:sz w:val="22"/>
          <w:szCs w:val="22"/>
          <w:lang w:val="en-US" w:eastAsia="en-US"/>
        </w:rPr>
        <w:t xml:space="preserve">easure 7 </w:t>
      </w:r>
      <w:r w:rsidR="00346516">
        <w:rPr>
          <w:rFonts w:ascii="Arial" w:hAnsi="Arial" w:cs="Arial"/>
          <w:sz w:val="22"/>
          <w:szCs w:val="22"/>
          <w:lang w:val="en-US" w:eastAsia="en-US"/>
        </w:rPr>
        <w:t xml:space="preserve">were signed </w:t>
      </w:r>
      <w:r w:rsidRPr="009C5096">
        <w:rPr>
          <w:rFonts w:ascii="Arial" w:hAnsi="Arial" w:cs="Arial"/>
          <w:sz w:val="22"/>
          <w:szCs w:val="22"/>
          <w:lang w:val="en-US" w:eastAsia="en-US"/>
        </w:rPr>
        <w:t>early in 2019 (2</w:t>
      </w:r>
      <w:r w:rsidR="00346516">
        <w:rPr>
          <w:rFonts w:ascii="Arial" w:hAnsi="Arial" w:cs="Arial"/>
          <w:sz w:val="22"/>
          <w:szCs w:val="22"/>
          <w:lang w:val="en-US" w:eastAsia="en-US"/>
        </w:rPr>
        <w:t>,</w:t>
      </w:r>
      <w:r w:rsidRPr="009C5096">
        <w:rPr>
          <w:rFonts w:ascii="Arial" w:hAnsi="Arial" w:cs="Arial"/>
          <w:sz w:val="22"/>
          <w:szCs w:val="22"/>
          <w:lang w:val="en-US" w:eastAsia="en-US"/>
        </w:rPr>
        <w:t>271</w:t>
      </w:r>
      <w:r w:rsidR="00346516">
        <w:rPr>
          <w:rFonts w:ascii="Arial" w:hAnsi="Arial" w:cs="Arial"/>
          <w:sz w:val="22"/>
          <w:szCs w:val="22"/>
          <w:lang w:val="en-US" w:eastAsia="en-US"/>
        </w:rPr>
        <w:t>,</w:t>
      </w:r>
      <w:r w:rsidRPr="009C5096">
        <w:rPr>
          <w:rFonts w:ascii="Arial" w:hAnsi="Arial" w:cs="Arial"/>
          <w:sz w:val="22"/>
          <w:szCs w:val="22"/>
          <w:lang w:val="en-US" w:eastAsia="en-US"/>
        </w:rPr>
        <w:t>506 EU cont</w:t>
      </w:r>
      <w:r w:rsidR="00346516">
        <w:rPr>
          <w:rFonts w:ascii="Arial" w:hAnsi="Arial" w:cs="Arial"/>
          <w:sz w:val="22"/>
          <w:szCs w:val="22"/>
          <w:lang w:val="en-US" w:eastAsia="en-US"/>
        </w:rPr>
        <w:t>r</w:t>
      </w:r>
      <w:r w:rsidRPr="009C5096">
        <w:rPr>
          <w:rFonts w:ascii="Arial" w:hAnsi="Arial" w:cs="Arial"/>
          <w:sz w:val="22"/>
          <w:szCs w:val="22"/>
          <w:lang w:val="en-US" w:eastAsia="en-US"/>
        </w:rPr>
        <w:t>ibution).</w:t>
      </w:r>
    </w:p>
    <w:p w:rsidR="003136C5" w:rsidRPr="00036440" w:rsidRDefault="003136C5" w:rsidP="003136C5">
      <w:pPr>
        <w:pStyle w:val="m343668044302477783m-3986873246552044066msolistparagraph"/>
        <w:spacing w:before="120" w:beforeAutospacing="0" w:after="120" w:afterAutospacing="0"/>
        <w:jc w:val="both"/>
        <w:rPr>
          <w:rFonts w:ascii="Arial" w:hAnsi="Arial" w:cs="Arial"/>
          <w:sz w:val="20"/>
          <w:szCs w:val="20"/>
          <w:lang w:val="en-US"/>
        </w:rPr>
      </w:pPr>
      <w:bookmarkStart w:id="46" w:name="_Toc6902281"/>
      <w:r w:rsidRPr="00036440">
        <w:rPr>
          <w:rFonts w:ascii="Arial" w:eastAsia="Times New Roman" w:hAnsi="Arial" w:cs="Arial"/>
          <w:sz w:val="20"/>
          <w:szCs w:val="20"/>
          <w:lang w:val="en-US"/>
        </w:rPr>
        <w:t xml:space="preserve">Table </w:t>
      </w:r>
      <w:r w:rsidRPr="00036440">
        <w:rPr>
          <w:rFonts w:ascii="Arial" w:eastAsia="Times New Roman" w:hAnsi="Arial" w:cs="Arial"/>
          <w:i/>
          <w:sz w:val="20"/>
          <w:szCs w:val="20"/>
          <w:lang w:val="en-US"/>
        </w:rPr>
        <w:fldChar w:fldCharType="begin"/>
      </w:r>
      <w:r w:rsidRPr="00036440">
        <w:rPr>
          <w:rFonts w:ascii="Arial" w:eastAsia="Times New Roman" w:hAnsi="Arial" w:cs="Arial"/>
          <w:sz w:val="20"/>
          <w:szCs w:val="20"/>
          <w:lang w:val="en-US"/>
        </w:rPr>
        <w:instrText xml:space="preserve"> SEQ Table \* ARABIC </w:instrText>
      </w:r>
      <w:r w:rsidRPr="00036440">
        <w:rPr>
          <w:rFonts w:ascii="Arial" w:eastAsia="Times New Roman" w:hAnsi="Arial" w:cs="Arial"/>
          <w:i/>
          <w:sz w:val="20"/>
          <w:szCs w:val="20"/>
          <w:lang w:val="en-US"/>
        </w:rPr>
        <w:fldChar w:fldCharType="separate"/>
      </w:r>
      <w:r w:rsidRPr="00036440">
        <w:rPr>
          <w:rFonts w:ascii="Arial" w:eastAsia="Times New Roman" w:hAnsi="Arial" w:cs="Arial"/>
          <w:sz w:val="20"/>
          <w:szCs w:val="20"/>
          <w:lang w:val="en-US"/>
        </w:rPr>
        <w:t>15</w:t>
      </w:r>
      <w:r w:rsidRPr="00036440">
        <w:rPr>
          <w:rFonts w:ascii="Arial" w:eastAsia="Times New Roman" w:hAnsi="Arial" w:cs="Arial"/>
          <w:i/>
          <w:sz w:val="20"/>
          <w:szCs w:val="20"/>
          <w:lang w:val="en-US"/>
        </w:rPr>
        <w:fldChar w:fldCharType="end"/>
      </w:r>
      <w:r w:rsidRPr="00036440">
        <w:rPr>
          <w:rFonts w:ascii="Arial" w:eastAsia="Times New Roman" w:hAnsi="Arial" w:cs="Arial"/>
          <w:sz w:val="20"/>
          <w:szCs w:val="20"/>
          <w:lang w:val="en-US"/>
        </w:rPr>
        <w:t>: Overview of objectives fulfilment by applications in Measure 7</w:t>
      </w:r>
      <w:bookmarkEnd w:id="46"/>
    </w:p>
    <w:tbl>
      <w:tblPr>
        <w:tblW w:w="93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07"/>
        <w:gridCol w:w="1072"/>
        <w:gridCol w:w="1266"/>
        <w:gridCol w:w="810"/>
      </w:tblGrid>
      <w:tr w:rsidR="003136C5" w:rsidRPr="009C5096" w:rsidTr="00612896">
        <w:trPr>
          <w:trHeight w:val="765"/>
        </w:trPr>
        <w:tc>
          <w:tcPr>
            <w:tcW w:w="6207"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Measure objectives</w:t>
            </w:r>
          </w:p>
        </w:tc>
        <w:tc>
          <w:tcPr>
            <w:tcW w:w="1072" w:type="dxa"/>
            <w:shd w:val="clear" w:color="auto" w:fill="auto"/>
            <w:noWrap/>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Received</w:t>
            </w:r>
          </w:p>
        </w:tc>
        <w:tc>
          <w:tcPr>
            <w:tcW w:w="1266" w:type="dxa"/>
            <w:shd w:val="clear" w:color="auto" w:fill="auto"/>
            <w:noWrap/>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Contracted</w:t>
            </w:r>
          </w:p>
        </w:tc>
        <w:tc>
          <w:tcPr>
            <w:tcW w:w="810" w:type="dxa"/>
            <w:shd w:val="clear" w:color="auto" w:fill="auto"/>
            <w:noWrap/>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Paid</w:t>
            </w:r>
          </w:p>
        </w:tc>
      </w:tr>
      <w:tr w:rsidR="003136C5" w:rsidRPr="009C5096" w:rsidTr="00612896">
        <w:trPr>
          <w:trHeight w:val="376"/>
        </w:trPr>
        <w:tc>
          <w:tcPr>
            <w:tcW w:w="6207" w:type="dxa"/>
            <w:shd w:val="clear" w:color="auto" w:fill="auto"/>
            <w:vAlign w:val="center"/>
          </w:tcPr>
          <w:p w:rsidR="003136C5" w:rsidRPr="009C5096" w:rsidRDefault="003136C5" w:rsidP="00612896">
            <w:pPr>
              <w:rPr>
                <w:rFonts w:ascii="Arial" w:hAnsi="Arial" w:cs="Arial"/>
                <w:sz w:val="20"/>
                <w:szCs w:val="20"/>
              </w:rPr>
            </w:pPr>
            <w:r w:rsidRPr="009C5096">
              <w:rPr>
                <w:rFonts w:ascii="Arial" w:hAnsi="Arial" w:cs="Arial"/>
                <w:sz w:val="20"/>
                <w:szCs w:val="20"/>
              </w:rPr>
              <w:t>Increased economic activities in the rural areas</w:t>
            </w:r>
          </w:p>
        </w:tc>
        <w:tc>
          <w:tcPr>
            <w:tcW w:w="1072" w:type="dxa"/>
            <w:shd w:val="clear" w:color="auto" w:fill="auto"/>
            <w:noWrap/>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4</w:t>
            </w:r>
          </w:p>
        </w:tc>
        <w:tc>
          <w:tcPr>
            <w:tcW w:w="1266" w:type="dxa"/>
            <w:shd w:val="clear" w:color="auto" w:fill="auto"/>
            <w:noWrap/>
            <w:vAlign w:val="center"/>
          </w:tcPr>
          <w:p w:rsidR="003136C5" w:rsidRPr="009C5096" w:rsidRDefault="003136C5" w:rsidP="00612896">
            <w:pPr>
              <w:jc w:val="center"/>
              <w:rPr>
                <w:rFonts w:ascii="Arial" w:hAnsi="Arial" w:cs="Arial"/>
                <w:sz w:val="20"/>
                <w:szCs w:val="20"/>
              </w:rPr>
            </w:pPr>
          </w:p>
        </w:tc>
        <w:tc>
          <w:tcPr>
            <w:tcW w:w="810" w:type="dxa"/>
            <w:shd w:val="clear" w:color="auto" w:fill="auto"/>
            <w:noWrap/>
            <w:vAlign w:val="center"/>
          </w:tcPr>
          <w:p w:rsidR="003136C5" w:rsidRPr="009C5096" w:rsidRDefault="003136C5" w:rsidP="00612896">
            <w:pPr>
              <w:jc w:val="center"/>
              <w:rPr>
                <w:rFonts w:ascii="Arial" w:hAnsi="Arial" w:cs="Arial"/>
                <w:sz w:val="20"/>
                <w:szCs w:val="20"/>
              </w:rPr>
            </w:pPr>
          </w:p>
        </w:tc>
      </w:tr>
      <w:tr w:rsidR="003136C5" w:rsidRPr="009C5096" w:rsidTr="00612896">
        <w:trPr>
          <w:trHeight w:val="359"/>
        </w:trPr>
        <w:tc>
          <w:tcPr>
            <w:tcW w:w="6207" w:type="dxa"/>
            <w:shd w:val="clear" w:color="auto" w:fill="auto"/>
            <w:vAlign w:val="center"/>
          </w:tcPr>
          <w:p w:rsidR="003136C5" w:rsidRPr="009C5096" w:rsidRDefault="003136C5" w:rsidP="00612896">
            <w:pPr>
              <w:rPr>
                <w:rFonts w:ascii="Arial" w:hAnsi="Arial" w:cs="Arial"/>
                <w:sz w:val="20"/>
                <w:szCs w:val="20"/>
              </w:rPr>
            </w:pPr>
            <w:r w:rsidRPr="009C5096">
              <w:rPr>
                <w:rFonts w:ascii="Arial" w:hAnsi="Arial" w:cs="Arial"/>
                <w:sz w:val="20"/>
                <w:szCs w:val="20"/>
              </w:rPr>
              <w:t>Creation of employment opportunities for rural population</w:t>
            </w:r>
          </w:p>
        </w:tc>
        <w:tc>
          <w:tcPr>
            <w:tcW w:w="1072" w:type="dxa"/>
            <w:shd w:val="clear" w:color="auto" w:fill="auto"/>
            <w:noWrap/>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47</w:t>
            </w:r>
          </w:p>
        </w:tc>
        <w:tc>
          <w:tcPr>
            <w:tcW w:w="1266" w:type="dxa"/>
            <w:shd w:val="clear" w:color="auto" w:fill="auto"/>
            <w:noWrap/>
            <w:vAlign w:val="center"/>
          </w:tcPr>
          <w:p w:rsidR="003136C5" w:rsidRPr="009C5096" w:rsidRDefault="003136C5" w:rsidP="00612896">
            <w:pPr>
              <w:jc w:val="center"/>
              <w:rPr>
                <w:rFonts w:ascii="Arial" w:hAnsi="Arial" w:cs="Arial"/>
                <w:sz w:val="20"/>
                <w:szCs w:val="20"/>
              </w:rPr>
            </w:pPr>
          </w:p>
        </w:tc>
        <w:tc>
          <w:tcPr>
            <w:tcW w:w="810" w:type="dxa"/>
            <w:shd w:val="clear" w:color="auto" w:fill="auto"/>
            <w:noWrap/>
            <w:vAlign w:val="center"/>
          </w:tcPr>
          <w:p w:rsidR="003136C5" w:rsidRPr="009C5096" w:rsidRDefault="003136C5" w:rsidP="00612896">
            <w:pPr>
              <w:jc w:val="center"/>
              <w:rPr>
                <w:rFonts w:ascii="Arial" w:hAnsi="Arial" w:cs="Arial"/>
                <w:sz w:val="20"/>
                <w:szCs w:val="20"/>
              </w:rPr>
            </w:pPr>
          </w:p>
        </w:tc>
      </w:tr>
      <w:tr w:rsidR="003136C5" w:rsidRPr="009C5096" w:rsidTr="00612896">
        <w:trPr>
          <w:trHeight w:val="510"/>
        </w:trPr>
        <w:tc>
          <w:tcPr>
            <w:tcW w:w="6207" w:type="dxa"/>
            <w:shd w:val="clear" w:color="auto" w:fill="auto"/>
            <w:vAlign w:val="center"/>
          </w:tcPr>
          <w:p w:rsidR="003136C5" w:rsidRPr="009C5096" w:rsidRDefault="003136C5" w:rsidP="00612896">
            <w:pPr>
              <w:rPr>
                <w:rFonts w:ascii="Arial" w:hAnsi="Arial" w:cs="Arial"/>
                <w:sz w:val="20"/>
                <w:szCs w:val="20"/>
              </w:rPr>
            </w:pPr>
            <w:r w:rsidRPr="009C5096">
              <w:rPr>
                <w:rFonts w:ascii="Arial" w:hAnsi="Arial" w:cs="Arial"/>
                <w:sz w:val="20"/>
                <w:szCs w:val="20"/>
              </w:rPr>
              <w:lastRenderedPageBreak/>
              <w:t>Enhance or provide additional mainstream services for the rural economy</w:t>
            </w:r>
          </w:p>
        </w:tc>
        <w:tc>
          <w:tcPr>
            <w:tcW w:w="1072" w:type="dxa"/>
            <w:shd w:val="clear" w:color="auto" w:fill="auto"/>
            <w:noWrap/>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5</w:t>
            </w:r>
          </w:p>
        </w:tc>
        <w:tc>
          <w:tcPr>
            <w:tcW w:w="1266" w:type="dxa"/>
            <w:shd w:val="clear" w:color="auto" w:fill="auto"/>
            <w:noWrap/>
            <w:vAlign w:val="center"/>
          </w:tcPr>
          <w:p w:rsidR="003136C5" w:rsidRPr="009C5096" w:rsidRDefault="003136C5" w:rsidP="00612896">
            <w:pPr>
              <w:jc w:val="center"/>
              <w:rPr>
                <w:rFonts w:ascii="Arial" w:hAnsi="Arial" w:cs="Arial"/>
                <w:sz w:val="20"/>
                <w:szCs w:val="20"/>
              </w:rPr>
            </w:pPr>
          </w:p>
        </w:tc>
        <w:tc>
          <w:tcPr>
            <w:tcW w:w="810" w:type="dxa"/>
            <w:shd w:val="clear" w:color="auto" w:fill="auto"/>
            <w:noWrap/>
            <w:vAlign w:val="center"/>
          </w:tcPr>
          <w:p w:rsidR="003136C5" w:rsidRPr="009C5096" w:rsidRDefault="003136C5" w:rsidP="00612896">
            <w:pPr>
              <w:jc w:val="center"/>
              <w:rPr>
                <w:rFonts w:ascii="Arial" w:hAnsi="Arial" w:cs="Arial"/>
                <w:sz w:val="20"/>
                <w:szCs w:val="20"/>
              </w:rPr>
            </w:pPr>
          </w:p>
        </w:tc>
      </w:tr>
      <w:tr w:rsidR="003136C5" w:rsidRPr="009C5096" w:rsidTr="00612896">
        <w:trPr>
          <w:trHeight w:val="584"/>
        </w:trPr>
        <w:tc>
          <w:tcPr>
            <w:tcW w:w="6207" w:type="dxa"/>
            <w:shd w:val="clear" w:color="auto" w:fill="auto"/>
            <w:vAlign w:val="center"/>
          </w:tcPr>
          <w:p w:rsidR="003136C5" w:rsidRPr="009C5096" w:rsidRDefault="003136C5" w:rsidP="00612896">
            <w:pPr>
              <w:rPr>
                <w:rFonts w:ascii="Arial" w:hAnsi="Arial" w:cs="Arial"/>
                <w:sz w:val="20"/>
                <w:szCs w:val="20"/>
              </w:rPr>
            </w:pPr>
            <w:r w:rsidRPr="009C5096">
              <w:rPr>
                <w:rFonts w:ascii="Arial" w:hAnsi="Arial" w:cs="Arial"/>
                <w:sz w:val="20"/>
                <w:szCs w:val="20"/>
              </w:rPr>
              <w:t>Provide openings for future economic development, including tourism and craft activities</w:t>
            </w:r>
          </w:p>
        </w:tc>
        <w:tc>
          <w:tcPr>
            <w:tcW w:w="1072" w:type="dxa"/>
            <w:shd w:val="clear" w:color="auto" w:fill="auto"/>
            <w:noWrap/>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21</w:t>
            </w:r>
          </w:p>
        </w:tc>
        <w:tc>
          <w:tcPr>
            <w:tcW w:w="1266" w:type="dxa"/>
            <w:shd w:val="clear" w:color="auto" w:fill="auto"/>
            <w:noWrap/>
            <w:vAlign w:val="center"/>
          </w:tcPr>
          <w:p w:rsidR="003136C5" w:rsidRPr="009C5096" w:rsidRDefault="003136C5" w:rsidP="00612896">
            <w:pPr>
              <w:jc w:val="center"/>
              <w:rPr>
                <w:rFonts w:ascii="Arial" w:hAnsi="Arial" w:cs="Arial"/>
                <w:sz w:val="20"/>
                <w:szCs w:val="20"/>
              </w:rPr>
            </w:pPr>
          </w:p>
        </w:tc>
        <w:tc>
          <w:tcPr>
            <w:tcW w:w="810" w:type="dxa"/>
            <w:shd w:val="clear" w:color="auto" w:fill="auto"/>
            <w:noWrap/>
            <w:vAlign w:val="center"/>
          </w:tcPr>
          <w:p w:rsidR="003136C5" w:rsidRPr="009C5096" w:rsidRDefault="003136C5" w:rsidP="00612896">
            <w:pPr>
              <w:jc w:val="center"/>
              <w:rPr>
                <w:rFonts w:ascii="Arial" w:hAnsi="Arial" w:cs="Arial"/>
                <w:sz w:val="20"/>
                <w:szCs w:val="20"/>
              </w:rPr>
            </w:pPr>
          </w:p>
        </w:tc>
      </w:tr>
      <w:tr w:rsidR="003136C5" w:rsidRPr="009C5096" w:rsidTr="00612896">
        <w:trPr>
          <w:trHeight w:val="915"/>
        </w:trPr>
        <w:tc>
          <w:tcPr>
            <w:tcW w:w="6207" w:type="dxa"/>
            <w:shd w:val="clear" w:color="auto" w:fill="auto"/>
            <w:vAlign w:val="center"/>
          </w:tcPr>
          <w:p w:rsidR="003136C5" w:rsidRPr="009C5096" w:rsidRDefault="003136C5" w:rsidP="00612896">
            <w:pPr>
              <w:rPr>
                <w:rFonts w:ascii="Arial" w:hAnsi="Arial" w:cs="Arial"/>
                <w:sz w:val="20"/>
                <w:szCs w:val="20"/>
              </w:rPr>
            </w:pPr>
            <w:r w:rsidRPr="009C5096">
              <w:rPr>
                <w:rFonts w:ascii="Arial" w:hAnsi="Arial" w:cs="Arial"/>
                <w:sz w:val="20"/>
                <w:szCs w:val="20"/>
              </w:rPr>
              <w:t>Support development of existing and new rural businesses for economic development and employment; to develop rural tourism potential</w:t>
            </w:r>
          </w:p>
        </w:tc>
        <w:tc>
          <w:tcPr>
            <w:tcW w:w="1072" w:type="dxa"/>
            <w:shd w:val="clear" w:color="auto" w:fill="auto"/>
            <w:noWrap/>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33</w:t>
            </w:r>
          </w:p>
        </w:tc>
        <w:tc>
          <w:tcPr>
            <w:tcW w:w="1266" w:type="dxa"/>
            <w:shd w:val="clear" w:color="auto" w:fill="auto"/>
            <w:noWrap/>
            <w:vAlign w:val="center"/>
          </w:tcPr>
          <w:p w:rsidR="003136C5" w:rsidRPr="009C5096" w:rsidRDefault="003136C5" w:rsidP="00612896">
            <w:pPr>
              <w:jc w:val="center"/>
              <w:rPr>
                <w:rFonts w:ascii="Arial" w:hAnsi="Arial" w:cs="Arial"/>
                <w:sz w:val="20"/>
                <w:szCs w:val="20"/>
              </w:rPr>
            </w:pPr>
          </w:p>
        </w:tc>
        <w:tc>
          <w:tcPr>
            <w:tcW w:w="810" w:type="dxa"/>
            <w:shd w:val="clear" w:color="auto" w:fill="auto"/>
            <w:noWrap/>
            <w:vAlign w:val="center"/>
          </w:tcPr>
          <w:p w:rsidR="003136C5" w:rsidRPr="009C5096" w:rsidRDefault="003136C5" w:rsidP="00612896">
            <w:pPr>
              <w:jc w:val="center"/>
              <w:rPr>
                <w:rFonts w:ascii="Arial" w:hAnsi="Arial" w:cs="Arial"/>
                <w:sz w:val="20"/>
                <w:szCs w:val="20"/>
              </w:rPr>
            </w:pPr>
          </w:p>
        </w:tc>
      </w:tr>
      <w:tr w:rsidR="003136C5" w:rsidRPr="009C5096" w:rsidTr="00612896">
        <w:trPr>
          <w:trHeight w:val="915"/>
        </w:trPr>
        <w:tc>
          <w:tcPr>
            <w:tcW w:w="6207" w:type="dxa"/>
            <w:shd w:val="clear" w:color="auto" w:fill="auto"/>
            <w:vAlign w:val="center"/>
          </w:tcPr>
          <w:p w:rsidR="003136C5" w:rsidRPr="009C5096" w:rsidRDefault="003136C5" w:rsidP="00612896">
            <w:pPr>
              <w:rPr>
                <w:rFonts w:ascii="Arial" w:hAnsi="Arial" w:cs="Arial"/>
                <w:sz w:val="20"/>
                <w:szCs w:val="20"/>
              </w:rPr>
            </w:pPr>
            <w:r w:rsidRPr="009C5096">
              <w:rPr>
                <w:rFonts w:ascii="Arial" w:hAnsi="Arial" w:cs="Arial"/>
                <w:sz w:val="20"/>
                <w:szCs w:val="20"/>
              </w:rPr>
              <w:t>Develop physical infrastructure, upgrade village spaces and increased provision of services and rural accommodation, for tourism and business development in rural areas and improved living conditions in rural areas</w:t>
            </w:r>
          </w:p>
        </w:tc>
        <w:tc>
          <w:tcPr>
            <w:tcW w:w="1072" w:type="dxa"/>
            <w:shd w:val="clear" w:color="auto" w:fill="auto"/>
            <w:noWrap/>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77</w:t>
            </w:r>
          </w:p>
        </w:tc>
        <w:tc>
          <w:tcPr>
            <w:tcW w:w="1266" w:type="dxa"/>
            <w:shd w:val="clear" w:color="auto" w:fill="auto"/>
            <w:noWrap/>
            <w:vAlign w:val="center"/>
          </w:tcPr>
          <w:p w:rsidR="003136C5" w:rsidRPr="009C5096" w:rsidRDefault="003136C5" w:rsidP="00612896">
            <w:pPr>
              <w:jc w:val="center"/>
              <w:rPr>
                <w:rFonts w:ascii="Arial" w:hAnsi="Arial" w:cs="Arial"/>
                <w:sz w:val="20"/>
                <w:szCs w:val="20"/>
              </w:rPr>
            </w:pPr>
          </w:p>
        </w:tc>
        <w:tc>
          <w:tcPr>
            <w:tcW w:w="810" w:type="dxa"/>
            <w:shd w:val="clear" w:color="auto" w:fill="auto"/>
            <w:noWrap/>
            <w:vAlign w:val="center"/>
          </w:tcPr>
          <w:p w:rsidR="003136C5" w:rsidRPr="009C5096" w:rsidRDefault="003136C5" w:rsidP="00612896">
            <w:pPr>
              <w:jc w:val="center"/>
              <w:rPr>
                <w:rFonts w:ascii="Arial" w:hAnsi="Arial" w:cs="Arial"/>
                <w:sz w:val="20"/>
                <w:szCs w:val="20"/>
              </w:rPr>
            </w:pPr>
          </w:p>
        </w:tc>
      </w:tr>
    </w:tbl>
    <w:p w:rsidR="003136C5" w:rsidRPr="009C5096" w:rsidRDefault="003136C5" w:rsidP="003136C5">
      <w:pPr>
        <w:pStyle w:val="m343668044302477783m-3986873246552044066msolistparagraph"/>
        <w:spacing w:before="0" w:beforeAutospacing="0" w:after="0" w:afterAutospacing="0"/>
        <w:jc w:val="both"/>
        <w:rPr>
          <w:rFonts w:ascii="Arial" w:hAnsi="Arial" w:cs="Arial"/>
          <w:sz w:val="22"/>
          <w:szCs w:val="22"/>
          <w:lang w:val="en-US"/>
        </w:rPr>
      </w:pPr>
      <w:r w:rsidRPr="009C5096">
        <w:rPr>
          <w:rFonts w:ascii="Arial" w:hAnsi="Arial" w:cs="Arial"/>
          <w:sz w:val="18"/>
          <w:szCs w:val="18"/>
          <w:lang w:val="en-US" w:eastAsia="en-US"/>
        </w:rPr>
        <w:t>Source: Managing Authority</w:t>
      </w:r>
    </w:p>
    <w:p w:rsidR="003136C5" w:rsidRPr="009C5096" w:rsidRDefault="00346516" w:rsidP="003136C5">
      <w:pPr>
        <w:pStyle w:val="m343668044302477783m-3986873246552044066msolistparagraph"/>
        <w:spacing w:before="120" w:beforeAutospacing="0" w:after="0" w:afterAutospacing="0"/>
        <w:jc w:val="both"/>
        <w:rPr>
          <w:rFonts w:ascii="Arial" w:hAnsi="Arial" w:cs="Arial"/>
          <w:sz w:val="22"/>
          <w:szCs w:val="22"/>
          <w:lang w:val="en-US"/>
        </w:rPr>
      </w:pPr>
      <w:r>
        <w:rPr>
          <w:rFonts w:ascii="Arial" w:hAnsi="Arial" w:cs="Arial"/>
          <w:sz w:val="22"/>
          <w:szCs w:val="22"/>
          <w:lang w:val="en-US"/>
        </w:rPr>
        <w:t>A</w:t>
      </w:r>
      <w:r w:rsidR="003136C5" w:rsidRPr="009C5096">
        <w:rPr>
          <w:rFonts w:ascii="Arial" w:hAnsi="Arial" w:cs="Arial"/>
          <w:sz w:val="22"/>
          <w:szCs w:val="22"/>
          <w:lang w:val="en-US"/>
        </w:rPr>
        <w:t xml:space="preserve">pplications </w:t>
      </w:r>
      <w:r>
        <w:rPr>
          <w:rFonts w:ascii="Arial" w:hAnsi="Arial" w:cs="Arial"/>
          <w:sz w:val="22"/>
          <w:szCs w:val="22"/>
          <w:lang w:val="en-US"/>
        </w:rPr>
        <w:t>s</w:t>
      </w:r>
      <w:r w:rsidRPr="009C5096">
        <w:rPr>
          <w:rFonts w:ascii="Arial" w:hAnsi="Arial" w:cs="Arial"/>
          <w:sz w:val="22"/>
          <w:szCs w:val="22"/>
          <w:lang w:val="en-US"/>
        </w:rPr>
        <w:t xml:space="preserve">ubmitted </w:t>
      </w:r>
      <w:r>
        <w:rPr>
          <w:rFonts w:ascii="Arial" w:hAnsi="Arial" w:cs="Arial"/>
          <w:sz w:val="22"/>
          <w:szCs w:val="22"/>
          <w:lang w:val="en-US"/>
        </w:rPr>
        <w:t xml:space="preserve">under </w:t>
      </w:r>
      <w:r w:rsidR="003136C5" w:rsidRPr="009C5096">
        <w:rPr>
          <w:rFonts w:ascii="Arial" w:hAnsi="Arial" w:cs="Arial"/>
          <w:sz w:val="22"/>
          <w:szCs w:val="22"/>
          <w:lang w:val="en-US"/>
        </w:rPr>
        <w:t xml:space="preserve">this measure vary in value of investment. More than half of </w:t>
      </w:r>
      <w:r>
        <w:rPr>
          <w:rFonts w:ascii="Arial" w:hAnsi="Arial" w:cs="Arial"/>
          <w:sz w:val="22"/>
          <w:szCs w:val="22"/>
          <w:lang w:val="en-US"/>
        </w:rPr>
        <w:t xml:space="preserve">the </w:t>
      </w:r>
      <w:r w:rsidR="003136C5" w:rsidRPr="009C5096">
        <w:rPr>
          <w:rFonts w:ascii="Arial" w:hAnsi="Arial" w:cs="Arial"/>
          <w:sz w:val="22"/>
          <w:szCs w:val="22"/>
          <w:lang w:val="en-US"/>
        </w:rPr>
        <w:t>submitted applications are in the range of 10</w:t>
      </w:r>
      <w:r>
        <w:rPr>
          <w:rFonts w:ascii="Arial" w:hAnsi="Arial" w:cs="Arial"/>
          <w:sz w:val="22"/>
          <w:szCs w:val="22"/>
          <w:lang w:val="en-US"/>
        </w:rPr>
        <w:t>,</w:t>
      </w:r>
      <w:r w:rsidR="003136C5" w:rsidRPr="009C5096">
        <w:rPr>
          <w:rFonts w:ascii="Arial" w:hAnsi="Arial" w:cs="Arial"/>
          <w:sz w:val="22"/>
          <w:szCs w:val="22"/>
          <w:lang w:val="en-US"/>
        </w:rPr>
        <w:t>000-50</w:t>
      </w:r>
      <w:r>
        <w:rPr>
          <w:rFonts w:ascii="Arial" w:hAnsi="Arial" w:cs="Arial"/>
          <w:sz w:val="22"/>
          <w:szCs w:val="22"/>
          <w:lang w:val="en-US"/>
        </w:rPr>
        <w:t>,</w:t>
      </w:r>
      <w:r w:rsidR="003136C5" w:rsidRPr="009C5096">
        <w:rPr>
          <w:rFonts w:ascii="Arial" w:hAnsi="Arial" w:cs="Arial"/>
          <w:sz w:val="22"/>
          <w:szCs w:val="22"/>
          <w:lang w:val="en-US"/>
        </w:rPr>
        <w:t>000€ (27%) and 100</w:t>
      </w:r>
      <w:r>
        <w:rPr>
          <w:rFonts w:ascii="Arial" w:hAnsi="Arial" w:cs="Arial"/>
          <w:sz w:val="22"/>
          <w:szCs w:val="22"/>
          <w:lang w:val="en-US"/>
        </w:rPr>
        <w:t>,</w:t>
      </w:r>
      <w:r w:rsidR="003136C5" w:rsidRPr="009C5096">
        <w:rPr>
          <w:rFonts w:ascii="Arial" w:hAnsi="Arial" w:cs="Arial"/>
          <w:sz w:val="22"/>
          <w:szCs w:val="22"/>
          <w:lang w:val="en-US"/>
        </w:rPr>
        <w:t>000-500</w:t>
      </w:r>
      <w:r>
        <w:rPr>
          <w:rFonts w:ascii="Arial" w:hAnsi="Arial" w:cs="Arial"/>
          <w:sz w:val="22"/>
          <w:szCs w:val="22"/>
          <w:lang w:val="en-US"/>
        </w:rPr>
        <w:t>,</w:t>
      </w:r>
      <w:r w:rsidR="003136C5" w:rsidRPr="009C5096">
        <w:rPr>
          <w:rFonts w:ascii="Arial" w:hAnsi="Arial" w:cs="Arial"/>
          <w:sz w:val="22"/>
          <w:szCs w:val="22"/>
          <w:lang w:val="en-US"/>
        </w:rPr>
        <w:t xml:space="preserve">000€ (27%).  </w:t>
      </w:r>
    </w:p>
    <w:p w:rsidR="003136C5" w:rsidRPr="00036440" w:rsidRDefault="003136C5" w:rsidP="003136C5">
      <w:pPr>
        <w:pStyle w:val="m343668044302477783m-3986873246552044066msolistparagraph"/>
        <w:spacing w:before="120" w:beforeAutospacing="0" w:after="0" w:afterAutospacing="0"/>
        <w:jc w:val="both"/>
        <w:rPr>
          <w:rFonts w:ascii="Arial" w:hAnsi="Arial" w:cs="Arial"/>
          <w:sz w:val="18"/>
          <w:szCs w:val="22"/>
          <w:lang w:val="en-US"/>
        </w:rPr>
      </w:pPr>
      <w:bookmarkStart w:id="47" w:name="_Toc6903708"/>
      <w:r w:rsidRPr="00036440">
        <w:rPr>
          <w:rFonts w:ascii="Arial" w:hAnsi="Arial" w:cs="Arial"/>
          <w:sz w:val="20"/>
          <w:lang w:val="en-US"/>
        </w:rPr>
        <w:t xml:space="preserve">Figure </w:t>
      </w:r>
      <w:r w:rsidRPr="00036440">
        <w:rPr>
          <w:rFonts w:ascii="Arial" w:hAnsi="Arial" w:cs="Arial"/>
          <w:sz w:val="20"/>
          <w:lang w:val="en-US"/>
        </w:rPr>
        <w:fldChar w:fldCharType="begin"/>
      </w:r>
      <w:r w:rsidRPr="00036440">
        <w:rPr>
          <w:rFonts w:ascii="Arial" w:hAnsi="Arial" w:cs="Arial"/>
          <w:sz w:val="20"/>
          <w:lang w:val="en-US"/>
        </w:rPr>
        <w:instrText xml:space="preserve"> SEQ Figure \* ARABIC </w:instrText>
      </w:r>
      <w:r w:rsidRPr="00036440">
        <w:rPr>
          <w:rFonts w:ascii="Arial" w:hAnsi="Arial" w:cs="Arial"/>
          <w:sz w:val="20"/>
          <w:lang w:val="en-US"/>
        </w:rPr>
        <w:fldChar w:fldCharType="separate"/>
      </w:r>
      <w:r w:rsidRPr="00036440">
        <w:rPr>
          <w:rFonts w:ascii="Arial" w:hAnsi="Arial" w:cs="Arial"/>
          <w:sz w:val="20"/>
          <w:lang w:val="en-US"/>
        </w:rPr>
        <w:t>8</w:t>
      </w:r>
      <w:r w:rsidRPr="00036440">
        <w:rPr>
          <w:rFonts w:ascii="Arial" w:hAnsi="Arial" w:cs="Arial"/>
          <w:sz w:val="20"/>
          <w:lang w:val="en-US"/>
        </w:rPr>
        <w:fldChar w:fldCharType="end"/>
      </w:r>
      <w:r w:rsidRPr="00036440">
        <w:rPr>
          <w:rFonts w:ascii="Arial" w:hAnsi="Arial" w:cs="Arial"/>
          <w:sz w:val="20"/>
          <w:lang w:val="en-US"/>
        </w:rPr>
        <w:t>: Review of applications per value of investments in Measure 7</w:t>
      </w:r>
      <w:bookmarkEnd w:id="47"/>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noProof/>
          <w:sz w:val="22"/>
          <w:szCs w:val="22"/>
          <w:lang w:val="en-US" w:eastAsia="en-US"/>
        </w:rPr>
        <w:drawing>
          <wp:inline distT="0" distB="0" distL="0" distR="0" wp14:anchorId="1BE61BEB" wp14:editId="65C9D0EC">
            <wp:extent cx="4584700" cy="2186609"/>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7615" cy="2192769"/>
                    </a:xfrm>
                    <a:prstGeom prst="rect">
                      <a:avLst/>
                    </a:prstGeom>
                    <a:noFill/>
                  </pic:spPr>
                </pic:pic>
              </a:graphicData>
            </a:graphic>
          </wp:inline>
        </w:drawing>
      </w:r>
    </w:p>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eastAsia="en-US"/>
        </w:rPr>
      </w:pPr>
      <w:r w:rsidRPr="009C5096">
        <w:rPr>
          <w:rFonts w:ascii="Arial" w:hAnsi="Arial" w:cs="Arial"/>
          <w:sz w:val="18"/>
          <w:szCs w:val="18"/>
          <w:lang w:val="en-US" w:eastAsia="en-US"/>
        </w:rPr>
        <w:t>Source: Managing Authority</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The interest for use of IPARD Programme funds is </w:t>
      </w:r>
      <w:r w:rsidR="0030572A">
        <w:rPr>
          <w:rFonts w:ascii="Arial" w:hAnsi="Arial" w:cs="Arial"/>
          <w:sz w:val="22"/>
          <w:szCs w:val="22"/>
          <w:lang w:val="en-US"/>
        </w:rPr>
        <w:t>highest</w:t>
      </w:r>
      <w:r w:rsidR="0030572A" w:rsidRPr="009C5096">
        <w:rPr>
          <w:rFonts w:ascii="Arial" w:hAnsi="Arial" w:cs="Arial"/>
          <w:sz w:val="22"/>
          <w:szCs w:val="22"/>
          <w:lang w:val="en-US"/>
        </w:rPr>
        <w:t xml:space="preserve"> </w:t>
      </w:r>
      <w:r w:rsidRPr="009C5096">
        <w:rPr>
          <w:rFonts w:ascii="Arial" w:hAnsi="Arial" w:cs="Arial"/>
          <w:sz w:val="22"/>
          <w:szCs w:val="22"/>
          <w:lang w:val="en-US"/>
        </w:rPr>
        <w:t>in the production and sale of renewable energy sector (39 applications for solar, wind, water, geothermal energy), alternative agriculture production (20 applications for cultivation of herbs, seeds, and other spices and aromatic crops), non-food products (33 applications in wood processing) and rural tourism (17 applications in accommodation, 13 application in rural museums).</w:t>
      </w:r>
    </w:p>
    <w:p w:rsidR="003136C5" w:rsidRPr="002E6808" w:rsidRDefault="003136C5" w:rsidP="003136C5">
      <w:pPr>
        <w:pStyle w:val="m343668044302477783m-3986873246552044066msolistparagraph"/>
        <w:spacing w:before="120" w:beforeAutospacing="0" w:after="120" w:afterAutospacing="0"/>
        <w:jc w:val="both"/>
        <w:rPr>
          <w:rFonts w:ascii="Arial" w:hAnsi="Arial" w:cs="Arial"/>
          <w:sz w:val="20"/>
          <w:szCs w:val="20"/>
          <w:lang w:val="en-US"/>
        </w:rPr>
      </w:pPr>
      <w:bookmarkStart w:id="48" w:name="_Toc6902282"/>
      <w:r w:rsidRPr="002E6808">
        <w:rPr>
          <w:rFonts w:ascii="Arial" w:eastAsia="Times New Roman" w:hAnsi="Arial" w:cs="Arial"/>
          <w:sz w:val="20"/>
          <w:szCs w:val="20"/>
          <w:lang w:val="en-US"/>
        </w:rPr>
        <w:t xml:space="preserve">Table </w:t>
      </w:r>
      <w:r w:rsidRPr="002E6808">
        <w:rPr>
          <w:rFonts w:ascii="Arial" w:eastAsia="Times New Roman" w:hAnsi="Arial" w:cs="Arial"/>
          <w:i/>
          <w:sz w:val="20"/>
          <w:szCs w:val="20"/>
          <w:lang w:val="en-US"/>
        </w:rPr>
        <w:fldChar w:fldCharType="begin"/>
      </w:r>
      <w:r w:rsidRPr="002E6808">
        <w:rPr>
          <w:rFonts w:ascii="Arial" w:eastAsia="Times New Roman" w:hAnsi="Arial" w:cs="Arial"/>
          <w:sz w:val="20"/>
          <w:szCs w:val="20"/>
          <w:lang w:val="en-US"/>
        </w:rPr>
        <w:instrText xml:space="preserve"> SEQ Table \* ARABIC </w:instrText>
      </w:r>
      <w:r w:rsidRPr="002E6808">
        <w:rPr>
          <w:rFonts w:ascii="Arial" w:eastAsia="Times New Roman" w:hAnsi="Arial" w:cs="Arial"/>
          <w:i/>
          <w:sz w:val="20"/>
          <w:szCs w:val="20"/>
          <w:lang w:val="en-US"/>
        </w:rPr>
        <w:fldChar w:fldCharType="separate"/>
      </w:r>
      <w:r w:rsidRPr="002E6808">
        <w:rPr>
          <w:rFonts w:ascii="Arial" w:eastAsia="Times New Roman" w:hAnsi="Arial" w:cs="Arial"/>
          <w:sz w:val="20"/>
          <w:szCs w:val="20"/>
          <w:lang w:val="en-US"/>
        </w:rPr>
        <w:t>16</w:t>
      </w:r>
      <w:r w:rsidRPr="002E6808">
        <w:rPr>
          <w:rFonts w:ascii="Arial" w:eastAsia="Times New Roman" w:hAnsi="Arial" w:cs="Arial"/>
          <w:i/>
          <w:sz w:val="20"/>
          <w:szCs w:val="20"/>
          <w:lang w:val="en-US"/>
        </w:rPr>
        <w:fldChar w:fldCharType="end"/>
      </w:r>
      <w:r w:rsidRPr="002E6808">
        <w:rPr>
          <w:rFonts w:ascii="Arial" w:eastAsia="Times New Roman" w:hAnsi="Arial" w:cs="Arial"/>
          <w:sz w:val="20"/>
          <w:szCs w:val="20"/>
          <w:lang w:val="en-US"/>
        </w:rPr>
        <w:t>:</w:t>
      </w:r>
      <w:r w:rsidRPr="002E6808">
        <w:rPr>
          <w:rFonts w:ascii="Arial" w:hAnsi="Arial" w:cs="Arial"/>
          <w:sz w:val="20"/>
          <w:szCs w:val="20"/>
          <w:lang w:val="en-US"/>
        </w:rPr>
        <w:t xml:space="preserve"> Review of applications per priority sectors in Measure 7</w:t>
      </w:r>
      <w:bookmarkEnd w:id="48"/>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071"/>
        <w:gridCol w:w="1269"/>
        <w:gridCol w:w="1260"/>
        <w:gridCol w:w="1530"/>
      </w:tblGrid>
      <w:tr w:rsidR="003136C5" w:rsidRPr="009C5096" w:rsidTr="00612896">
        <w:trPr>
          <w:trHeight w:val="665"/>
        </w:trPr>
        <w:tc>
          <w:tcPr>
            <w:tcW w:w="4225" w:type="dxa"/>
            <w:shd w:val="clear" w:color="auto" w:fill="auto"/>
            <w:noWrap/>
            <w:vAlign w:val="bottom"/>
            <w:hideMark/>
          </w:tcPr>
          <w:p w:rsidR="003136C5" w:rsidRPr="009C5096" w:rsidRDefault="003136C5" w:rsidP="00612896">
            <w:pPr>
              <w:jc w:val="center"/>
              <w:rPr>
                <w:rFonts w:ascii="Arial" w:hAnsi="Arial" w:cs="Arial"/>
                <w:sz w:val="20"/>
                <w:szCs w:val="20"/>
              </w:rPr>
            </w:pPr>
          </w:p>
        </w:tc>
        <w:tc>
          <w:tcPr>
            <w:tcW w:w="1071"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Received</w:t>
            </w:r>
          </w:p>
          <w:p w:rsidR="003136C5" w:rsidRPr="009C5096" w:rsidRDefault="003136C5" w:rsidP="00612896">
            <w:pPr>
              <w:jc w:val="center"/>
              <w:rPr>
                <w:rFonts w:ascii="Arial" w:hAnsi="Arial" w:cs="Arial"/>
                <w:sz w:val="20"/>
                <w:szCs w:val="20"/>
              </w:rPr>
            </w:pPr>
            <w:r w:rsidRPr="009C5096">
              <w:rPr>
                <w:rFonts w:ascii="Arial" w:hAnsi="Arial" w:cs="Arial"/>
                <w:sz w:val="20"/>
                <w:szCs w:val="20"/>
              </w:rPr>
              <w:t>(A)</w:t>
            </w:r>
          </w:p>
        </w:tc>
        <w:tc>
          <w:tcPr>
            <w:tcW w:w="1269"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Contracted</w:t>
            </w:r>
          </w:p>
          <w:p w:rsidR="003136C5" w:rsidRPr="009C5096" w:rsidRDefault="003136C5" w:rsidP="00612896">
            <w:pPr>
              <w:jc w:val="center"/>
              <w:rPr>
                <w:rFonts w:ascii="Arial" w:hAnsi="Arial" w:cs="Arial"/>
                <w:sz w:val="20"/>
                <w:szCs w:val="20"/>
              </w:rPr>
            </w:pPr>
            <w:r w:rsidRPr="009C5096">
              <w:rPr>
                <w:rFonts w:ascii="Arial" w:hAnsi="Arial" w:cs="Arial"/>
                <w:sz w:val="20"/>
                <w:szCs w:val="20"/>
              </w:rPr>
              <w:t>(B)</w:t>
            </w:r>
          </w:p>
        </w:tc>
        <w:tc>
          <w:tcPr>
            <w:tcW w:w="126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EU part contracted</w:t>
            </w:r>
          </w:p>
        </w:tc>
        <w:tc>
          <w:tcPr>
            <w:tcW w:w="1530" w:type="dxa"/>
          </w:tcPr>
          <w:p w:rsidR="003136C5" w:rsidRPr="009C5096" w:rsidRDefault="003136C5" w:rsidP="00612896">
            <w:pPr>
              <w:jc w:val="center"/>
              <w:rPr>
                <w:rFonts w:ascii="Arial" w:hAnsi="Arial" w:cs="Arial"/>
                <w:sz w:val="20"/>
                <w:szCs w:val="20"/>
              </w:rPr>
            </w:pPr>
            <w:r w:rsidRPr="009C5096">
              <w:rPr>
                <w:rFonts w:ascii="Arial" w:hAnsi="Arial" w:cs="Arial"/>
                <w:sz w:val="20"/>
                <w:szCs w:val="20"/>
              </w:rPr>
              <w:t>% of approval</w:t>
            </w:r>
          </w:p>
          <w:p w:rsidR="003136C5" w:rsidRPr="009C5096" w:rsidRDefault="003136C5" w:rsidP="00612896">
            <w:pPr>
              <w:jc w:val="center"/>
              <w:rPr>
                <w:rFonts w:ascii="Arial" w:hAnsi="Arial" w:cs="Arial"/>
                <w:sz w:val="20"/>
                <w:szCs w:val="20"/>
              </w:rPr>
            </w:pPr>
            <w:r w:rsidRPr="009C5096">
              <w:rPr>
                <w:rFonts w:ascii="Arial" w:hAnsi="Arial" w:cs="Arial"/>
                <w:sz w:val="20"/>
                <w:szCs w:val="20"/>
              </w:rPr>
              <w:t>(B/A)</w:t>
            </w:r>
          </w:p>
        </w:tc>
      </w:tr>
      <w:tr w:rsidR="003136C5" w:rsidRPr="009C5096" w:rsidTr="00612896">
        <w:trPr>
          <w:trHeight w:val="435"/>
        </w:trPr>
        <w:tc>
          <w:tcPr>
            <w:tcW w:w="4225" w:type="dxa"/>
            <w:shd w:val="clear" w:color="auto" w:fill="auto"/>
            <w:vAlign w:val="center"/>
          </w:tcPr>
          <w:p w:rsidR="003136C5" w:rsidRPr="009C5096" w:rsidRDefault="003136C5" w:rsidP="00612896">
            <w:pPr>
              <w:rPr>
                <w:rFonts w:ascii="Arial" w:hAnsi="Arial" w:cs="Arial"/>
                <w:sz w:val="20"/>
                <w:szCs w:val="20"/>
              </w:rPr>
            </w:pPr>
            <w:r w:rsidRPr="009C5096">
              <w:rPr>
                <w:rFonts w:ascii="Arial" w:hAnsi="Arial" w:cs="Arial"/>
                <w:sz w:val="20"/>
                <w:szCs w:val="20"/>
              </w:rPr>
              <w:t>Alternative agriculture production</w:t>
            </w:r>
          </w:p>
        </w:tc>
        <w:tc>
          <w:tcPr>
            <w:tcW w:w="1071"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39</w:t>
            </w:r>
          </w:p>
        </w:tc>
        <w:tc>
          <w:tcPr>
            <w:tcW w:w="1269"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10</w:t>
            </w:r>
          </w:p>
        </w:tc>
        <w:tc>
          <w:tcPr>
            <w:tcW w:w="1260" w:type="dxa"/>
            <w:shd w:val="clear" w:color="auto" w:fill="auto"/>
            <w:vAlign w:val="center"/>
          </w:tcPr>
          <w:p w:rsidR="003136C5" w:rsidRPr="009C5096" w:rsidRDefault="003136C5" w:rsidP="0030572A">
            <w:pPr>
              <w:jc w:val="right"/>
              <w:rPr>
                <w:rFonts w:ascii="Arial" w:hAnsi="Arial" w:cs="Arial"/>
                <w:sz w:val="20"/>
                <w:szCs w:val="20"/>
              </w:rPr>
            </w:pPr>
            <w:r w:rsidRPr="009C5096">
              <w:rPr>
                <w:rFonts w:ascii="Arial" w:hAnsi="Arial" w:cs="Arial"/>
                <w:sz w:val="20"/>
                <w:szCs w:val="20"/>
              </w:rPr>
              <w:t>268</w:t>
            </w:r>
            <w:r w:rsidR="0030572A">
              <w:rPr>
                <w:rFonts w:ascii="Arial" w:hAnsi="Arial" w:cs="Arial"/>
                <w:sz w:val="20"/>
                <w:szCs w:val="20"/>
              </w:rPr>
              <w:t>,</w:t>
            </w:r>
            <w:r w:rsidRPr="009C5096">
              <w:rPr>
                <w:rFonts w:ascii="Arial" w:hAnsi="Arial" w:cs="Arial"/>
                <w:sz w:val="20"/>
                <w:szCs w:val="20"/>
              </w:rPr>
              <w:t>650</w:t>
            </w:r>
          </w:p>
        </w:tc>
        <w:tc>
          <w:tcPr>
            <w:tcW w:w="1530" w:type="dxa"/>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26%</w:t>
            </w:r>
          </w:p>
        </w:tc>
      </w:tr>
      <w:tr w:rsidR="003136C5" w:rsidRPr="009C5096" w:rsidTr="00612896">
        <w:trPr>
          <w:trHeight w:val="345"/>
        </w:trPr>
        <w:tc>
          <w:tcPr>
            <w:tcW w:w="4225" w:type="dxa"/>
            <w:shd w:val="clear" w:color="auto" w:fill="auto"/>
            <w:vAlign w:val="center"/>
          </w:tcPr>
          <w:p w:rsidR="003136C5" w:rsidRPr="009C5096" w:rsidRDefault="003136C5" w:rsidP="00612896">
            <w:pPr>
              <w:rPr>
                <w:rFonts w:ascii="Arial" w:hAnsi="Arial" w:cs="Arial"/>
                <w:sz w:val="20"/>
                <w:szCs w:val="20"/>
              </w:rPr>
            </w:pPr>
            <w:r w:rsidRPr="009C5096">
              <w:rPr>
                <w:rFonts w:ascii="Arial" w:hAnsi="Arial" w:cs="Arial"/>
                <w:sz w:val="20"/>
                <w:szCs w:val="20"/>
              </w:rPr>
              <w:t>Manufacture of food products and beverages</w:t>
            </w:r>
          </w:p>
        </w:tc>
        <w:tc>
          <w:tcPr>
            <w:tcW w:w="1071"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21</w:t>
            </w:r>
          </w:p>
        </w:tc>
        <w:tc>
          <w:tcPr>
            <w:tcW w:w="1269"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1</w:t>
            </w:r>
          </w:p>
        </w:tc>
        <w:tc>
          <w:tcPr>
            <w:tcW w:w="1260" w:type="dxa"/>
            <w:shd w:val="clear" w:color="auto" w:fill="auto"/>
            <w:vAlign w:val="center"/>
          </w:tcPr>
          <w:p w:rsidR="003136C5" w:rsidRPr="009C5096" w:rsidRDefault="003136C5" w:rsidP="0030572A">
            <w:pPr>
              <w:jc w:val="right"/>
              <w:rPr>
                <w:rFonts w:ascii="Arial" w:hAnsi="Arial" w:cs="Arial"/>
                <w:sz w:val="20"/>
                <w:szCs w:val="20"/>
              </w:rPr>
            </w:pPr>
            <w:r w:rsidRPr="009C5096">
              <w:rPr>
                <w:rFonts w:ascii="Arial" w:hAnsi="Arial" w:cs="Arial"/>
                <w:sz w:val="20"/>
                <w:szCs w:val="20"/>
              </w:rPr>
              <w:t>20</w:t>
            </w:r>
            <w:r w:rsidR="0030572A">
              <w:rPr>
                <w:rFonts w:ascii="Arial" w:hAnsi="Arial" w:cs="Arial"/>
                <w:sz w:val="20"/>
                <w:szCs w:val="20"/>
              </w:rPr>
              <w:t>,</w:t>
            </w:r>
            <w:r w:rsidRPr="009C5096">
              <w:rPr>
                <w:rFonts w:ascii="Arial" w:hAnsi="Arial" w:cs="Arial"/>
                <w:sz w:val="20"/>
                <w:szCs w:val="20"/>
              </w:rPr>
              <w:t>549</w:t>
            </w:r>
          </w:p>
        </w:tc>
        <w:tc>
          <w:tcPr>
            <w:tcW w:w="1530" w:type="dxa"/>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5%</w:t>
            </w:r>
          </w:p>
        </w:tc>
      </w:tr>
      <w:tr w:rsidR="003136C5" w:rsidRPr="009C5096" w:rsidTr="00612896">
        <w:trPr>
          <w:trHeight w:val="345"/>
        </w:trPr>
        <w:tc>
          <w:tcPr>
            <w:tcW w:w="4225" w:type="dxa"/>
            <w:shd w:val="clear" w:color="auto" w:fill="auto"/>
            <w:vAlign w:val="center"/>
          </w:tcPr>
          <w:p w:rsidR="003136C5" w:rsidRPr="009C5096" w:rsidRDefault="003136C5" w:rsidP="00612896">
            <w:pPr>
              <w:rPr>
                <w:rFonts w:ascii="Arial" w:hAnsi="Arial" w:cs="Arial"/>
                <w:sz w:val="20"/>
                <w:szCs w:val="20"/>
              </w:rPr>
            </w:pPr>
            <w:r w:rsidRPr="009C5096">
              <w:rPr>
                <w:rFonts w:ascii="Arial" w:hAnsi="Arial" w:cs="Arial"/>
                <w:sz w:val="20"/>
                <w:szCs w:val="20"/>
              </w:rPr>
              <w:t>Manufacturing of non-food products</w:t>
            </w:r>
          </w:p>
        </w:tc>
        <w:tc>
          <w:tcPr>
            <w:tcW w:w="1071"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33</w:t>
            </w:r>
          </w:p>
        </w:tc>
        <w:tc>
          <w:tcPr>
            <w:tcW w:w="1269"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4</w:t>
            </w:r>
          </w:p>
        </w:tc>
        <w:tc>
          <w:tcPr>
            <w:tcW w:w="1260" w:type="dxa"/>
            <w:shd w:val="clear" w:color="auto" w:fill="auto"/>
            <w:vAlign w:val="center"/>
          </w:tcPr>
          <w:p w:rsidR="003136C5" w:rsidRPr="009C5096" w:rsidRDefault="003136C5" w:rsidP="0030572A">
            <w:pPr>
              <w:jc w:val="right"/>
              <w:rPr>
                <w:rFonts w:ascii="Arial" w:hAnsi="Arial" w:cs="Arial"/>
                <w:sz w:val="20"/>
                <w:szCs w:val="20"/>
              </w:rPr>
            </w:pPr>
            <w:r w:rsidRPr="009C5096">
              <w:rPr>
                <w:rFonts w:ascii="Arial" w:hAnsi="Arial" w:cs="Arial"/>
                <w:sz w:val="20"/>
                <w:szCs w:val="20"/>
              </w:rPr>
              <w:t>502</w:t>
            </w:r>
            <w:r w:rsidR="0030572A">
              <w:rPr>
                <w:rFonts w:ascii="Arial" w:hAnsi="Arial" w:cs="Arial"/>
                <w:sz w:val="20"/>
                <w:szCs w:val="20"/>
              </w:rPr>
              <w:t>,</w:t>
            </w:r>
            <w:r w:rsidRPr="009C5096">
              <w:rPr>
                <w:rFonts w:ascii="Arial" w:hAnsi="Arial" w:cs="Arial"/>
                <w:sz w:val="20"/>
                <w:szCs w:val="20"/>
              </w:rPr>
              <w:t>247</w:t>
            </w:r>
          </w:p>
        </w:tc>
        <w:tc>
          <w:tcPr>
            <w:tcW w:w="1530" w:type="dxa"/>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12%</w:t>
            </w:r>
          </w:p>
        </w:tc>
      </w:tr>
      <w:tr w:rsidR="003136C5" w:rsidRPr="009C5096" w:rsidTr="00612896">
        <w:trPr>
          <w:trHeight w:val="345"/>
        </w:trPr>
        <w:tc>
          <w:tcPr>
            <w:tcW w:w="4225" w:type="dxa"/>
            <w:shd w:val="clear" w:color="auto" w:fill="auto"/>
            <w:vAlign w:val="center"/>
          </w:tcPr>
          <w:p w:rsidR="003136C5" w:rsidRPr="009C5096" w:rsidRDefault="003136C5" w:rsidP="00612896">
            <w:pPr>
              <w:rPr>
                <w:rFonts w:ascii="Arial" w:hAnsi="Arial" w:cs="Arial"/>
                <w:sz w:val="20"/>
                <w:szCs w:val="20"/>
              </w:rPr>
            </w:pPr>
            <w:r w:rsidRPr="009C5096">
              <w:rPr>
                <w:rFonts w:ascii="Arial" w:hAnsi="Arial" w:cs="Arial"/>
                <w:sz w:val="20"/>
                <w:szCs w:val="20"/>
              </w:rPr>
              <w:t xml:space="preserve">Development of crafts activities </w:t>
            </w:r>
          </w:p>
        </w:tc>
        <w:tc>
          <w:tcPr>
            <w:tcW w:w="1071"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5</w:t>
            </w:r>
          </w:p>
        </w:tc>
        <w:tc>
          <w:tcPr>
            <w:tcW w:w="1269"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c>
          <w:tcPr>
            <w:tcW w:w="1260" w:type="dxa"/>
            <w:shd w:val="clear" w:color="auto" w:fill="auto"/>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0</w:t>
            </w:r>
          </w:p>
        </w:tc>
        <w:tc>
          <w:tcPr>
            <w:tcW w:w="1530" w:type="dxa"/>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r>
      <w:tr w:rsidR="003136C5" w:rsidRPr="009C5096" w:rsidTr="00612896">
        <w:trPr>
          <w:trHeight w:val="345"/>
        </w:trPr>
        <w:tc>
          <w:tcPr>
            <w:tcW w:w="4225" w:type="dxa"/>
            <w:shd w:val="clear" w:color="auto" w:fill="auto"/>
            <w:vAlign w:val="center"/>
          </w:tcPr>
          <w:p w:rsidR="003136C5" w:rsidRPr="009C5096" w:rsidRDefault="003136C5" w:rsidP="00612896">
            <w:pPr>
              <w:rPr>
                <w:rFonts w:ascii="Arial" w:hAnsi="Arial" w:cs="Arial"/>
                <w:sz w:val="20"/>
                <w:szCs w:val="20"/>
              </w:rPr>
            </w:pPr>
            <w:r w:rsidRPr="009C5096">
              <w:rPr>
                <w:rFonts w:ascii="Arial" w:hAnsi="Arial" w:cs="Arial"/>
                <w:sz w:val="20"/>
                <w:szCs w:val="20"/>
              </w:rPr>
              <w:t>Provision of services to agriculture</w:t>
            </w:r>
          </w:p>
        </w:tc>
        <w:tc>
          <w:tcPr>
            <w:tcW w:w="1071"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4</w:t>
            </w:r>
          </w:p>
        </w:tc>
        <w:tc>
          <w:tcPr>
            <w:tcW w:w="1269"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1</w:t>
            </w:r>
          </w:p>
        </w:tc>
        <w:tc>
          <w:tcPr>
            <w:tcW w:w="1260" w:type="dxa"/>
            <w:shd w:val="clear" w:color="auto" w:fill="auto"/>
            <w:vAlign w:val="center"/>
          </w:tcPr>
          <w:p w:rsidR="003136C5" w:rsidRPr="009C5096" w:rsidRDefault="003136C5" w:rsidP="0030572A">
            <w:pPr>
              <w:jc w:val="right"/>
              <w:rPr>
                <w:rFonts w:ascii="Arial" w:hAnsi="Arial" w:cs="Arial"/>
                <w:sz w:val="20"/>
                <w:szCs w:val="20"/>
              </w:rPr>
            </w:pPr>
            <w:r w:rsidRPr="009C5096">
              <w:rPr>
                <w:rFonts w:ascii="Arial" w:hAnsi="Arial" w:cs="Arial"/>
                <w:sz w:val="20"/>
                <w:szCs w:val="20"/>
              </w:rPr>
              <w:t>9</w:t>
            </w:r>
            <w:r w:rsidR="0030572A">
              <w:rPr>
                <w:rFonts w:ascii="Arial" w:hAnsi="Arial" w:cs="Arial"/>
                <w:sz w:val="20"/>
                <w:szCs w:val="20"/>
              </w:rPr>
              <w:t>,</w:t>
            </w:r>
            <w:r w:rsidRPr="009C5096">
              <w:rPr>
                <w:rFonts w:ascii="Arial" w:hAnsi="Arial" w:cs="Arial"/>
                <w:sz w:val="20"/>
                <w:szCs w:val="20"/>
              </w:rPr>
              <w:t>055</w:t>
            </w:r>
          </w:p>
        </w:tc>
        <w:tc>
          <w:tcPr>
            <w:tcW w:w="1530" w:type="dxa"/>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25%</w:t>
            </w:r>
          </w:p>
        </w:tc>
      </w:tr>
      <w:tr w:rsidR="003136C5" w:rsidRPr="009C5096" w:rsidTr="00612896">
        <w:trPr>
          <w:trHeight w:val="435"/>
        </w:trPr>
        <w:tc>
          <w:tcPr>
            <w:tcW w:w="4225" w:type="dxa"/>
            <w:shd w:val="clear" w:color="auto" w:fill="auto"/>
            <w:vAlign w:val="center"/>
          </w:tcPr>
          <w:p w:rsidR="003136C5" w:rsidRPr="009C5096" w:rsidRDefault="003136C5" w:rsidP="00612896">
            <w:pPr>
              <w:rPr>
                <w:rFonts w:ascii="Arial" w:hAnsi="Arial" w:cs="Arial"/>
                <w:sz w:val="20"/>
                <w:szCs w:val="20"/>
              </w:rPr>
            </w:pPr>
            <w:r w:rsidRPr="009C5096">
              <w:rPr>
                <w:rFonts w:ascii="Arial" w:hAnsi="Arial" w:cs="Arial"/>
                <w:sz w:val="20"/>
                <w:szCs w:val="20"/>
              </w:rPr>
              <w:t>Development of services for the rural population</w:t>
            </w:r>
          </w:p>
        </w:tc>
        <w:tc>
          <w:tcPr>
            <w:tcW w:w="1071"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8</w:t>
            </w:r>
          </w:p>
        </w:tc>
        <w:tc>
          <w:tcPr>
            <w:tcW w:w="1269"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1</w:t>
            </w:r>
          </w:p>
        </w:tc>
        <w:tc>
          <w:tcPr>
            <w:tcW w:w="1260" w:type="dxa"/>
            <w:shd w:val="clear" w:color="auto" w:fill="auto"/>
            <w:vAlign w:val="center"/>
          </w:tcPr>
          <w:p w:rsidR="003136C5" w:rsidRPr="009C5096" w:rsidRDefault="003136C5" w:rsidP="0030572A">
            <w:pPr>
              <w:jc w:val="right"/>
              <w:rPr>
                <w:rFonts w:ascii="Arial" w:hAnsi="Arial" w:cs="Arial"/>
                <w:sz w:val="20"/>
                <w:szCs w:val="20"/>
              </w:rPr>
            </w:pPr>
            <w:r w:rsidRPr="009C5096">
              <w:rPr>
                <w:rFonts w:ascii="Arial" w:hAnsi="Arial" w:cs="Arial"/>
                <w:sz w:val="20"/>
                <w:szCs w:val="20"/>
              </w:rPr>
              <w:t>487</w:t>
            </w:r>
            <w:r w:rsidR="0030572A">
              <w:rPr>
                <w:rFonts w:ascii="Arial" w:hAnsi="Arial" w:cs="Arial"/>
                <w:sz w:val="20"/>
                <w:szCs w:val="20"/>
              </w:rPr>
              <w:t>,</w:t>
            </w:r>
            <w:r w:rsidRPr="009C5096">
              <w:rPr>
                <w:rFonts w:ascii="Arial" w:hAnsi="Arial" w:cs="Arial"/>
                <w:sz w:val="20"/>
                <w:szCs w:val="20"/>
              </w:rPr>
              <w:t>158</w:t>
            </w:r>
          </w:p>
        </w:tc>
        <w:tc>
          <w:tcPr>
            <w:tcW w:w="1530" w:type="dxa"/>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13%</w:t>
            </w:r>
          </w:p>
        </w:tc>
      </w:tr>
      <w:tr w:rsidR="003136C5" w:rsidRPr="009C5096" w:rsidTr="00612896">
        <w:trPr>
          <w:trHeight w:val="435"/>
        </w:trPr>
        <w:tc>
          <w:tcPr>
            <w:tcW w:w="4225" w:type="dxa"/>
            <w:shd w:val="clear" w:color="auto" w:fill="auto"/>
            <w:vAlign w:val="center"/>
          </w:tcPr>
          <w:p w:rsidR="003136C5" w:rsidRPr="009C5096" w:rsidRDefault="003136C5" w:rsidP="00612896">
            <w:pPr>
              <w:rPr>
                <w:rFonts w:ascii="Arial" w:hAnsi="Arial" w:cs="Arial"/>
                <w:sz w:val="20"/>
                <w:szCs w:val="20"/>
              </w:rPr>
            </w:pPr>
            <w:r w:rsidRPr="009C5096">
              <w:rPr>
                <w:rFonts w:ascii="Arial" w:hAnsi="Arial" w:cs="Arial"/>
                <w:sz w:val="20"/>
                <w:szCs w:val="20"/>
              </w:rPr>
              <w:t>Promotion of Rural Tourism</w:t>
            </w:r>
          </w:p>
        </w:tc>
        <w:tc>
          <w:tcPr>
            <w:tcW w:w="1071"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32</w:t>
            </w:r>
          </w:p>
        </w:tc>
        <w:tc>
          <w:tcPr>
            <w:tcW w:w="1269"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3</w:t>
            </w:r>
          </w:p>
        </w:tc>
        <w:tc>
          <w:tcPr>
            <w:tcW w:w="1260" w:type="dxa"/>
            <w:shd w:val="clear" w:color="auto" w:fill="auto"/>
            <w:vAlign w:val="center"/>
          </w:tcPr>
          <w:p w:rsidR="003136C5" w:rsidRPr="009C5096" w:rsidRDefault="003136C5" w:rsidP="0030572A">
            <w:pPr>
              <w:jc w:val="right"/>
              <w:rPr>
                <w:rFonts w:ascii="Arial" w:hAnsi="Arial" w:cs="Arial"/>
                <w:sz w:val="20"/>
                <w:szCs w:val="20"/>
              </w:rPr>
            </w:pPr>
            <w:r w:rsidRPr="009C5096">
              <w:rPr>
                <w:rFonts w:ascii="Arial" w:hAnsi="Arial" w:cs="Arial"/>
                <w:sz w:val="20"/>
                <w:szCs w:val="20"/>
              </w:rPr>
              <w:t>983</w:t>
            </w:r>
            <w:r w:rsidR="0030572A">
              <w:rPr>
                <w:rFonts w:ascii="Arial" w:hAnsi="Arial" w:cs="Arial"/>
                <w:sz w:val="20"/>
                <w:szCs w:val="20"/>
              </w:rPr>
              <w:t>,</w:t>
            </w:r>
            <w:r w:rsidRPr="009C5096">
              <w:rPr>
                <w:rFonts w:ascii="Arial" w:hAnsi="Arial" w:cs="Arial"/>
                <w:sz w:val="20"/>
                <w:szCs w:val="20"/>
              </w:rPr>
              <w:t>847</w:t>
            </w:r>
          </w:p>
        </w:tc>
        <w:tc>
          <w:tcPr>
            <w:tcW w:w="1530" w:type="dxa"/>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9%</w:t>
            </w:r>
          </w:p>
        </w:tc>
      </w:tr>
      <w:tr w:rsidR="003136C5" w:rsidRPr="009C5096" w:rsidTr="00612896">
        <w:trPr>
          <w:trHeight w:val="435"/>
        </w:trPr>
        <w:tc>
          <w:tcPr>
            <w:tcW w:w="4225" w:type="dxa"/>
            <w:shd w:val="clear" w:color="auto" w:fill="auto"/>
            <w:vAlign w:val="center"/>
          </w:tcPr>
          <w:p w:rsidR="003136C5" w:rsidRPr="009C5096" w:rsidRDefault="003136C5" w:rsidP="00612896">
            <w:pPr>
              <w:rPr>
                <w:rFonts w:ascii="Arial" w:hAnsi="Arial" w:cs="Arial"/>
                <w:sz w:val="20"/>
                <w:szCs w:val="20"/>
              </w:rPr>
            </w:pPr>
            <w:r w:rsidRPr="009C5096">
              <w:rPr>
                <w:rFonts w:ascii="Arial" w:hAnsi="Arial" w:cs="Arial"/>
                <w:sz w:val="20"/>
                <w:szCs w:val="20"/>
              </w:rPr>
              <w:t>Production and sale of renewable energy</w:t>
            </w:r>
          </w:p>
        </w:tc>
        <w:tc>
          <w:tcPr>
            <w:tcW w:w="1071"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45</w:t>
            </w:r>
          </w:p>
        </w:tc>
        <w:tc>
          <w:tcPr>
            <w:tcW w:w="1269" w:type="dxa"/>
            <w:shd w:val="clear" w:color="auto" w:fill="auto"/>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c>
          <w:tcPr>
            <w:tcW w:w="1260" w:type="dxa"/>
            <w:shd w:val="clear" w:color="auto" w:fill="auto"/>
            <w:vAlign w:val="center"/>
          </w:tcPr>
          <w:p w:rsidR="003136C5" w:rsidRPr="009C5096" w:rsidRDefault="003136C5" w:rsidP="00612896">
            <w:pPr>
              <w:jc w:val="right"/>
              <w:rPr>
                <w:rFonts w:ascii="Arial" w:hAnsi="Arial" w:cs="Arial"/>
                <w:sz w:val="20"/>
                <w:szCs w:val="20"/>
              </w:rPr>
            </w:pPr>
            <w:r w:rsidRPr="009C5096">
              <w:rPr>
                <w:rFonts w:ascii="Arial" w:hAnsi="Arial" w:cs="Arial"/>
                <w:sz w:val="20"/>
                <w:szCs w:val="20"/>
              </w:rPr>
              <w:t>0</w:t>
            </w:r>
          </w:p>
        </w:tc>
        <w:tc>
          <w:tcPr>
            <w:tcW w:w="1530" w:type="dxa"/>
            <w:vAlign w:val="center"/>
          </w:tcPr>
          <w:p w:rsidR="003136C5" w:rsidRPr="009C5096" w:rsidRDefault="003136C5" w:rsidP="00612896">
            <w:pPr>
              <w:jc w:val="center"/>
              <w:rPr>
                <w:rFonts w:ascii="Arial" w:hAnsi="Arial" w:cs="Arial"/>
                <w:sz w:val="20"/>
                <w:szCs w:val="20"/>
              </w:rPr>
            </w:pPr>
            <w:r w:rsidRPr="009C5096">
              <w:rPr>
                <w:rFonts w:ascii="Arial" w:hAnsi="Arial" w:cs="Arial"/>
                <w:sz w:val="20"/>
                <w:szCs w:val="20"/>
              </w:rPr>
              <w:t>0%</w:t>
            </w:r>
          </w:p>
        </w:tc>
      </w:tr>
    </w:tbl>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eastAsia="en-US"/>
        </w:rPr>
      </w:pPr>
      <w:r w:rsidRPr="009C5096">
        <w:rPr>
          <w:rFonts w:ascii="Arial" w:hAnsi="Arial" w:cs="Arial"/>
          <w:sz w:val="18"/>
          <w:szCs w:val="18"/>
          <w:lang w:val="en-US" w:eastAsia="en-US"/>
        </w:rPr>
        <w:lastRenderedPageBreak/>
        <w:t>Source: Managing Authority</w:t>
      </w:r>
    </w:p>
    <w:p w:rsidR="003136C5" w:rsidRPr="009C5096" w:rsidRDefault="003136C5" w:rsidP="003136C5">
      <w:pPr>
        <w:pStyle w:val="m343668044302477783m-3986873246552044066msolistparagraph"/>
        <w:spacing w:before="120" w:beforeAutospacing="0" w:after="120" w:afterAutospacing="0"/>
        <w:jc w:val="both"/>
        <w:rPr>
          <w:rFonts w:ascii="Arial" w:hAnsi="Arial" w:cs="Arial"/>
          <w:sz w:val="22"/>
          <w:szCs w:val="22"/>
          <w:lang w:val="en-US"/>
        </w:rPr>
      </w:pPr>
      <w:r w:rsidRPr="009C5096">
        <w:rPr>
          <w:rFonts w:ascii="Arial" w:hAnsi="Arial" w:cs="Arial"/>
          <w:sz w:val="22"/>
          <w:szCs w:val="22"/>
          <w:lang w:val="en-US"/>
        </w:rPr>
        <w:t xml:space="preserve">Applicants have not shown interest for investing in: </w:t>
      </w:r>
      <w:r w:rsidR="0030572A" w:rsidRPr="009C5096">
        <w:rPr>
          <w:rFonts w:ascii="Arial" w:hAnsi="Arial" w:cs="Arial"/>
          <w:sz w:val="22"/>
          <w:szCs w:val="22"/>
          <w:lang w:val="en-US"/>
        </w:rPr>
        <w:t>specialized</w:t>
      </w:r>
      <w:r w:rsidRPr="009C5096">
        <w:rPr>
          <w:rFonts w:ascii="Arial" w:hAnsi="Arial" w:cs="Arial"/>
          <w:sz w:val="22"/>
          <w:szCs w:val="22"/>
          <w:lang w:val="en-US"/>
        </w:rPr>
        <w:t xml:space="preserve"> transport tanks and trailers and purchase of perennial trees and plants.</w:t>
      </w:r>
    </w:p>
    <w:p w:rsidR="003136C5" w:rsidRPr="002E6808" w:rsidRDefault="003136C5" w:rsidP="003136C5">
      <w:pPr>
        <w:pStyle w:val="m343668044302477783m-3986873246552044066msolistparagraph"/>
        <w:spacing w:before="120" w:beforeAutospacing="0" w:after="120" w:afterAutospacing="0"/>
        <w:jc w:val="both"/>
        <w:rPr>
          <w:rFonts w:ascii="Arial" w:hAnsi="Arial" w:cs="Arial"/>
          <w:sz w:val="14"/>
          <w:szCs w:val="18"/>
          <w:lang w:val="en-US" w:eastAsia="en-US"/>
        </w:rPr>
      </w:pPr>
      <w:bookmarkStart w:id="49" w:name="_Toc6903709"/>
      <w:r w:rsidRPr="002E6808">
        <w:rPr>
          <w:rFonts w:ascii="Arial" w:hAnsi="Arial" w:cs="Arial"/>
          <w:sz w:val="20"/>
          <w:lang w:val="en-US"/>
        </w:rPr>
        <w:t xml:space="preserve">Figure </w:t>
      </w:r>
      <w:r w:rsidRPr="002E6808">
        <w:rPr>
          <w:rFonts w:ascii="Arial" w:hAnsi="Arial" w:cs="Arial"/>
          <w:sz w:val="20"/>
          <w:lang w:val="en-US"/>
        </w:rPr>
        <w:fldChar w:fldCharType="begin"/>
      </w:r>
      <w:r w:rsidRPr="002E6808">
        <w:rPr>
          <w:rFonts w:ascii="Arial" w:hAnsi="Arial" w:cs="Arial"/>
          <w:sz w:val="20"/>
          <w:lang w:val="en-US"/>
        </w:rPr>
        <w:instrText xml:space="preserve"> SEQ Figure \* ARABIC </w:instrText>
      </w:r>
      <w:r w:rsidRPr="002E6808">
        <w:rPr>
          <w:rFonts w:ascii="Arial" w:hAnsi="Arial" w:cs="Arial"/>
          <w:sz w:val="20"/>
          <w:lang w:val="en-US"/>
        </w:rPr>
        <w:fldChar w:fldCharType="separate"/>
      </w:r>
      <w:r w:rsidRPr="002E6808">
        <w:rPr>
          <w:rFonts w:ascii="Arial" w:hAnsi="Arial" w:cs="Arial"/>
          <w:sz w:val="20"/>
          <w:lang w:val="en-US"/>
        </w:rPr>
        <w:t>9</w:t>
      </w:r>
      <w:r w:rsidRPr="002E6808">
        <w:rPr>
          <w:rFonts w:ascii="Arial" w:hAnsi="Arial" w:cs="Arial"/>
          <w:sz w:val="20"/>
          <w:lang w:val="en-US"/>
        </w:rPr>
        <w:fldChar w:fldCharType="end"/>
      </w:r>
      <w:r w:rsidRPr="002E6808">
        <w:rPr>
          <w:rFonts w:ascii="Arial" w:hAnsi="Arial" w:cs="Arial"/>
          <w:sz w:val="20"/>
          <w:lang w:val="en-US"/>
        </w:rPr>
        <w:t>: Review of applications per type of investment in Measure 7</w:t>
      </w:r>
      <w:bookmarkEnd w:id="49"/>
    </w:p>
    <w:p w:rsidR="003136C5" w:rsidRPr="009C5096" w:rsidRDefault="003136C5" w:rsidP="003136C5">
      <w:pPr>
        <w:pStyle w:val="m343668044302477783m-3986873246552044066msolistparagraph"/>
        <w:spacing w:before="0" w:beforeAutospacing="0" w:after="0" w:afterAutospacing="0"/>
        <w:jc w:val="both"/>
        <w:rPr>
          <w:rFonts w:ascii="Arial" w:hAnsi="Arial" w:cs="Arial"/>
          <w:sz w:val="22"/>
          <w:szCs w:val="22"/>
          <w:lang w:val="en-US"/>
        </w:rPr>
      </w:pPr>
      <w:r w:rsidRPr="009C5096">
        <w:rPr>
          <w:rFonts w:ascii="Arial" w:hAnsi="Arial" w:cs="Arial"/>
          <w:noProof/>
          <w:sz w:val="22"/>
          <w:szCs w:val="22"/>
          <w:lang w:val="en-US" w:eastAsia="en-US"/>
        </w:rPr>
        <w:drawing>
          <wp:inline distT="0" distB="0" distL="0" distR="0" wp14:anchorId="0A60E3AD" wp14:editId="420B1394">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eastAsia="en-US"/>
        </w:rPr>
      </w:pPr>
      <w:r w:rsidRPr="009C5096">
        <w:rPr>
          <w:rFonts w:ascii="Arial" w:hAnsi="Arial" w:cs="Arial"/>
          <w:sz w:val="18"/>
          <w:szCs w:val="18"/>
          <w:lang w:val="en-US" w:eastAsia="en-US"/>
        </w:rPr>
        <w:t>Source: Managing Authority</w:t>
      </w:r>
    </w:p>
    <w:p w:rsidR="003136C5" w:rsidRPr="009C5096" w:rsidRDefault="003136C5" w:rsidP="003136C5">
      <w:pPr>
        <w:rPr>
          <w:rFonts w:ascii="Arial" w:eastAsia="Calibri" w:hAnsi="Arial" w:cs="Arial"/>
          <w:sz w:val="18"/>
          <w:szCs w:val="18"/>
        </w:rPr>
      </w:pPr>
      <w:r w:rsidRPr="009C5096">
        <w:rPr>
          <w:rFonts w:ascii="Arial" w:hAnsi="Arial" w:cs="Arial"/>
          <w:sz w:val="18"/>
          <w:szCs w:val="18"/>
        </w:rPr>
        <w:br w:type="page"/>
      </w:r>
    </w:p>
    <w:p w:rsidR="003136C5" w:rsidRPr="009C509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lang w:val="en-US"/>
        </w:rPr>
      </w:pPr>
      <w:bookmarkStart w:id="50" w:name="_Toc8649814"/>
      <w:r w:rsidRPr="009C5096">
        <w:rPr>
          <w:rFonts w:ascii="Arial" w:hAnsi="Arial" w:cs="Arial"/>
          <w:b/>
          <w:lang w:val="en-US"/>
        </w:rPr>
        <w:lastRenderedPageBreak/>
        <w:t>Geographical analysis of IPARD Programme implementation</w:t>
      </w:r>
      <w:bookmarkEnd w:id="50"/>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The data for the geographical implementation of the IPARD Programme and the support to the regional development of the Republic of North Macedonia are presented in this report by statistical regions (NUTS 3) and municipalities. </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Most of the total submitted applications come from the region</w:t>
      </w:r>
      <w:r w:rsidR="00862038" w:rsidRPr="009C5096">
        <w:rPr>
          <w:rFonts w:ascii="Arial" w:hAnsi="Arial" w:cs="Arial"/>
          <w:sz w:val="22"/>
          <w:szCs w:val="22"/>
          <w:lang w:val="en-US"/>
        </w:rPr>
        <w:t>s</w:t>
      </w:r>
      <w:r w:rsidRPr="009C5096">
        <w:rPr>
          <w:rFonts w:ascii="Arial" w:hAnsi="Arial" w:cs="Arial"/>
          <w:sz w:val="22"/>
          <w:szCs w:val="22"/>
          <w:lang w:val="en-US"/>
        </w:rPr>
        <w:t xml:space="preserve"> of Pelagonija (721), Vardar (348), Southeast (150) and East (104). Pelagonija </w:t>
      </w:r>
      <w:r w:rsidR="0000332C" w:rsidRPr="009C5096">
        <w:rPr>
          <w:rFonts w:ascii="Arial" w:hAnsi="Arial" w:cs="Arial"/>
          <w:sz w:val="22"/>
          <w:szCs w:val="22"/>
          <w:lang w:val="en-US"/>
        </w:rPr>
        <w:t xml:space="preserve">also </w:t>
      </w:r>
      <w:r w:rsidRPr="009C5096">
        <w:rPr>
          <w:rFonts w:ascii="Arial" w:hAnsi="Arial" w:cs="Arial"/>
          <w:sz w:val="22"/>
          <w:szCs w:val="22"/>
          <w:lang w:val="en-US"/>
        </w:rPr>
        <w:t>has the biggest number of contracts (468), followed by Vardar (207), Southeast (68) and Northeast (45).</w:t>
      </w:r>
    </w:p>
    <w:p w:rsidR="003136C5" w:rsidRPr="002E6808" w:rsidRDefault="003136C5" w:rsidP="003136C5">
      <w:pPr>
        <w:pStyle w:val="m343668044302477783m-3986873246552044066msolistparagraph"/>
        <w:spacing w:before="120" w:beforeAutospacing="0" w:after="0" w:afterAutospacing="0"/>
        <w:jc w:val="both"/>
        <w:rPr>
          <w:rFonts w:ascii="Arial" w:hAnsi="Arial" w:cs="Arial"/>
          <w:sz w:val="20"/>
          <w:lang w:val="en-US"/>
        </w:rPr>
      </w:pPr>
      <w:bookmarkStart w:id="51" w:name="_Toc6903710"/>
      <w:r w:rsidRPr="002E6808">
        <w:rPr>
          <w:rFonts w:ascii="Arial" w:hAnsi="Arial" w:cs="Arial"/>
          <w:sz w:val="20"/>
          <w:lang w:val="en-US"/>
        </w:rPr>
        <w:t xml:space="preserve">Figure </w:t>
      </w:r>
      <w:r w:rsidRPr="002E6808">
        <w:rPr>
          <w:rFonts w:ascii="Arial" w:hAnsi="Arial" w:cs="Arial"/>
          <w:sz w:val="20"/>
          <w:lang w:val="en-US"/>
        </w:rPr>
        <w:fldChar w:fldCharType="begin"/>
      </w:r>
      <w:r w:rsidRPr="002E6808">
        <w:rPr>
          <w:rFonts w:ascii="Arial" w:hAnsi="Arial" w:cs="Arial"/>
          <w:sz w:val="20"/>
          <w:lang w:val="en-US"/>
        </w:rPr>
        <w:instrText xml:space="preserve"> SEQ Figure \* ARABIC </w:instrText>
      </w:r>
      <w:r w:rsidRPr="002E6808">
        <w:rPr>
          <w:rFonts w:ascii="Arial" w:hAnsi="Arial" w:cs="Arial"/>
          <w:sz w:val="20"/>
          <w:lang w:val="en-US"/>
        </w:rPr>
        <w:fldChar w:fldCharType="separate"/>
      </w:r>
      <w:r w:rsidRPr="002E6808">
        <w:rPr>
          <w:rFonts w:ascii="Arial" w:hAnsi="Arial" w:cs="Arial"/>
          <w:sz w:val="20"/>
          <w:lang w:val="en-US"/>
        </w:rPr>
        <w:t>10</w:t>
      </w:r>
      <w:r w:rsidRPr="002E6808">
        <w:rPr>
          <w:rFonts w:ascii="Arial" w:hAnsi="Arial" w:cs="Arial"/>
          <w:sz w:val="20"/>
          <w:lang w:val="en-US"/>
        </w:rPr>
        <w:fldChar w:fldCharType="end"/>
      </w:r>
      <w:r w:rsidRPr="002E6808">
        <w:rPr>
          <w:rFonts w:ascii="Arial" w:hAnsi="Arial" w:cs="Arial"/>
          <w:sz w:val="20"/>
          <w:lang w:val="en-US"/>
        </w:rPr>
        <w:t>: Review of the applications by statistical regions</w:t>
      </w:r>
      <w:bookmarkEnd w:id="51"/>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noProof/>
          <w:sz w:val="22"/>
          <w:szCs w:val="22"/>
          <w:lang w:val="en-US" w:eastAsia="en-US"/>
        </w:rPr>
        <w:drawing>
          <wp:inline distT="0" distB="0" distL="0" distR="0" wp14:anchorId="3DFAE34A" wp14:editId="5CEE7582">
            <wp:extent cx="4584700" cy="2480807"/>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2186" cy="2484858"/>
                    </a:xfrm>
                    <a:prstGeom prst="rect">
                      <a:avLst/>
                    </a:prstGeom>
                    <a:noFill/>
                  </pic:spPr>
                </pic:pic>
              </a:graphicData>
            </a:graphic>
          </wp:inline>
        </w:drawing>
      </w:r>
    </w:p>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eastAsia="en-US"/>
        </w:rPr>
      </w:pPr>
      <w:r w:rsidRPr="009C5096">
        <w:rPr>
          <w:rFonts w:ascii="Arial" w:hAnsi="Arial" w:cs="Arial"/>
          <w:sz w:val="18"/>
          <w:szCs w:val="18"/>
          <w:lang w:val="en-US" w:eastAsia="en-US"/>
        </w:rPr>
        <w:t>Source: Managing Authority</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Crop production (cereals, orchards and vineyards) are predominant agricultur</w:t>
      </w:r>
      <w:r w:rsidR="00862038" w:rsidRPr="009C5096">
        <w:rPr>
          <w:rFonts w:ascii="Arial" w:hAnsi="Arial" w:cs="Arial"/>
          <w:sz w:val="22"/>
          <w:szCs w:val="22"/>
          <w:lang w:val="en-US"/>
        </w:rPr>
        <w:t xml:space="preserve">al </w:t>
      </w:r>
      <w:r w:rsidRPr="009C5096">
        <w:rPr>
          <w:rFonts w:ascii="Arial" w:hAnsi="Arial" w:cs="Arial"/>
          <w:sz w:val="22"/>
          <w:szCs w:val="22"/>
          <w:lang w:val="en-US"/>
        </w:rPr>
        <w:t xml:space="preserve">production in </w:t>
      </w:r>
      <w:r w:rsidR="00862038" w:rsidRPr="009C5096">
        <w:rPr>
          <w:rFonts w:ascii="Arial" w:hAnsi="Arial" w:cs="Arial"/>
          <w:sz w:val="22"/>
          <w:szCs w:val="22"/>
          <w:lang w:val="en-US"/>
        </w:rPr>
        <w:t xml:space="preserve">the </w:t>
      </w:r>
      <w:r w:rsidRPr="009C5096">
        <w:rPr>
          <w:rFonts w:ascii="Arial" w:hAnsi="Arial" w:cs="Arial"/>
          <w:sz w:val="22"/>
          <w:szCs w:val="22"/>
          <w:lang w:val="en-US"/>
        </w:rPr>
        <w:t xml:space="preserve">Pelagonija and </w:t>
      </w:r>
      <w:r w:rsidR="00862038" w:rsidRPr="009C5096">
        <w:rPr>
          <w:rFonts w:ascii="Arial" w:hAnsi="Arial" w:cs="Arial"/>
          <w:sz w:val="22"/>
          <w:szCs w:val="22"/>
          <w:lang w:val="en-US"/>
        </w:rPr>
        <w:t xml:space="preserve">the </w:t>
      </w:r>
      <w:r w:rsidRPr="009C5096">
        <w:rPr>
          <w:rFonts w:ascii="Arial" w:hAnsi="Arial" w:cs="Arial"/>
          <w:sz w:val="22"/>
          <w:szCs w:val="22"/>
          <w:lang w:val="en-US"/>
        </w:rPr>
        <w:t>Vardar regions. Most of the applications in these regions are for less expensive investments (tractors and small pieces of agricultur</w:t>
      </w:r>
      <w:r w:rsidR="00862038" w:rsidRPr="009C5096">
        <w:rPr>
          <w:rFonts w:ascii="Arial" w:hAnsi="Arial" w:cs="Arial"/>
          <w:sz w:val="22"/>
          <w:szCs w:val="22"/>
          <w:lang w:val="en-US"/>
        </w:rPr>
        <w:t xml:space="preserve">al </w:t>
      </w:r>
      <w:r w:rsidRPr="009C5096">
        <w:rPr>
          <w:rFonts w:ascii="Arial" w:hAnsi="Arial" w:cs="Arial"/>
          <w:sz w:val="22"/>
          <w:szCs w:val="22"/>
          <w:lang w:val="en-US"/>
        </w:rPr>
        <w:t>mechanization).</w:t>
      </w:r>
    </w:p>
    <w:p w:rsidR="003136C5" w:rsidRPr="002E6808" w:rsidRDefault="003136C5" w:rsidP="003136C5">
      <w:pPr>
        <w:pStyle w:val="m343668044302477783m-3986873246552044066msolistparagraph"/>
        <w:spacing w:before="120" w:beforeAutospacing="0" w:after="0" w:afterAutospacing="0"/>
        <w:jc w:val="both"/>
        <w:rPr>
          <w:rFonts w:ascii="Arial" w:hAnsi="Arial" w:cs="Arial"/>
          <w:sz w:val="20"/>
          <w:lang w:val="en-US"/>
        </w:rPr>
      </w:pPr>
      <w:bookmarkStart w:id="52" w:name="_Toc6903711"/>
      <w:r w:rsidRPr="002E6808">
        <w:rPr>
          <w:rFonts w:ascii="Arial" w:hAnsi="Arial" w:cs="Arial"/>
          <w:sz w:val="20"/>
          <w:lang w:val="en-US"/>
        </w:rPr>
        <w:t xml:space="preserve">Figure </w:t>
      </w:r>
      <w:r w:rsidRPr="002E6808">
        <w:rPr>
          <w:rFonts w:ascii="Arial" w:hAnsi="Arial" w:cs="Arial"/>
          <w:sz w:val="20"/>
          <w:lang w:val="en-US"/>
        </w:rPr>
        <w:fldChar w:fldCharType="begin"/>
      </w:r>
      <w:r w:rsidRPr="002E6808">
        <w:rPr>
          <w:rFonts w:ascii="Arial" w:hAnsi="Arial" w:cs="Arial"/>
          <w:sz w:val="20"/>
          <w:lang w:val="en-US"/>
        </w:rPr>
        <w:instrText xml:space="preserve"> SEQ Figure \* ARABIC </w:instrText>
      </w:r>
      <w:r w:rsidRPr="002E6808">
        <w:rPr>
          <w:rFonts w:ascii="Arial" w:hAnsi="Arial" w:cs="Arial"/>
          <w:sz w:val="20"/>
          <w:lang w:val="en-US"/>
        </w:rPr>
        <w:fldChar w:fldCharType="separate"/>
      </w:r>
      <w:r w:rsidRPr="002E6808">
        <w:rPr>
          <w:rFonts w:ascii="Arial" w:hAnsi="Arial" w:cs="Arial"/>
          <w:sz w:val="20"/>
          <w:lang w:val="en-US"/>
        </w:rPr>
        <w:t>11</w:t>
      </w:r>
      <w:r w:rsidRPr="002E6808">
        <w:rPr>
          <w:rFonts w:ascii="Arial" w:hAnsi="Arial" w:cs="Arial"/>
          <w:sz w:val="20"/>
          <w:lang w:val="en-US"/>
        </w:rPr>
        <w:fldChar w:fldCharType="end"/>
      </w:r>
      <w:r w:rsidRPr="002E6808">
        <w:rPr>
          <w:rFonts w:ascii="Arial" w:hAnsi="Arial" w:cs="Arial"/>
          <w:sz w:val="20"/>
          <w:lang w:val="en-US"/>
        </w:rPr>
        <w:t>: Review of the total public expenditure by statistical regions</w:t>
      </w:r>
      <w:bookmarkEnd w:id="52"/>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18"/>
          <w:szCs w:val="18"/>
          <w:lang w:val="en-US" w:eastAsia="en-US"/>
        </w:rPr>
      </w:pPr>
      <w:r w:rsidRPr="009C5096">
        <w:rPr>
          <w:rFonts w:ascii="Arial" w:hAnsi="Arial" w:cs="Arial"/>
          <w:noProof/>
          <w:sz w:val="18"/>
          <w:szCs w:val="18"/>
          <w:lang w:val="en-US" w:eastAsia="en-US"/>
        </w:rPr>
        <w:drawing>
          <wp:inline distT="0" distB="0" distL="0" distR="0" wp14:anchorId="431EDE15" wp14:editId="123AAE03">
            <wp:extent cx="4918715" cy="24649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5232" cy="2478193"/>
                    </a:xfrm>
                    <a:prstGeom prst="rect">
                      <a:avLst/>
                    </a:prstGeom>
                    <a:noFill/>
                  </pic:spPr>
                </pic:pic>
              </a:graphicData>
            </a:graphic>
          </wp:inline>
        </w:drawing>
      </w:r>
    </w:p>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eastAsia="en-US"/>
        </w:rPr>
      </w:pPr>
      <w:r w:rsidRPr="009C5096">
        <w:rPr>
          <w:rFonts w:ascii="Arial" w:hAnsi="Arial" w:cs="Arial"/>
          <w:sz w:val="18"/>
          <w:szCs w:val="18"/>
          <w:lang w:val="en-US" w:eastAsia="en-US"/>
        </w:rPr>
        <w:t>Source: Managing Authority</w:t>
      </w:r>
    </w:p>
    <w:p w:rsidR="002E6808" w:rsidRDefault="002E6808" w:rsidP="003136C5">
      <w:pPr>
        <w:pStyle w:val="m343668044302477783m-3986873246552044066msolistparagraph"/>
        <w:spacing w:before="120" w:beforeAutospacing="0" w:after="120" w:afterAutospacing="0"/>
        <w:jc w:val="both"/>
        <w:rPr>
          <w:rFonts w:ascii="Arial" w:eastAsia="Times New Roman" w:hAnsi="Arial" w:cs="Arial"/>
          <w:sz w:val="20"/>
          <w:szCs w:val="20"/>
          <w:lang w:val="en-US"/>
        </w:rPr>
      </w:pPr>
      <w:bookmarkStart w:id="53" w:name="_Toc6902283"/>
    </w:p>
    <w:p w:rsidR="002E6808" w:rsidRDefault="002E6808" w:rsidP="003136C5">
      <w:pPr>
        <w:pStyle w:val="m343668044302477783m-3986873246552044066msolistparagraph"/>
        <w:spacing w:before="120" w:beforeAutospacing="0" w:after="120" w:afterAutospacing="0"/>
        <w:jc w:val="both"/>
        <w:rPr>
          <w:rFonts w:ascii="Arial" w:eastAsia="Times New Roman" w:hAnsi="Arial" w:cs="Arial"/>
          <w:sz w:val="20"/>
          <w:szCs w:val="20"/>
          <w:lang w:val="en-US"/>
        </w:rPr>
      </w:pPr>
    </w:p>
    <w:p w:rsidR="002E6808" w:rsidRDefault="002E6808" w:rsidP="003136C5">
      <w:pPr>
        <w:pStyle w:val="m343668044302477783m-3986873246552044066msolistparagraph"/>
        <w:spacing w:before="120" w:beforeAutospacing="0" w:after="120" w:afterAutospacing="0"/>
        <w:jc w:val="both"/>
        <w:rPr>
          <w:rFonts w:ascii="Arial" w:eastAsia="Times New Roman" w:hAnsi="Arial" w:cs="Arial"/>
          <w:sz w:val="20"/>
          <w:szCs w:val="20"/>
          <w:lang w:val="en-US"/>
        </w:rPr>
      </w:pPr>
    </w:p>
    <w:p w:rsidR="002E6808" w:rsidRDefault="002E6808" w:rsidP="003136C5">
      <w:pPr>
        <w:pStyle w:val="m343668044302477783m-3986873246552044066msolistparagraph"/>
        <w:spacing w:before="120" w:beforeAutospacing="0" w:after="120" w:afterAutospacing="0"/>
        <w:jc w:val="both"/>
        <w:rPr>
          <w:rFonts w:ascii="Arial" w:eastAsia="Times New Roman" w:hAnsi="Arial" w:cs="Arial"/>
          <w:sz w:val="20"/>
          <w:szCs w:val="20"/>
          <w:lang w:val="en-US"/>
        </w:rPr>
      </w:pPr>
    </w:p>
    <w:p w:rsidR="002E6808" w:rsidRDefault="002E6808" w:rsidP="003136C5">
      <w:pPr>
        <w:pStyle w:val="m343668044302477783m-3986873246552044066msolistparagraph"/>
        <w:spacing w:before="120" w:beforeAutospacing="0" w:after="120" w:afterAutospacing="0"/>
        <w:jc w:val="both"/>
        <w:rPr>
          <w:rFonts w:ascii="Arial" w:eastAsia="Times New Roman" w:hAnsi="Arial" w:cs="Arial"/>
          <w:sz w:val="20"/>
          <w:szCs w:val="20"/>
          <w:lang w:val="en-US"/>
        </w:rPr>
      </w:pPr>
    </w:p>
    <w:p w:rsidR="003136C5" w:rsidRPr="002E6808" w:rsidRDefault="003136C5" w:rsidP="003136C5">
      <w:pPr>
        <w:pStyle w:val="m343668044302477783m-3986873246552044066msolistparagraph"/>
        <w:spacing w:before="120" w:beforeAutospacing="0" w:after="120" w:afterAutospacing="0"/>
        <w:jc w:val="both"/>
        <w:rPr>
          <w:rFonts w:ascii="Arial" w:hAnsi="Arial" w:cs="Arial"/>
          <w:sz w:val="20"/>
          <w:szCs w:val="20"/>
          <w:lang w:val="en-US" w:eastAsia="en-US"/>
        </w:rPr>
      </w:pPr>
      <w:r w:rsidRPr="002E6808">
        <w:rPr>
          <w:rFonts w:ascii="Arial" w:eastAsia="Times New Roman" w:hAnsi="Arial" w:cs="Arial"/>
          <w:sz w:val="20"/>
          <w:szCs w:val="20"/>
          <w:lang w:val="en-US"/>
        </w:rPr>
        <w:lastRenderedPageBreak/>
        <w:t xml:space="preserve">Table </w:t>
      </w:r>
      <w:r w:rsidRPr="002E6808">
        <w:rPr>
          <w:rFonts w:ascii="Arial" w:eastAsia="Times New Roman" w:hAnsi="Arial" w:cs="Arial"/>
          <w:i/>
          <w:sz w:val="20"/>
          <w:szCs w:val="20"/>
          <w:lang w:val="en-US"/>
        </w:rPr>
        <w:fldChar w:fldCharType="begin"/>
      </w:r>
      <w:r w:rsidRPr="002E6808">
        <w:rPr>
          <w:rFonts w:ascii="Arial" w:eastAsia="Times New Roman" w:hAnsi="Arial" w:cs="Arial"/>
          <w:sz w:val="20"/>
          <w:szCs w:val="20"/>
          <w:lang w:val="en-US"/>
        </w:rPr>
        <w:instrText xml:space="preserve"> SEQ Table \* ARABIC </w:instrText>
      </w:r>
      <w:r w:rsidRPr="002E6808">
        <w:rPr>
          <w:rFonts w:ascii="Arial" w:eastAsia="Times New Roman" w:hAnsi="Arial" w:cs="Arial"/>
          <w:i/>
          <w:sz w:val="20"/>
          <w:szCs w:val="20"/>
          <w:lang w:val="en-US"/>
        </w:rPr>
        <w:fldChar w:fldCharType="separate"/>
      </w:r>
      <w:r w:rsidRPr="002E6808">
        <w:rPr>
          <w:rFonts w:ascii="Arial" w:eastAsia="Times New Roman" w:hAnsi="Arial" w:cs="Arial"/>
          <w:sz w:val="20"/>
          <w:szCs w:val="20"/>
          <w:lang w:val="en-US"/>
        </w:rPr>
        <w:t>17</w:t>
      </w:r>
      <w:r w:rsidRPr="002E6808">
        <w:rPr>
          <w:rFonts w:ascii="Arial" w:eastAsia="Times New Roman" w:hAnsi="Arial" w:cs="Arial"/>
          <w:i/>
          <w:sz w:val="20"/>
          <w:szCs w:val="20"/>
          <w:lang w:val="en-US"/>
        </w:rPr>
        <w:fldChar w:fldCharType="end"/>
      </w:r>
      <w:r w:rsidRPr="002E6808">
        <w:rPr>
          <w:rFonts w:ascii="Arial" w:eastAsia="Times New Roman" w:hAnsi="Arial" w:cs="Arial"/>
          <w:sz w:val="20"/>
          <w:szCs w:val="20"/>
          <w:lang w:val="en-US"/>
        </w:rPr>
        <w:t>:</w:t>
      </w:r>
      <w:r w:rsidRPr="002E6808">
        <w:rPr>
          <w:rFonts w:ascii="Arial" w:hAnsi="Arial" w:cs="Arial"/>
          <w:sz w:val="20"/>
          <w:szCs w:val="20"/>
          <w:lang w:val="en-US"/>
        </w:rPr>
        <w:t xml:space="preserve"> Review of applications per Municipal</w:t>
      </w:r>
      <w:r w:rsidR="00612896" w:rsidRPr="002E6808">
        <w:rPr>
          <w:rFonts w:ascii="Arial" w:hAnsi="Arial" w:cs="Arial"/>
          <w:sz w:val="20"/>
          <w:szCs w:val="20"/>
          <w:lang w:val="en-US"/>
        </w:rPr>
        <w:t>i</w:t>
      </w:r>
      <w:r w:rsidRPr="002E6808">
        <w:rPr>
          <w:rFonts w:ascii="Arial" w:hAnsi="Arial" w:cs="Arial"/>
          <w:sz w:val="20"/>
          <w:szCs w:val="20"/>
          <w:lang w:val="en-US"/>
        </w:rPr>
        <w:t>ties</w:t>
      </w:r>
      <w:bookmarkEnd w:id="53"/>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170"/>
        <w:gridCol w:w="1260"/>
        <w:gridCol w:w="1080"/>
        <w:gridCol w:w="1350"/>
        <w:gridCol w:w="1440"/>
        <w:gridCol w:w="1260"/>
      </w:tblGrid>
      <w:tr w:rsidR="003136C5" w:rsidRPr="009C5096" w:rsidTr="002E6808">
        <w:trPr>
          <w:trHeight w:val="255"/>
        </w:trPr>
        <w:tc>
          <w:tcPr>
            <w:tcW w:w="1795" w:type="dxa"/>
            <w:vMerge w:val="restart"/>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Municipality</w:t>
            </w:r>
          </w:p>
        </w:tc>
        <w:tc>
          <w:tcPr>
            <w:tcW w:w="3510" w:type="dxa"/>
            <w:gridSpan w:val="3"/>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No. of applications</w:t>
            </w:r>
          </w:p>
        </w:tc>
        <w:tc>
          <w:tcPr>
            <w:tcW w:w="4050" w:type="dxa"/>
            <w:gridSpan w:val="3"/>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Total public expenditure in EUR</w:t>
            </w:r>
          </w:p>
        </w:tc>
      </w:tr>
      <w:tr w:rsidR="003136C5" w:rsidRPr="009C5096" w:rsidTr="002E6808">
        <w:trPr>
          <w:trHeight w:val="255"/>
        </w:trPr>
        <w:tc>
          <w:tcPr>
            <w:tcW w:w="1795" w:type="dxa"/>
            <w:vMerge/>
            <w:shd w:val="clear" w:color="auto" w:fill="auto"/>
            <w:vAlign w:val="center"/>
            <w:hideMark/>
          </w:tcPr>
          <w:p w:rsidR="003136C5" w:rsidRPr="009C5096" w:rsidRDefault="003136C5" w:rsidP="00612896">
            <w:pPr>
              <w:rPr>
                <w:rFonts w:ascii="Arial" w:hAnsi="Arial" w:cs="Arial"/>
                <w:sz w:val="20"/>
                <w:szCs w:val="20"/>
              </w:rPr>
            </w:pPr>
          </w:p>
        </w:tc>
        <w:tc>
          <w:tcPr>
            <w:tcW w:w="117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received</w:t>
            </w:r>
          </w:p>
        </w:tc>
        <w:tc>
          <w:tcPr>
            <w:tcW w:w="126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contracted</w:t>
            </w:r>
          </w:p>
        </w:tc>
        <w:tc>
          <w:tcPr>
            <w:tcW w:w="108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paid</w:t>
            </w:r>
          </w:p>
        </w:tc>
        <w:tc>
          <w:tcPr>
            <w:tcW w:w="135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received</w:t>
            </w:r>
          </w:p>
        </w:tc>
        <w:tc>
          <w:tcPr>
            <w:tcW w:w="144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contracted</w:t>
            </w:r>
          </w:p>
        </w:tc>
        <w:tc>
          <w:tcPr>
            <w:tcW w:w="1260" w:type="dxa"/>
            <w:shd w:val="clear" w:color="auto" w:fill="auto"/>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paid</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Resen</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213</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166</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30</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2</w:t>
            </w:r>
            <w:r w:rsidR="00612896" w:rsidRPr="009C5096">
              <w:rPr>
                <w:rFonts w:ascii="Arial" w:hAnsi="Arial" w:cs="Arial"/>
                <w:sz w:val="20"/>
                <w:szCs w:val="20"/>
              </w:rPr>
              <w:t>,</w:t>
            </w:r>
            <w:r w:rsidRPr="009C5096">
              <w:rPr>
                <w:rFonts w:ascii="Arial" w:hAnsi="Arial" w:cs="Arial"/>
                <w:sz w:val="20"/>
                <w:szCs w:val="20"/>
              </w:rPr>
              <w:t>549</w:t>
            </w:r>
            <w:r w:rsidR="00612896" w:rsidRPr="009C5096">
              <w:rPr>
                <w:rFonts w:ascii="Arial" w:hAnsi="Arial" w:cs="Arial"/>
                <w:sz w:val="20"/>
                <w:szCs w:val="20"/>
              </w:rPr>
              <w:t>,</w:t>
            </w:r>
            <w:r w:rsidRPr="009C5096">
              <w:rPr>
                <w:rFonts w:ascii="Arial" w:hAnsi="Arial" w:cs="Arial"/>
                <w:sz w:val="20"/>
                <w:szCs w:val="20"/>
              </w:rPr>
              <w:t>515</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w:t>
            </w:r>
            <w:r w:rsidR="00612896" w:rsidRPr="009C5096">
              <w:rPr>
                <w:rFonts w:ascii="Arial" w:hAnsi="Arial" w:cs="Arial"/>
                <w:sz w:val="20"/>
                <w:szCs w:val="20"/>
              </w:rPr>
              <w:t>,</w:t>
            </w:r>
            <w:r w:rsidRPr="009C5096">
              <w:rPr>
                <w:rFonts w:ascii="Arial" w:hAnsi="Arial" w:cs="Arial"/>
                <w:sz w:val="20"/>
                <w:szCs w:val="20"/>
              </w:rPr>
              <w:t>348</w:t>
            </w:r>
            <w:r w:rsidR="00612896" w:rsidRPr="009C5096">
              <w:rPr>
                <w:rFonts w:ascii="Arial" w:hAnsi="Arial" w:cs="Arial"/>
                <w:sz w:val="20"/>
                <w:szCs w:val="20"/>
              </w:rPr>
              <w:t>,</w:t>
            </w:r>
            <w:r w:rsidRPr="009C5096">
              <w:rPr>
                <w:rFonts w:ascii="Arial" w:hAnsi="Arial" w:cs="Arial"/>
                <w:sz w:val="20"/>
                <w:szCs w:val="20"/>
              </w:rPr>
              <w:t>695</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207</w:t>
            </w:r>
            <w:r w:rsidR="00612896" w:rsidRPr="009C5096">
              <w:rPr>
                <w:rFonts w:ascii="Arial" w:hAnsi="Arial" w:cs="Arial"/>
                <w:sz w:val="20"/>
                <w:szCs w:val="20"/>
              </w:rPr>
              <w:t>,</w:t>
            </w:r>
            <w:r w:rsidRPr="009C5096">
              <w:rPr>
                <w:rFonts w:ascii="Arial" w:hAnsi="Arial" w:cs="Arial"/>
                <w:sz w:val="20"/>
                <w:szCs w:val="20"/>
              </w:rPr>
              <w:t>510</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Mogila</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124</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89</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14</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w:t>
            </w:r>
            <w:r w:rsidR="00612896" w:rsidRPr="009C5096">
              <w:rPr>
                <w:rFonts w:ascii="Arial" w:hAnsi="Arial" w:cs="Arial"/>
                <w:sz w:val="20"/>
                <w:szCs w:val="20"/>
              </w:rPr>
              <w:t>,</w:t>
            </w:r>
            <w:r w:rsidRPr="009C5096">
              <w:rPr>
                <w:rFonts w:ascii="Arial" w:hAnsi="Arial" w:cs="Arial"/>
                <w:sz w:val="20"/>
                <w:szCs w:val="20"/>
              </w:rPr>
              <w:t>422</w:t>
            </w:r>
            <w:r w:rsidR="00612896" w:rsidRPr="009C5096">
              <w:rPr>
                <w:rFonts w:ascii="Arial" w:hAnsi="Arial" w:cs="Arial"/>
                <w:sz w:val="20"/>
                <w:szCs w:val="20"/>
              </w:rPr>
              <w:t>,</w:t>
            </w:r>
            <w:r w:rsidRPr="009C5096">
              <w:rPr>
                <w:rFonts w:ascii="Arial" w:hAnsi="Arial" w:cs="Arial"/>
                <w:sz w:val="20"/>
                <w:szCs w:val="20"/>
              </w:rPr>
              <w:t>626</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562</w:t>
            </w:r>
            <w:r w:rsidR="00612896" w:rsidRPr="009C5096">
              <w:rPr>
                <w:rFonts w:ascii="Arial" w:hAnsi="Arial" w:cs="Arial"/>
                <w:sz w:val="20"/>
                <w:szCs w:val="20"/>
              </w:rPr>
              <w:t>,</w:t>
            </w:r>
            <w:r w:rsidRPr="009C5096">
              <w:rPr>
                <w:rFonts w:ascii="Arial" w:hAnsi="Arial" w:cs="Arial"/>
                <w:sz w:val="20"/>
                <w:szCs w:val="20"/>
              </w:rPr>
              <w:t>492</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62</w:t>
            </w:r>
            <w:r w:rsidR="00612896" w:rsidRPr="009C5096">
              <w:rPr>
                <w:rFonts w:ascii="Arial" w:hAnsi="Arial" w:cs="Arial"/>
                <w:sz w:val="20"/>
                <w:szCs w:val="20"/>
              </w:rPr>
              <w:t>,</w:t>
            </w:r>
            <w:r w:rsidRPr="009C5096">
              <w:rPr>
                <w:rFonts w:ascii="Arial" w:hAnsi="Arial" w:cs="Arial"/>
                <w:sz w:val="20"/>
                <w:szCs w:val="20"/>
              </w:rPr>
              <w:t>657</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Bitola</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112</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72</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4</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w:t>
            </w:r>
            <w:r w:rsidR="00612896" w:rsidRPr="009C5096">
              <w:rPr>
                <w:rFonts w:ascii="Arial" w:hAnsi="Arial" w:cs="Arial"/>
                <w:sz w:val="20"/>
                <w:szCs w:val="20"/>
              </w:rPr>
              <w:t>,</w:t>
            </w:r>
            <w:r w:rsidRPr="009C5096">
              <w:rPr>
                <w:rFonts w:ascii="Arial" w:hAnsi="Arial" w:cs="Arial"/>
                <w:sz w:val="20"/>
                <w:szCs w:val="20"/>
              </w:rPr>
              <w:t>981</w:t>
            </w:r>
            <w:r w:rsidR="00612896" w:rsidRPr="009C5096">
              <w:rPr>
                <w:rFonts w:ascii="Arial" w:hAnsi="Arial" w:cs="Arial"/>
                <w:sz w:val="20"/>
                <w:szCs w:val="20"/>
              </w:rPr>
              <w:t>,</w:t>
            </w:r>
            <w:r w:rsidRPr="009C5096">
              <w:rPr>
                <w:rFonts w:ascii="Arial" w:hAnsi="Arial" w:cs="Arial"/>
                <w:sz w:val="20"/>
                <w:szCs w:val="20"/>
              </w:rPr>
              <w:t>335</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887</w:t>
            </w:r>
            <w:r w:rsidR="00612896" w:rsidRPr="009C5096">
              <w:rPr>
                <w:rFonts w:ascii="Arial" w:hAnsi="Arial" w:cs="Arial"/>
                <w:sz w:val="20"/>
                <w:szCs w:val="20"/>
              </w:rPr>
              <w:t>,</w:t>
            </w:r>
            <w:r w:rsidRPr="009C5096">
              <w:rPr>
                <w:rFonts w:ascii="Arial" w:hAnsi="Arial" w:cs="Arial"/>
                <w:sz w:val="20"/>
                <w:szCs w:val="20"/>
              </w:rPr>
              <w:t>787</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19</w:t>
            </w:r>
            <w:r w:rsidR="00612896" w:rsidRPr="009C5096">
              <w:rPr>
                <w:rFonts w:ascii="Arial" w:hAnsi="Arial" w:cs="Arial"/>
                <w:sz w:val="20"/>
                <w:szCs w:val="20"/>
              </w:rPr>
              <w:t>,</w:t>
            </w:r>
            <w:r w:rsidRPr="009C5096">
              <w:rPr>
                <w:rFonts w:ascii="Arial" w:hAnsi="Arial" w:cs="Arial"/>
                <w:sz w:val="20"/>
                <w:szCs w:val="20"/>
              </w:rPr>
              <w:t>470</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Prilep</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84</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41</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5</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868</w:t>
            </w:r>
            <w:r w:rsidR="00612896" w:rsidRPr="009C5096">
              <w:rPr>
                <w:rFonts w:ascii="Arial" w:hAnsi="Arial" w:cs="Arial"/>
                <w:sz w:val="20"/>
                <w:szCs w:val="20"/>
              </w:rPr>
              <w:t>,</w:t>
            </w:r>
            <w:r w:rsidRPr="009C5096">
              <w:rPr>
                <w:rFonts w:ascii="Arial" w:hAnsi="Arial" w:cs="Arial"/>
                <w:sz w:val="20"/>
                <w:szCs w:val="20"/>
              </w:rPr>
              <w:t>771</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349</w:t>
            </w:r>
            <w:r w:rsidR="00612896" w:rsidRPr="009C5096">
              <w:rPr>
                <w:rFonts w:ascii="Arial" w:hAnsi="Arial" w:cs="Arial"/>
                <w:sz w:val="20"/>
                <w:szCs w:val="20"/>
              </w:rPr>
              <w:t>,</w:t>
            </w:r>
            <w:r w:rsidRPr="009C5096">
              <w:rPr>
                <w:rFonts w:ascii="Arial" w:hAnsi="Arial" w:cs="Arial"/>
                <w:sz w:val="20"/>
                <w:szCs w:val="20"/>
              </w:rPr>
              <w:t>461</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143</w:t>
            </w:r>
            <w:r w:rsidR="00612896" w:rsidRPr="009C5096">
              <w:rPr>
                <w:rFonts w:ascii="Arial" w:hAnsi="Arial" w:cs="Arial"/>
                <w:sz w:val="20"/>
                <w:szCs w:val="20"/>
              </w:rPr>
              <w:t>,</w:t>
            </w:r>
            <w:r w:rsidRPr="009C5096">
              <w:rPr>
                <w:rFonts w:ascii="Arial" w:hAnsi="Arial" w:cs="Arial"/>
                <w:sz w:val="20"/>
                <w:szCs w:val="20"/>
              </w:rPr>
              <w:t>447</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Negotino</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74</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48</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8</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2</w:t>
            </w:r>
            <w:r w:rsidR="00612896" w:rsidRPr="009C5096">
              <w:rPr>
                <w:rFonts w:ascii="Arial" w:hAnsi="Arial" w:cs="Arial"/>
                <w:sz w:val="20"/>
                <w:szCs w:val="20"/>
              </w:rPr>
              <w:t>,</w:t>
            </w:r>
            <w:r w:rsidRPr="009C5096">
              <w:rPr>
                <w:rFonts w:ascii="Arial" w:hAnsi="Arial" w:cs="Arial"/>
                <w:sz w:val="20"/>
                <w:szCs w:val="20"/>
              </w:rPr>
              <w:t>618</w:t>
            </w:r>
            <w:r w:rsidR="00612896" w:rsidRPr="009C5096">
              <w:rPr>
                <w:rFonts w:ascii="Arial" w:hAnsi="Arial" w:cs="Arial"/>
                <w:sz w:val="20"/>
                <w:szCs w:val="20"/>
              </w:rPr>
              <w:t>,</w:t>
            </w:r>
            <w:r w:rsidRPr="009C5096">
              <w:rPr>
                <w:rFonts w:ascii="Arial" w:hAnsi="Arial" w:cs="Arial"/>
                <w:sz w:val="20"/>
                <w:szCs w:val="20"/>
              </w:rPr>
              <w:t>895</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292</w:t>
            </w:r>
            <w:r w:rsidR="00612896" w:rsidRPr="009C5096">
              <w:rPr>
                <w:rFonts w:ascii="Arial" w:hAnsi="Arial" w:cs="Arial"/>
                <w:sz w:val="20"/>
                <w:szCs w:val="20"/>
              </w:rPr>
              <w:t>,</w:t>
            </w:r>
            <w:r w:rsidRPr="009C5096">
              <w:rPr>
                <w:rFonts w:ascii="Arial" w:hAnsi="Arial" w:cs="Arial"/>
                <w:sz w:val="20"/>
                <w:szCs w:val="20"/>
              </w:rPr>
              <w:t>525</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15</w:t>
            </w:r>
            <w:r w:rsidR="00612896" w:rsidRPr="009C5096">
              <w:rPr>
                <w:rFonts w:ascii="Arial" w:hAnsi="Arial" w:cs="Arial"/>
                <w:sz w:val="20"/>
                <w:szCs w:val="20"/>
              </w:rPr>
              <w:t>,</w:t>
            </w:r>
            <w:r w:rsidRPr="009C5096">
              <w:rPr>
                <w:rFonts w:ascii="Arial" w:hAnsi="Arial" w:cs="Arial"/>
                <w:sz w:val="20"/>
                <w:szCs w:val="20"/>
              </w:rPr>
              <w:t>748</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Novaci</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53</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38</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3</w:t>
            </w:r>
            <w:r w:rsidR="00612896" w:rsidRPr="009C5096">
              <w:rPr>
                <w:rFonts w:ascii="Arial" w:hAnsi="Arial" w:cs="Arial"/>
                <w:sz w:val="20"/>
                <w:szCs w:val="20"/>
              </w:rPr>
              <w:t>,</w:t>
            </w:r>
            <w:r w:rsidRPr="009C5096">
              <w:rPr>
                <w:rFonts w:ascii="Arial" w:hAnsi="Arial" w:cs="Arial"/>
                <w:sz w:val="20"/>
                <w:szCs w:val="20"/>
              </w:rPr>
              <w:t>122</w:t>
            </w:r>
            <w:r w:rsidR="00612896" w:rsidRPr="009C5096">
              <w:rPr>
                <w:rFonts w:ascii="Arial" w:hAnsi="Arial" w:cs="Arial"/>
                <w:sz w:val="20"/>
                <w:szCs w:val="20"/>
              </w:rPr>
              <w:t>,</w:t>
            </w:r>
            <w:r w:rsidRPr="009C5096">
              <w:rPr>
                <w:rFonts w:ascii="Arial" w:hAnsi="Arial" w:cs="Arial"/>
                <w:sz w:val="20"/>
                <w:szCs w:val="20"/>
              </w:rPr>
              <w:t>449</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242</w:t>
            </w:r>
            <w:r w:rsidR="00612896" w:rsidRPr="009C5096">
              <w:rPr>
                <w:rFonts w:ascii="Arial" w:hAnsi="Arial" w:cs="Arial"/>
                <w:sz w:val="20"/>
                <w:szCs w:val="20"/>
              </w:rPr>
              <w:t>,</w:t>
            </w:r>
            <w:r w:rsidRPr="009C5096">
              <w:rPr>
                <w:rFonts w:ascii="Arial" w:hAnsi="Arial" w:cs="Arial"/>
                <w:sz w:val="20"/>
                <w:szCs w:val="20"/>
              </w:rPr>
              <w:t>380</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6</w:t>
            </w:r>
            <w:r w:rsidR="00612896" w:rsidRPr="009C5096">
              <w:rPr>
                <w:rFonts w:ascii="Arial" w:hAnsi="Arial" w:cs="Arial"/>
                <w:sz w:val="20"/>
                <w:szCs w:val="20"/>
              </w:rPr>
              <w:t>,</w:t>
            </w:r>
            <w:r w:rsidRPr="009C5096">
              <w:rPr>
                <w:rFonts w:ascii="Arial" w:hAnsi="Arial" w:cs="Arial"/>
                <w:sz w:val="20"/>
                <w:szCs w:val="20"/>
              </w:rPr>
              <w:t>759</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Kavadarci</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51</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39</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9</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2</w:t>
            </w:r>
            <w:r w:rsidR="00612896" w:rsidRPr="009C5096">
              <w:rPr>
                <w:rFonts w:ascii="Arial" w:hAnsi="Arial" w:cs="Arial"/>
                <w:sz w:val="20"/>
                <w:szCs w:val="20"/>
              </w:rPr>
              <w:t>,</w:t>
            </w:r>
            <w:r w:rsidRPr="009C5096">
              <w:rPr>
                <w:rFonts w:ascii="Arial" w:hAnsi="Arial" w:cs="Arial"/>
                <w:sz w:val="20"/>
                <w:szCs w:val="20"/>
              </w:rPr>
              <w:t>827</w:t>
            </w:r>
            <w:r w:rsidR="00612896" w:rsidRPr="009C5096">
              <w:rPr>
                <w:rFonts w:ascii="Arial" w:hAnsi="Arial" w:cs="Arial"/>
                <w:sz w:val="20"/>
                <w:szCs w:val="20"/>
              </w:rPr>
              <w:t>,</w:t>
            </w:r>
            <w:r w:rsidRPr="009C5096">
              <w:rPr>
                <w:rFonts w:ascii="Arial" w:hAnsi="Arial" w:cs="Arial"/>
                <w:sz w:val="20"/>
                <w:szCs w:val="20"/>
              </w:rPr>
              <w:t>988</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178</w:t>
            </w:r>
            <w:r w:rsidR="00612896" w:rsidRPr="009C5096">
              <w:rPr>
                <w:rFonts w:ascii="Arial" w:hAnsi="Arial" w:cs="Arial"/>
                <w:sz w:val="20"/>
                <w:szCs w:val="20"/>
              </w:rPr>
              <w:t>,</w:t>
            </w:r>
            <w:r w:rsidRPr="009C5096">
              <w:rPr>
                <w:rFonts w:ascii="Arial" w:hAnsi="Arial" w:cs="Arial"/>
                <w:sz w:val="20"/>
                <w:szCs w:val="20"/>
              </w:rPr>
              <w:t>317</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16</w:t>
            </w:r>
            <w:r w:rsidR="00612896" w:rsidRPr="009C5096">
              <w:rPr>
                <w:rFonts w:ascii="Arial" w:hAnsi="Arial" w:cs="Arial"/>
                <w:sz w:val="20"/>
                <w:szCs w:val="20"/>
              </w:rPr>
              <w:t>,</w:t>
            </w:r>
            <w:r w:rsidRPr="009C5096">
              <w:rPr>
                <w:rFonts w:ascii="Arial" w:hAnsi="Arial" w:cs="Arial"/>
                <w:sz w:val="20"/>
                <w:szCs w:val="20"/>
              </w:rPr>
              <w:t>378</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Dolneni</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48</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26</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878</w:t>
            </w:r>
            <w:r w:rsidR="00612896" w:rsidRPr="009C5096">
              <w:rPr>
                <w:rFonts w:ascii="Arial" w:hAnsi="Arial" w:cs="Arial"/>
                <w:sz w:val="20"/>
                <w:szCs w:val="20"/>
              </w:rPr>
              <w:t>,</w:t>
            </w:r>
            <w:r w:rsidRPr="009C5096">
              <w:rPr>
                <w:rFonts w:ascii="Arial" w:hAnsi="Arial" w:cs="Arial"/>
                <w:sz w:val="20"/>
                <w:szCs w:val="20"/>
              </w:rPr>
              <w:t>005</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533</w:t>
            </w:r>
            <w:r w:rsidR="00612896" w:rsidRPr="009C5096">
              <w:rPr>
                <w:rFonts w:ascii="Arial" w:hAnsi="Arial" w:cs="Arial"/>
                <w:sz w:val="20"/>
                <w:szCs w:val="20"/>
              </w:rPr>
              <w:t>,</w:t>
            </w:r>
            <w:r w:rsidRPr="009C5096">
              <w:rPr>
                <w:rFonts w:ascii="Arial" w:hAnsi="Arial" w:cs="Arial"/>
                <w:sz w:val="20"/>
                <w:szCs w:val="20"/>
              </w:rPr>
              <w:t>644</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21</w:t>
            </w:r>
            <w:r w:rsidR="00612896" w:rsidRPr="009C5096">
              <w:rPr>
                <w:rFonts w:ascii="Arial" w:hAnsi="Arial" w:cs="Arial"/>
                <w:sz w:val="20"/>
                <w:szCs w:val="20"/>
              </w:rPr>
              <w:t>,</w:t>
            </w:r>
            <w:r w:rsidRPr="009C5096">
              <w:rPr>
                <w:rFonts w:ascii="Arial" w:hAnsi="Arial" w:cs="Arial"/>
                <w:sz w:val="20"/>
                <w:szCs w:val="20"/>
              </w:rPr>
              <w:t>878</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Veles</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48</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23</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w:t>
            </w:r>
            <w:r w:rsidR="00612896" w:rsidRPr="009C5096">
              <w:rPr>
                <w:rFonts w:ascii="Arial" w:hAnsi="Arial" w:cs="Arial"/>
                <w:sz w:val="20"/>
                <w:szCs w:val="20"/>
              </w:rPr>
              <w:t>,</w:t>
            </w:r>
            <w:r w:rsidRPr="009C5096">
              <w:rPr>
                <w:rFonts w:ascii="Arial" w:hAnsi="Arial" w:cs="Arial"/>
                <w:sz w:val="20"/>
                <w:szCs w:val="20"/>
              </w:rPr>
              <w:t>719</w:t>
            </w:r>
            <w:r w:rsidR="00612896" w:rsidRPr="009C5096">
              <w:rPr>
                <w:rFonts w:ascii="Arial" w:hAnsi="Arial" w:cs="Arial"/>
                <w:sz w:val="20"/>
                <w:szCs w:val="20"/>
              </w:rPr>
              <w:t>,</w:t>
            </w:r>
            <w:r w:rsidRPr="009C5096">
              <w:rPr>
                <w:rFonts w:ascii="Arial" w:hAnsi="Arial" w:cs="Arial"/>
                <w:sz w:val="20"/>
                <w:szCs w:val="20"/>
              </w:rPr>
              <w:t>844</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372</w:t>
            </w:r>
            <w:r w:rsidR="00612896" w:rsidRPr="009C5096">
              <w:rPr>
                <w:rFonts w:ascii="Arial" w:hAnsi="Arial" w:cs="Arial"/>
                <w:sz w:val="20"/>
                <w:szCs w:val="20"/>
              </w:rPr>
              <w:t>,</w:t>
            </w:r>
            <w:r w:rsidRPr="009C5096">
              <w:rPr>
                <w:rFonts w:ascii="Arial" w:hAnsi="Arial" w:cs="Arial"/>
                <w:sz w:val="20"/>
                <w:szCs w:val="20"/>
              </w:rPr>
              <w:t>523</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5</w:t>
            </w:r>
            <w:r w:rsidR="00612896" w:rsidRPr="009C5096">
              <w:rPr>
                <w:rFonts w:ascii="Arial" w:hAnsi="Arial" w:cs="Arial"/>
                <w:sz w:val="20"/>
                <w:szCs w:val="20"/>
              </w:rPr>
              <w:t>,</w:t>
            </w:r>
            <w:r w:rsidRPr="009C5096">
              <w:rPr>
                <w:rFonts w:ascii="Arial" w:hAnsi="Arial" w:cs="Arial"/>
                <w:sz w:val="20"/>
                <w:szCs w:val="20"/>
              </w:rPr>
              <w:t>842</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Kumanovo</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47</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25</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w:t>
            </w:r>
            <w:r w:rsidR="00612896" w:rsidRPr="009C5096">
              <w:rPr>
                <w:rFonts w:ascii="Arial" w:hAnsi="Arial" w:cs="Arial"/>
                <w:sz w:val="20"/>
                <w:szCs w:val="20"/>
              </w:rPr>
              <w:t>,</w:t>
            </w:r>
            <w:r w:rsidRPr="009C5096">
              <w:rPr>
                <w:rFonts w:ascii="Arial" w:hAnsi="Arial" w:cs="Arial"/>
                <w:sz w:val="20"/>
                <w:szCs w:val="20"/>
              </w:rPr>
              <w:t>230</w:t>
            </w:r>
            <w:r w:rsidR="00612896" w:rsidRPr="009C5096">
              <w:rPr>
                <w:rFonts w:ascii="Arial" w:hAnsi="Arial" w:cs="Arial"/>
                <w:sz w:val="20"/>
                <w:szCs w:val="20"/>
              </w:rPr>
              <w:t>,</w:t>
            </w:r>
            <w:r w:rsidRPr="009C5096">
              <w:rPr>
                <w:rFonts w:ascii="Arial" w:hAnsi="Arial" w:cs="Arial"/>
                <w:sz w:val="20"/>
                <w:szCs w:val="20"/>
              </w:rPr>
              <w:t>098</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248</w:t>
            </w:r>
            <w:r w:rsidR="00612896" w:rsidRPr="009C5096">
              <w:rPr>
                <w:rFonts w:ascii="Arial" w:hAnsi="Arial" w:cs="Arial"/>
                <w:sz w:val="20"/>
                <w:szCs w:val="20"/>
              </w:rPr>
              <w:t>,</w:t>
            </w:r>
            <w:r w:rsidRPr="009C5096">
              <w:rPr>
                <w:rFonts w:ascii="Arial" w:hAnsi="Arial" w:cs="Arial"/>
                <w:sz w:val="20"/>
                <w:szCs w:val="20"/>
              </w:rPr>
              <w:t>292</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7</w:t>
            </w:r>
            <w:r w:rsidR="00612896" w:rsidRPr="009C5096">
              <w:rPr>
                <w:rFonts w:ascii="Arial" w:hAnsi="Arial" w:cs="Arial"/>
                <w:sz w:val="20"/>
                <w:szCs w:val="20"/>
              </w:rPr>
              <w:t>,</w:t>
            </w:r>
            <w:r w:rsidRPr="009C5096">
              <w:rPr>
                <w:rFonts w:ascii="Arial" w:hAnsi="Arial" w:cs="Arial"/>
                <w:sz w:val="20"/>
                <w:szCs w:val="20"/>
              </w:rPr>
              <w:t>109</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Rosoman</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42</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29</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7</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558</w:t>
            </w:r>
            <w:r w:rsidR="00612896" w:rsidRPr="009C5096">
              <w:rPr>
                <w:rFonts w:ascii="Arial" w:hAnsi="Arial" w:cs="Arial"/>
                <w:sz w:val="20"/>
                <w:szCs w:val="20"/>
              </w:rPr>
              <w:t>,</w:t>
            </w:r>
            <w:r w:rsidRPr="009C5096">
              <w:rPr>
                <w:rFonts w:ascii="Arial" w:hAnsi="Arial" w:cs="Arial"/>
                <w:sz w:val="20"/>
                <w:szCs w:val="20"/>
              </w:rPr>
              <w:t>706</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322</w:t>
            </w:r>
            <w:r w:rsidR="00612896" w:rsidRPr="009C5096">
              <w:rPr>
                <w:rFonts w:ascii="Arial" w:hAnsi="Arial" w:cs="Arial"/>
                <w:sz w:val="20"/>
                <w:szCs w:val="20"/>
              </w:rPr>
              <w:t>,</w:t>
            </w:r>
            <w:r w:rsidRPr="009C5096">
              <w:rPr>
                <w:rFonts w:ascii="Arial" w:hAnsi="Arial" w:cs="Arial"/>
                <w:sz w:val="20"/>
                <w:szCs w:val="20"/>
              </w:rPr>
              <w:t>759</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14</w:t>
            </w:r>
            <w:r w:rsidR="00612896" w:rsidRPr="009C5096">
              <w:rPr>
                <w:rFonts w:ascii="Arial" w:hAnsi="Arial" w:cs="Arial"/>
                <w:sz w:val="20"/>
                <w:szCs w:val="20"/>
              </w:rPr>
              <w:t>,</w:t>
            </w:r>
            <w:r w:rsidRPr="009C5096">
              <w:rPr>
                <w:rFonts w:ascii="Arial" w:hAnsi="Arial" w:cs="Arial"/>
                <w:sz w:val="20"/>
                <w:szCs w:val="20"/>
              </w:rPr>
              <w:t>922</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Krivogastani</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38</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20</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327</w:t>
            </w:r>
            <w:r w:rsidR="00612896" w:rsidRPr="009C5096">
              <w:rPr>
                <w:rFonts w:ascii="Arial" w:hAnsi="Arial" w:cs="Arial"/>
                <w:sz w:val="20"/>
                <w:szCs w:val="20"/>
              </w:rPr>
              <w:t>,</w:t>
            </w:r>
            <w:r w:rsidRPr="009C5096">
              <w:rPr>
                <w:rFonts w:ascii="Arial" w:hAnsi="Arial" w:cs="Arial"/>
                <w:sz w:val="20"/>
                <w:szCs w:val="20"/>
              </w:rPr>
              <w:t>507</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121</w:t>
            </w:r>
            <w:r w:rsidR="00612896" w:rsidRPr="009C5096">
              <w:rPr>
                <w:rFonts w:ascii="Arial" w:hAnsi="Arial" w:cs="Arial"/>
                <w:sz w:val="20"/>
                <w:szCs w:val="20"/>
              </w:rPr>
              <w:t>,</w:t>
            </w:r>
            <w:r w:rsidRPr="009C5096">
              <w:rPr>
                <w:rFonts w:ascii="Arial" w:hAnsi="Arial" w:cs="Arial"/>
                <w:sz w:val="20"/>
                <w:szCs w:val="20"/>
              </w:rPr>
              <w:t>945</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w:t>
            </w:r>
            <w:r w:rsidR="00612896" w:rsidRPr="009C5096">
              <w:rPr>
                <w:rFonts w:ascii="Arial" w:hAnsi="Arial" w:cs="Arial"/>
                <w:sz w:val="20"/>
                <w:szCs w:val="20"/>
              </w:rPr>
              <w:t>,</w:t>
            </w:r>
            <w:r w:rsidRPr="009C5096">
              <w:rPr>
                <w:rFonts w:ascii="Arial" w:hAnsi="Arial" w:cs="Arial"/>
                <w:sz w:val="20"/>
                <w:szCs w:val="20"/>
              </w:rPr>
              <w:t>277</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Sveti Nikole</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36</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21</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692</w:t>
            </w:r>
            <w:r w:rsidR="00612896" w:rsidRPr="009C5096">
              <w:rPr>
                <w:rFonts w:ascii="Arial" w:hAnsi="Arial" w:cs="Arial"/>
                <w:sz w:val="20"/>
                <w:szCs w:val="20"/>
              </w:rPr>
              <w:t>,</w:t>
            </w:r>
            <w:r w:rsidRPr="009C5096">
              <w:rPr>
                <w:rFonts w:ascii="Arial" w:hAnsi="Arial" w:cs="Arial"/>
                <w:sz w:val="20"/>
                <w:szCs w:val="20"/>
              </w:rPr>
              <w:t>622</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181</w:t>
            </w:r>
            <w:r w:rsidR="00612896" w:rsidRPr="009C5096">
              <w:rPr>
                <w:rFonts w:ascii="Arial" w:hAnsi="Arial" w:cs="Arial"/>
                <w:sz w:val="20"/>
                <w:szCs w:val="20"/>
              </w:rPr>
              <w:t>,</w:t>
            </w:r>
            <w:r w:rsidRPr="009C5096">
              <w:rPr>
                <w:rFonts w:ascii="Arial" w:hAnsi="Arial" w:cs="Arial"/>
                <w:sz w:val="20"/>
                <w:szCs w:val="20"/>
              </w:rPr>
              <w:t>612</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50</w:t>
            </w:r>
            <w:r w:rsidR="00612896" w:rsidRPr="009C5096">
              <w:rPr>
                <w:rFonts w:ascii="Arial" w:hAnsi="Arial" w:cs="Arial"/>
                <w:sz w:val="20"/>
                <w:szCs w:val="20"/>
              </w:rPr>
              <w:t>,</w:t>
            </w:r>
            <w:r w:rsidRPr="009C5096">
              <w:rPr>
                <w:rFonts w:ascii="Arial" w:hAnsi="Arial" w:cs="Arial"/>
                <w:sz w:val="20"/>
                <w:szCs w:val="20"/>
              </w:rPr>
              <w:t>715</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Debarca</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35</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18</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w:t>
            </w:r>
            <w:r w:rsidR="00612896" w:rsidRPr="009C5096">
              <w:rPr>
                <w:rFonts w:ascii="Arial" w:hAnsi="Arial" w:cs="Arial"/>
                <w:sz w:val="20"/>
                <w:szCs w:val="20"/>
              </w:rPr>
              <w:t>,</w:t>
            </w:r>
            <w:r w:rsidRPr="009C5096">
              <w:rPr>
                <w:rFonts w:ascii="Arial" w:hAnsi="Arial" w:cs="Arial"/>
                <w:sz w:val="20"/>
                <w:szCs w:val="20"/>
              </w:rPr>
              <w:t>552</w:t>
            </w:r>
            <w:r w:rsidR="00612896" w:rsidRPr="009C5096">
              <w:rPr>
                <w:rFonts w:ascii="Arial" w:hAnsi="Arial" w:cs="Arial"/>
                <w:sz w:val="20"/>
                <w:szCs w:val="20"/>
              </w:rPr>
              <w:t>,</w:t>
            </w:r>
            <w:r w:rsidRPr="009C5096">
              <w:rPr>
                <w:rFonts w:ascii="Arial" w:hAnsi="Arial" w:cs="Arial"/>
                <w:sz w:val="20"/>
                <w:szCs w:val="20"/>
              </w:rPr>
              <w:t>488</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137</w:t>
            </w:r>
            <w:r w:rsidR="00612896" w:rsidRPr="009C5096">
              <w:rPr>
                <w:rFonts w:ascii="Arial" w:hAnsi="Arial" w:cs="Arial"/>
                <w:sz w:val="20"/>
                <w:szCs w:val="20"/>
              </w:rPr>
              <w:t>,</w:t>
            </w:r>
            <w:r w:rsidRPr="009C5096">
              <w:rPr>
                <w:rFonts w:ascii="Arial" w:hAnsi="Arial" w:cs="Arial"/>
                <w:sz w:val="20"/>
                <w:szCs w:val="20"/>
              </w:rPr>
              <w:t>292</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13</w:t>
            </w:r>
            <w:r w:rsidR="00612896" w:rsidRPr="009C5096">
              <w:rPr>
                <w:rFonts w:ascii="Arial" w:hAnsi="Arial" w:cs="Arial"/>
                <w:sz w:val="20"/>
                <w:szCs w:val="20"/>
              </w:rPr>
              <w:t>,</w:t>
            </w:r>
            <w:r w:rsidRPr="009C5096">
              <w:rPr>
                <w:rFonts w:ascii="Arial" w:hAnsi="Arial" w:cs="Arial"/>
                <w:sz w:val="20"/>
                <w:szCs w:val="20"/>
              </w:rPr>
              <w:t>183</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Caska</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33</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17</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270939</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110</w:t>
            </w:r>
            <w:r w:rsidR="00612896" w:rsidRPr="009C5096">
              <w:rPr>
                <w:rFonts w:ascii="Arial" w:hAnsi="Arial" w:cs="Arial"/>
                <w:sz w:val="20"/>
                <w:szCs w:val="20"/>
              </w:rPr>
              <w:t>,</w:t>
            </w:r>
            <w:r w:rsidRPr="009C5096">
              <w:rPr>
                <w:rFonts w:ascii="Arial" w:hAnsi="Arial" w:cs="Arial"/>
                <w:sz w:val="20"/>
                <w:szCs w:val="20"/>
              </w:rPr>
              <w:t>235</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5</w:t>
            </w:r>
            <w:r w:rsidR="00612896" w:rsidRPr="009C5096">
              <w:rPr>
                <w:rFonts w:ascii="Arial" w:hAnsi="Arial" w:cs="Arial"/>
                <w:sz w:val="20"/>
                <w:szCs w:val="20"/>
              </w:rPr>
              <w:t>,</w:t>
            </w:r>
            <w:r w:rsidRPr="009C5096">
              <w:rPr>
                <w:rFonts w:ascii="Arial" w:hAnsi="Arial" w:cs="Arial"/>
                <w:sz w:val="20"/>
                <w:szCs w:val="20"/>
              </w:rPr>
              <w:t>171</w:t>
            </w:r>
          </w:p>
        </w:tc>
      </w:tr>
      <w:tr w:rsidR="003136C5" w:rsidRPr="009C5096" w:rsidTr="002E6808">
        <w:trPr>
          <w:trHeight w:val="255"/>
        </w:trPr>
        <w:tc>
          <w:tcPr>
            <w:tcW w:w="1795" w:type="dxa"/>
            <w:shd w:val="clear" w:color="auto" w:fill="auto"/>
            <w:vAlign w:val="center"/>
            <w:hideMark/>
          </w:tcPr>
          <w:p w:rsidR="003136C5" w:rsidRPr="009C5096" w:rsidRDefault="003136C5" w:rsidP="00612896">
            <w:pPr>
              <w:rPr>
                <w:rFonts w:ascii="Arial" w:hAnsi="Arial" w:cs="Arial"/>
                <w:sz w:val="20"/>
                <w:szCs w:val="20"/>
              </w:rPr>
            </w:pPr>
            <w:r w:rsidRPr="009C5096">
              <w:rPr>
                <w:rFonts w:ascii="Arial" w:hAnsi="Arial" w:cs="Arial"/>
                <w:sz w:val="20"/>
                <w:szCs w:val="20"/>
              </w:rPr>
              <w:t>Lozovo</w:t>
            </w:r>
          </w:p>
        </w:tc>
        <w:tc>
          <w:tcPr>
            <w:tcW w:w="117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23</w:t>
            </w:r>
          </w:p>
        </w:tc>
        <w:tc>
          <w:tcPr>
            <w:tcW w:w="126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13</w:t>
            </w:r>
          </w:p>
        </w:tc>
        <w:tc>
          <w:tcPr>
            <w:tcW w:w="1080" w:type="dxa"/>
            <w:shd w:val="clear" w:color="auto" w:fill="auto"/>
            <w:noWrap/>
            <w:vAlign w:val="center"/>
            <w:hideMark/>
          </w:tcPr>
          <w:p w:rsidR="003136C5" w:rsidRPr="009C5096" w:rsidRDefault="003136C5" w:rsidP="00612896">
            <w:pPr>
              <w:jc w:val="center"/>
              <w:rPr>
                <w:rFonts w:ascii="Arial" w:hAnsi="Arial" w:cs="Arial"/>
                <w:sz w:val="20"/>
                <w:szCs w:val="20"/>
              </w:rPr>
            </w:pPr>
            <w:r w:rsidRPr="009C5096">
              <w:rPr>
                <w:rFonts w:ascii="Arial" w:hAnsi="Arial" w:cs="Arial"/>
                <w:sz w:val="20"/>
                <w:szCs w:val="20"/>
              </w:rPr>
              <w:t>1</w:t>
            </w:r>
          </w:p>
        </w:tc>
        <w:tc>
          <w:tcPr>
            <w:tcW w:w="135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1</w:t>
            </w:r>
            <w:r w:rsidR="00612896" w:rsidRPr="009C5096">
              <w:rPr>
                <w:rFonts w:ascii="Arial" w:hAnsi="Arial" w:cs="Arial"/>
                <w:sz w:val="20"/>
                <w:szCs w:val="20"/>
              </w:rPr>
              <w:t>,</w:t>
            </w:r>
            <w:r w:rsidRPr="009C5096">
              <w:rPr>
                <w:rFonts w:ascii="Arial" w:hAnsi="Arial" w:cs="Arial"/>
                <w:sz w:val="20"/>
                <w:szCs w:val="20"/>
              </w:rPr>
              <w:t>212</w:t>
            </w:r>
            <w:r w:rsidR="00612896" w:rsidRPr="009C5096">
              <w:rPr>
                <w:rFonts w:ascii="Arial" w:hAnsi="Arial" w:cs="Arial"/>
                <w:sz w:val="20"/>
                <w:szCs w:val="20"/>
              </w:rPr>
              <w:t>,</w:t>
            </w:r>
            <w:r w:rsidRPr="009C5096">
              <w:rPr>
                <w:rFonts w:ascii="Arial" w:hAnsi="Arial" w:cs="Arial"/>
                <w:sz w:val="20"/>
                <w:szCs w:val="20"/>
              </w:rPr>
              <w:t>163</w:t>
            </w:r>
          </w:p>
        </w:tc>
        <w:tc>
          <w:tcPr>
            <w:tcW w:w="144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754</w:t>
            </w:r>
            <w:r w:rsidR="00612896" w:rsidRPr="009C5096">
              <w:rPr>
                <w:rFonts w:ascii="Arial" w:hAnsi="Arial" w:cs="Arial"/>
                <w:sz w:val="20"/>
                <w:szCs w:val="20"/>
              </w:rPr>
              <w:t>,</w:t>
            </w:r>
            <w:r w:rsidRPr="009C5096">
              <w:rPr>
                <w:rFonts w:ascii="Arial" w:hAnsi="Arial" w:cs="Arial"/>
                <w:sz w:val="20"/>
                <w:szCs w:val="20"/>
              </w:rPr>
              <w:t>053</w:t>
            </w:r>
          </w:p>
        </w:tc>
        <w:tc>
          <w:tcPr>
            <w:tcW w:w="1260" w:type="dxa"/>
            <w:shd w:val="clear" w:color="auto" w:fill="auto"/>
            <w:noWrap/>
            <w:vAlign w:val="center"/>
            <w:hideMark/>
          </w:tcPr>
          <w:p w:rsidR="003136C5" w:rsidRPr="009C5096" w:rsidRDefault="003136C5" w:rsidP="00612896">
            <w:pPr>
              <w:jc w:val="right"/>
              <w:rPr>
                <w:rFonts w:ascii="Arial" w:hAnsi="Arial" w:cs="Arial"/>
                <w:sz w:val="20"/>
                <w:szCs w:val="20"/>
              </w:rPr>
            </w:pPr>
            <w:r w:rsidRPr="009C5096">
              <w:rPr>
                <w:rFonts w:ascii="Arial" w:hAnsi="Arial" w:cs="Arial"/>
                <w:sz w:val="20"/>
                <w:szCs w:val="20"/>
              </w:rPr>
              <w:t>5</w:t>
            </w:r>
            <w:r w:rsidR="00612896" w:rsidRPr="009C5096">
              <w:rPr>
                <w:rFonts w:ascii="Arial" w:hAnsi="Arial" w:cs="Arial"/>
                <w:sz w:val="20"/>
                <w:szCs w:val="20"/>
              </w:rPr>
              <w:t>,</w:t>
            </w:r>
            <w:r w:rsidRPr="009C5096">
              <w:rPr>
                <w:rFonts w:ascii="Arial" w:hAnsi="Arial" w:cs="Arial"/>
                <w:sz w:val="20"/>
                <w:szCs w:val="20"/>
              </w:rPr>
              <w:t>657</w:t>
            </w:r>
          </w:p>
        </w:tc>
      </w:tr>
    </w:tbl>
    <w:p w:rsidR="003136C5" w:rsidRPr="009C5096" w:rsidRDefault="003136C5" w:rsidP="003136C5">
      <w:pPr>
        <w:pStyle w:val="m343668044302477783m-3986873246552044066msolistparagraph"/>
        <w:spacing w:before="0" w:beforeAutospacing="0" w:after="0" w:afterAutospacing="0"/>
        <w:jc w:val="both"/>
        <w:rPr>
          <w:rFonts w:ascii="Arial" w:hAnsi="Arial" w:cs="Arial"/>
          <w:sz w:val="18"/>
          <w:szCs w:val="18"/>
          <w:lang w:val="en-US" w:eastAsia="en-US"/>
        </w:rPr>
      </w:pPr>
      <w:r w:rsidRPr="009C5096">
        <w:rPr>
          <w:rFonts w:ascii="Arial" w:hAnsi="Arial" w:cs="Arial"/>
          <w:sz w:val="18"/>
          <w:szCs w:val="18"/>
          <w:lang w:val="en-US" w:eastAsia="en-US"/>
        </w:rPr>
        <w:t>Source: Managing Authority</w:t>
      </w:r>
    </w:p>
    <w:p w:rsidR="003136C5" w:rsidRPr="009C5096" w:rsidRDefault="003136C5" w:rsidP="003136C5">
      <w:pPr>
        <w:rPr>
          <w:rFonts w:ascii="Arial" w:eastAsia="Calibri" w:hAnsi="Arial" w:cs="Arial"/>
          <w:sz w:val="18"/>
          <w:szCs w:val="18"/>
        </w:rPr>
      </w:pPr>
      <w:r w:rsidRPr="009C5096">
        <w:rPr>
          <w:rFonts w:ascii="Arial" w:hAnsi="Arial" w:cs="Arial"/>
          <w:sz w:val="18"/>
          <w:szCs w:val="18"/>
        </w:rPr>
        <w:br w:type="page"/>
      </w:r>
    </w:p>
    <w:p w:rsidR="003136C5" w:rsidRPr="009C5096" w:rsidRDefault="003136C5" w:rsidP="003136C5">
      <w:pPr>
        <w:pStyle w:val="ListParagraph"/>
        <w:numPr>
          <w:ilvl w:val="0"/>
          <w:numId w:val="2"/>
        </w:numPr>
        <w:contextualSpacing/>
        <w:jc w:val="both"/>
        <w:outlineLvl w:val="0"/>
        <w:rPr>
          <w:rFonts w:ascii="Arial" w:hAnsi="Arial" w:cs="Arial"/>
          <w:b/>
        </w:rPr>
      </w:pPr>
      <w:bookmarkStart w:id="54" w:name="_Toc8649815"/>
      <w:r w:rsidRPr="009C5096">
        <w:rPr>
          <w:rFonts w:ascii="Arial" w:hAnsi="Arial" w:cs="Arial"/>
          <w:b/>
        </w:rPr>
        <w:lastRenderedPageBreak/>
        <w:t>Actions undertaken for improvement of quality and efficiency of IPARD implementation</w:t>
      </w:r>
      <w:bookmarkEnd w:id="54"/>
    </w:p>
    <w:p w:rsidR="003136C5" w:rsidRPr="005E035D" w:rsidRDefault="003136C5" w:rsidP="005E035D">
      <w:pPr>
        <w:spacing w:before="120"/>
        <w:jc w:val="both"/>
        <w:outlineLvl w:val="1"/>
        <w:rPr>
          <w:rFonts w:ascii="Arial" w:eastAsia="Calibri" w:hAnsi="Arial" w:cs="Arial"/>
          <w:b/>
          <w:vanish/>
          <w:lang w:eastAsia="en-GB"/>
        </w:rPr>
      </w:pPr>
      <w:bookmarkStart w:id="55" w:name="_Toc6577105"/>
      <w:bookmarkStart w:id="56" w:name="_Toc6577182"/>
      <w:bookmarkStart w:id="57" w:name="_Toc6577226"/>
      <w:bookmarkStart w:id="58" w:name="_Toc6577252"/>
      <w:bookmarkStart w:id="59" w:name="_Toc6578179"/>
      <w:bookmarkStart w:id="60" w:name="_Toc6578206"/>
      <w:bookmarkStart w:id="61" w:name="_Toc6578415"/>
      <w:bookmarkStart w:id="62" w:name="_Toc6578635"/>
      <w:bookmarkStart w:id="63" w:name="_Toc6832335"/>
      <w:bookmarkStart w:id="64" w:name="_Toc8649816"/>
      <w:bookmarkEnd w:id="55"/>
      <w:bookmarkEnd w:id="56"/>
      <w:bookmarkEnd w:id="57"/>
      <w:bookmarkEnd w:id="58"/>
      <w:bookmarkEnd w:id="59"/>
      <w:bookmarkEnd w:id="60"/>
      <w:bookmarkEnd w:id="61"/>
      <w:bookmarkEnd w:id="62"/>
      <w:bookmarkEnd w:id="63"/>
      <w:bookmarkEnd w:id="64"/>
    </w:p>
    <w:p w:rsidR="003136C5" w:rsidRPr="009C509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lang w:val="en-US"/>
        </w:rPr>
      </w:pPr>
      <w:bookmarkStart w:id="65" w:name="_Toc8649817"/>
      <w:r w:rsidRPr="009C5096">
        <w:rPr>
          <w:rFonts w:ascii="Arial" w:hAnsi="Arial" w:cs="Arial"/>
          <w:b/>
          <w:lang w:val="en-US"/>
        </w:rPr>
        <w:t xml:space="preserve">Activities undertaken by </w:t>
      </w:r>
      <w:r w:rsidR="0000332C">
        <w:rPr>
          <w:rFonts w:ascii="Arial" w:hAnsi="Arial" w:cs="Arial"/>
          <w:b/>
          <w:lang w:val="en-US"/>
        </w:rPr>
        <w:t xml:space="preserve">the </w:t>
      </w:r>
      <w:r w:rsidRPr="009C5096">
        <w:rPr>
          <w:rFonts w:ascii="Arial" w:hAnsi="Arial" w:cs="Arial"/>
          <w:b/>
          <w:lang w:val="en-US"/>
        </w:rPr>
        <w:t>Managing Authority</w:t>
      </w:r>
      <w:bookmarkEnd w:id="65"/>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Considering that in the previous period various activities </w:t>
      </w:r>
      <w:r w:rsidR="0000332C" w:rsidRPr="009C5096">
        <w:rPr>
          <w:rFonts w:ascii="Arial" w:hAnsi="Arial" w:cs="Arial"/>
          <w:sz w:val="22"/>
          <w:szCs w:val="22"/>
          <w:lang w:val="en-US"/>
        </w:rPr>
        <w:t xml:space="preserve">were undertaken </w:t>
      </w:r>
      <w:r w:rsidRPr="009C5096">
        <w:rPr>
          <w:rFonts w:ascii="Arial" w:hAnsi="Arial" w:cs="Arial"/>
          <w:sz w:val="22"/>
          <w:szCs w:val="22"/>
          <w:lang w:val="en-US"/>
        </w:rPr>
        <w:t>to overcome the problems and improve the implementation of the Programme,</w:t>
      </w:r>
      <w:r w:rsidR="0000332C">
        <w:rPr>
          <w:rFonts w:ascii="Arial" w:hAnsi="Arial" w:cs="Arial"/>
          <w:sz w:val="22"/>
          <w:szCs w:val="22"/>
          <w:lang w:val="en-US"/>
        </w:rPr>
        <w:t xml:space="preserve"> </w:t>
      </w:r>
      <w:r w:rsidRPr="009C5096">
        <w:rPr>
          <w:rFonts w:ascii="Arial" w:hAnsi="Arial" w:cs="Arial"/>
          <w:sz w:val="22"/>
          <w:szCs w:val="22"/>
          <w:lang w:val="en-US"/>
        </w:rPr>
        <w:t xml:space="preserve">recent activities of </w:t>
      </w:r>
      <w:r w:rsidR="0000332C">
        <w:rPr>
          <w:rFonts w:ascii="Arial" w:hAnsi="Arial" w:cs="Arial"/>
          <w:sz w:val="22"/>
          <w:szCs w:val="22"/>
          <w:lang w:val="en-US"/>
        </w:rPr>
        <w:t xml:space="preserve">the </w:t>
      </w:r>
      <w:r w:rsidRPr="009C5096">
        <w:rPr>
          <w:rFonts w:ascii="Arial" w:hAnsi="Arial" w:cs="Arial"/>
          <w:sz w:val="22"/>
          <w:szCs w:val="22"/>
          <w:lang w:val="en-US"/>
        </w:rPr>
        <w:t xml:space="preserve">Managing Authority were directed towards strengthening the human capacities and improving the Programme aspects of implementation </w:t>
      </w:r>
      <w:r w:rsidR="0000332C">
        <w:rPr>
          <w:rFonts w:ascii="Arial" w:hAnsi="Arial" w:cs="Arial"/>
          <w:sz w:val="22"/>
          <w:szCs w:val="22"/>
          <w:lang w:val="en-US"/>
        </w:rPr>
        <w:t xml:space="preserve">at </w:t>
      </w:r>
      <w:r w:rsidRPr="009C5096">
        <w:rPr>
          <w:rFonts w:ascii="Arial" w:hAnsi="Arial" w:cs="Arial"/>
          <w:sz w:val="22"/>
          <w:szCs w:val="22"/>
          <w:lang w:val="en-US"/>
        </w:rPr>
        <w:t xml:space="preserve">the </w:t>
      </w:r>
      <w:r w:rsidR="0000332C" w:rsidRPr="009C5096">
        <w:rPr>
          <w:rFonts w:ascii="Arial" w:hAnsi="Arial" w:cs="Arial"/>
          <w:sz w:val="22"/>
          <w:szCs w:val="22"/>
          <w:lang w:val="en-US"/>
        </w:rPr>
        <w:t xml:space="preserve">request </w:t>
      </w:r>
      <w:r w:rsidR="0000332C">
        <w:rPr>
          <w:rFonts w:ascii="Arial" w:hAnsi="Arial" w:cs="Arial"/>
          <w:sz w:val="22"/>
          <w:szCs w:val="22"/>
          <w:lang w:val="en-US"/>
        </w:rPr>
        <w:t xml:space="preserve">of the </w:t>
      </w:r>
      <w:r w:rsidRPr="009C5096">
        <w:rPr>
          <w:rFonts w:ascii="Arial" w:hAnsi="Arial" w:cs="Arial"/>
          <w:sz w:val="22"/>
          <w:szCs w:val="22"/>
          <w:lang w:val="en-US"/>
        </w:rPr>
        <w:t xml:space="preserve">beneficiaries and </w:t>
      </w:r>
      <w:r w:rsidR="0000332C">
        <w:rPr>
          <w:rFonts w:ascii="Arial" w:hAnsi="Arial" w:cs="Arial"/>
          <w:sz w:val="22"/>
          <w:szCs w:val="22"/>
          <w:lang w:val="en-US"/>
        </w:rPr>
        <w:t xml:space="preserve">the </w:t>
      </w:r>
      <w:r w:rsidRPr="009C5096">
        <w:rPr>
          <w:rFonts w:ascii="Arial" w:hAnsi="Arial" w:cs="Arial"/>
          <w:sz w:val="22"/>
          <w:szCs w:val="22"/>
          <w:lang w:val="en-US"/>
        </w:rPr>
        <w:t xml:space="preserve">Agency. In order to </w:t>
      </w:r>
      <w:r w:rsidR="0000332C" w:rsidRPr="009C5096">
        <w:rPr>
          <w:rFonts w:ascii="Arial" w:hAnsi="Arial" w:cs="Arial"/>
          <w:sz w:val="22"/>
          <w:szCs w:val="22"/>
          <w:lang w:val="en-US"/>
        </w:rPr>
        <w:t>strengthen</w:t>
      </w:r>
      <w:r w:rsidRPr="009C5096">
        <w:rPr>
          <w:rFonts w:ascii="Arial" w:hAnsi="Arial" w:cs="Arial"/>
          <w:sz w:val="22"/>
          <w:szCs w:val="22"/>
          <w:lang w:val="en-US"/>
        </w:rPr>
        <w:t xml:space="preserve"> human capacities in 2018</w:t>
      </w:r>
      <w:r w:rsidR="0000332C">
        <w:rPr>
          <w:rFonts w:ascii="Arial" w:hAnsi="Arial" w:cs="Arial"/>
          <w:sz w:val="22"/>
          <w:szCs w:val="22"/>
          <w:lang w:val="en-US"/>
        </w:rPr>
        <w:t>,</w:t>
      </w:r>
      <w:r w:rsidRPr="009C5096">
        <w:rPr>
          <w:rFonts w:ascii="Arial" w:hAnsi="Arial" w:cs="Arial"/>
          <w:sz w:val="22"/>
          <w:szCs w:val="22"/>
          <w:lang w:val="en-US"/>
        </w:rPr>
        <w:t xml:space="preserve"> several employees were transferred in </w:t>
      </w:r>
      <w:r w:rsidR="0000332C">
        <w:rPr>
          <w:rFonts w:ascii="Arial" w:hAnsi="Arial" w:cs="Arial"/>
          <w:sz w:val="22"/>
          <w:szCs w:val="22"/>
          <w:lang w:val="en-US"/>
        </w:rPr>
        <w:t xml:space="preserve">the </w:t>
      </w:r>
      <w:r w:rsidRPr="009C5096">
        <w:rPr>
          <w:rFonts w:ascii="Arial" w:hAnsi="Arial" w:cs="Arial"/>
          <w:sz w:val="22"/>
          <w:szCs w:val="22"/>
          <w:lang w:val="en-US"/>
        </w:rPr>
        <w:t xml:space="preserve">Managing Authority from other MAFWE Departments, so </w:t>
      </w:r>
      <w:r w:rsidR="0000332C">
        <w:rPr>
          <w:rFonts w:ascii="Arial" w:hAnsi="Arial" w:cs="Arial"/>
          <w:sz w:val="22"/>
          <w:szCs w:val="22"/>
          <w:lang w:val="en-US"/>
        </w:rPr>
        <w:t xml:space="preserve">the </w:t>
      </w:r>
      <w:r w:rsidRPr="009C5096">
        <w:rPr>
          <w:rFonts w:ascii="Arial" w:hAnsi="Arial" w:cs="Arial"/>
          <w:sz w:val="22"/>
          <w:szCs w:val="22"/>
          <w:lang w:val="en-US"/>
        </w:rPr>
        <w:t xml:space="preserve">total number of employees in </w:t>
      </w:r>
      <w:r w:rsidR="0000332C">
        <w:rPr>
          <w:rFonts w:ascii="Arial" w:hAnsi="Arial" w:cs="Arial"/>
          <w:sz w:val="22"/>
          <w:szCs w:val="22"/>
          <w:lang w:val="en-US"/>
        </w:rPr>
        <w:t xml:space="preserve">the </w:t>
      </w:r>
      <w:r w:rsidRPr="009C5096">
        <w:rPr>
          <w:rFonts w:ascii="Arial" w:hAnsi="Arial" w:cs="Arial"/>
          <w:sz w:val="22"/>
          <w:szCs w:val="22"/>
          <w:lang w:val="en-US"/>
        </w:rPr>
        <w:t xml:space="preserve">Managing Authority reached 16. </w:t>
      </w:r>
      <w:r w:rsidR="0000332C">
        <w:rPr>
          <w:rFonts w:ascii="Arial" w:hAnsi="Arial" w:cs="Arial"/>
          <w:sz w:val="22"/>
          <w:szCs w:val="22"/>
          <w:lang w:val="en-US"/>
        </w:rPr>
        <w:t xml:space="preserve">The </w:t>
      </w:r>
      <w:r w:rsidRPr="009C5096">
        <w:rPr>
          <w:rFonts w:ascii="Arial" w:hAnsi="Arial" w:cs="Arial"/>
          <w:sz w:val="22"/>
          <w:szCs w:val="22"/>
          <w:lang w:val="en-US"/>
        </w:rPr>
        <w:t xml:space="preserve">Managing Authority was </w:t>
      </w:r>
      <w:r w:rsidR="0000332C" w:rsidRPr="009C5096">
        <w:rPr>
          <w:rFonts w:ascii="Arial" w:hAnsi="Arial" w:cs="Arial"/>
          <w:sz w:val="22"/>
          <w:szCs w:val="22"/>
          <w:lang w:val="en-US"/>
        </w:rPr>
        <w:t>strengthened</w:t>
      </w:r>
      <w:r w:rsidRPr="009C5096">
        <w:rPr>
          <w:rFonts w:ascii="Arial" w:hAnsi="Arial" w:cs="Arial"/>
          <w:sz w:val="22"/>
          <w:szCs w:val="22"/>
          <w:lang w:val="en-US"/>
        </w:rPr>
        <w:t xml:space="preserve"> with one Advisor for </w:t>
      </w:r>
      <w:r w:rsidR="0000332C">
        <w:rPr>
          <w:rFonts w:ascii="Arial" w:hAnsi="Arial" w:cs="Arial"/>
          <w:sz w:val="22"/>
          <w:szCs w:val="22"/>
          <w:lang w:val="en-US"/>
        </w:rPr>
        <w:t>M</w:t>
      </w:r>
      <w:r w:rsidR="0000332C" w:rsidRPr="009C5096">
        <w:rPr>
          <w:rFonts w:ascii="Arial" w:hAnsi="Arial" w:cs="Arial"/>
          <w:sz w:val="22"/>
          <w:szCs w:val="22"/>
          <w:lang w:val="en-US"/>
        </w:rPr>
        <w:t>onitoring</w:t>
      </w:r>
      <w:r w:rsidRPr="009C5096">
        <w:rPr>
          <w:rFonts w:ascii="Arial" w:hAnsi="Arial" w:cs="Arial"/>
          <w:sz w:val="22"/>
          <w:szCs w:val="22"/>
          <w:lang w:val="en-US"/>
        </w:rPr>
        <w:t xml:space="preserve">, one Head of Unit for </w:t>
      </w:r>
      <w:r w:rsidR="0000332C">
        <w:rPr>
          <w:rFonts w:ascii="Arial" w:hAnsi="Arial" w:cs="Arial"/>
          <w:sz w:val="22"/>
          <w:szCs w:val="22"/>
          <w:lang w:val="en-US"/>
        </w:rPr>
        <w:t>P</w:t>
      </w:r>
      <w:r w:rsidR="0000332C" w:rsidRPr="009C5096">
        <w:rPr>
          <w:rFonts w:ascii="Arial" w:hAnsi="Arial" w:cs="Arial"/>
          <w:sz w:val="22"/>
          <w:szCs w:val="22"/>
          <w:lang w:val="en-US"/>
        </w:rPr>
        <w:t xml:space="preserve">rogramming </w:t>
      </w:r>
      <w:r w:rsidRPr="009C5096">
        <w:rPr>
          <w:rFonts w:ascii="Arial" w:hAnsi="Arial" w:cs="Arial"/>
          <w:sz w:val="22"/>
          <w:szCs w:val="22"/>
          <w:lang w:val="en-US"/>
        </w:rPr>
        <w:t xml:space="preserve">and two Advisors for </w:t>
      </w:r>
      <w:r w:rsidR="0000332C">
        <w:rPr>
          <w:rFonts w:ascii="Arial" w:hAnsi="Arial" w:cs="Arial"/>
          <w:sz w:val="22"/>
          <w:szCs w:val="22"/>
          <w:lang w:val="en-US"/>
        </w:rPr>
        <w:t>P</w:t>
      </w:r>
      <w:r w:rsidR="0000332C" w:rsidRPr="009C5096">
        <w:rPr>
          <w:rFonts w:ascii="Arial" w:hAnsi="Arial" w:cs="Arial"/>
          <w:sz w:val="22"/>
          <w:szCs w:val="22"/>
          <w:lang w:val="en-US"/>
        </w:rPr>
        <w:t>rocurement</w:t>
      </w:r>
      <w:r w:rsidRPr="009C5096">
        <w:rPr>
          <w:rFonts w:ascii="Arial" w:hAnsi="Arial" w:cs="Arial"/>
          <w:sz w:val="22"/>
          <w:szCs w:val="22"/>
          <w:lang w:val="en-US"/>
        </w:rPr>
        <w:t xml:space="preserve">. Also, </w:t>
      </w:r>
      <w:r w:rsidR="0000332C">
        <w:rPr>
          <w:rFonts w:ascii="Arial" w:hAnsi="Arial" w:cs="Arial"/>
          <w:sz w:val="22"/>
          <w:szCs w:val="22"/>
          <w:lang w:val="en-US"/>
        </w:rPr>
        <w:t xml:space="preserve">the </w:t>
      </w:r>
      <w:r w:rsidRPr="009C5096">
        <w:rPr>
          <w:rFonts w:ascii="Arial" w:hAnsi="Arial" w:cs="Arial"/>
          <w:sz w:val="22"/>
          <w:szCs w:val="22"/>
          <w:lang w:val="en-US"/>
        </w:rPr>
        <w:t>Managing Authority's employees deployed in other MAFWE Departments were permanently transferred to the Departments in which they worked.</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The first IPARD 2014-2020 </w:t>
      </w:r>
      <w:r w:rsidRPr="009C5096">
        <w:rPr>
          <w:rFonts w:ascii="Arial" w:hAnsi="Arial" w:cs="Arial"/>
          <w:b/>
          <w:sz w:val="22"/>
          <w:szCs w:val="22"/>
          <w:u w:val="single"/>
          <w:lang w:val="en-US"/>
        </w:rPr>
        <w:t>Programme modification</w:t>
      </w:r>
      <w:r w:rsidRPr="009C5096">
        <w:rPr>
          <w:rFonts w:ascii="Arial" w:hAnsi="Arial" w:cs="Arial"/>
          <w:sz w:val="22"/>
          <w:szCs w:val="22"/>
          <w:lang w:val="en-US"/>
        </w:rPr>
        <w:t xml:space="preserve"> has been proposed in order to broaden and clarify the opportunities for the potential IPARD II recipients. Most of the proposed modifications are based on the experience of implement</w:t>
      </w:r>
      <w:r w:rsidR="0000332C">
        <w:rPr>
          <w:rFonts w:ascii="Arial" w:hAnsi="Arial" w:cs="Arial"/>
          <w:sz w:val="22"/>
          <w:szCs w:val="22"/>
          <w:lang w:val="en-US"/>
        </w:rPr>
        <w:t xml:space="preserve">ing </w:t>
      </w:r>
      <w:r w:rsidRPr="009C5096">
        <w:rPr>
          <w:rFonts w:ascii="Arial" w:hAnsi="Arial" w:cs="Arial"/>
          <w:sz w:val="22"/>
          <w:szCs w:val="22"/>
          <w:lang w:val="en-US"/>
        </w:rPr>
        <w:t>the first Public call of IPARD II in order to facilitate easier implementation process. The experience from the first public call has shown that many of the submitted applications were incomplete</w:t>
      </w:r>
      <w:r w:rsidR="0000332C">
        <w:rPr>
          <w:rFonts w:ascii="Arial" w:hAnsi="Arial" w:cs="Arial"/>
          <w:sz w:val="22"/>
          <w:szCs w:val="22"/>
          <w:lang w:val="en-US"/>
        </w:rPr>
        <w:t xml:space="preserve">, </w:t>
      </w:r>
      <w:r w:rsidRPr="009C5096">
        <w:rPr>
          <w:rFonts w:ascii="Arial" w:hAnsi="Arial" w:cs="Arial"/>
          <w:sz w:val="22"/>
          <w:szCs w:val="22"/>
          <w:lang w:val="en-US"/>
        </w:rPr>
        <w:t xml:space="preserve">which prolonged the approval procedure. Therefore, some changes </w:t>
      </w:r>
      <w:r w:rsidR="0000332C">
        <w:rPr>
          <w:rFonts w:ascii="Arial" w:hAnsi="Arial" w:cs="Arial"/>
          <w:sz w:val="22"/>
          <w:szCs w:val="22"/>
          <w:lang w:val="en-US"/>
        </w:rPr>
        <w:t>i</w:t>
      </w:r>
      <w:r w:rsidRPr="009C5096">
        <w:rPr>
          <w:rFonts w:ascii="Arial" w:hAnsi="Arial" w:cs="Arial"/>
          <w:sz w:val="22"/>
          <w:szCs w:val="22"/>
          <w:lang w:val="en-US"/>
        </w:rPr>
        <w:t xml:space="preserve">n the rules </w:t>
      </w:r>
      <w:r w:rsidR="0000332C">
        <w:rPr>
          <w:rFonts w:ascii="Arial" w:hAnsi="Arial" w:cs="Arial"/>
          <w:sz w:val="22"/>
          <w:szCs w:val="22"/>
          <w:lang w:val="en-US"/>
        </w:rPr>
        <w:t xml:space="preserve">for </w:t>
      </w:r>
      <w:r w:rsidRPr="009C5096">
        <w:rPr>
          <w:rFonts w:ascii="Arial" w:hAnsi="Arial" w:cs="Arial"/>
          <w:sz w:val="22"/>
          <w:szCs w:val="22"/>
          <w:lang w:val="en-US"/>
        </w:rPr>
        <w:t xml:space="preserve">the </w:t>
      </w:r>
      <w:r w:rsidRPr="009C5096">
        <w:rPr>
          <w:rFonts w:ascii="Arial" w:hAnsi="Arial" w:cs="Arial"/>
          <w:b/>
          <w:sz w:val="22"/>
          <w:szCs w:val="22"/>
          <w:u w:val="single"/>
          <w:lang w:val="en-US"/>
        </w:rPr>
        <w:t>mandatory documents</w:t>
      </w:r>
      <w:r w:rsidRPr="009C5096">
        <w:rPr>
          <w:rFonts w:ascii="Arial" w:hAnsi="Arial" w:cs="Arial"/>
          <w:sz w:val="22"/>
          <w:szCs w:val="22"/>
          <w:lang w:val="en-US"/>
        </w:rPr>
        <w:t xml:space="preserve"> to be submitted together with the Application are introduced within this modification.</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In addition, modification is proposed to investments related to establishing new </w:t>
      </w:r>
      <w:r w:rsidRPr="009C5096">
        <w:rPr>
          <w:rFonts w:ascii="Arial" w:hAnsi="Arial" w:cs="Arial"/>
          <w:b/>
          <w:sz w:val="22"/>
          <w:szCs w:val="22"/>
          <w:u w:val="single"/>
          <w:lang w:val="en-US"/>
        </w:rPr>
        <w:t>irrigation system</w:t>
      </w:r>
      <w:r w:rsidRPr="009C5096">
        <w:rPr>
          <w:rFonts w:ascii="Arial" w:hAnsi="Arial" w:cs="Arial"/>
          <w:sz w:val="22"/>
          <w:szCs w:val="22"/>
          <w:lang w:val="en-US"/>
        </w:rPr>
        <w:t xml:space="preserve"> as eligible investment under </w:t>
      </w:r>
      <w:r w:rsidR="0000332C">
        <w:rPr>
          <w:rFonts w:ascii="Arial" w:hAnsi="Arial" w:cs="Arial"/>
          <w:sz w:val="22"/>
          <w:szCs w:val="22"/>
          <w:lang w:val="en-US"/>
        </w:rPr>
        <w:t xml:space="preserve">the </w:t>
      </w:r>
      <w:r w:rsidRPr="009C5096">
        <w:rPr>
          <w:rFonts w:ascii="Arial" w:hAnsi="Arial" w:cs="Arial"/>
          <w:sz w:val="22"/>
          <w:szCs w:val="22"/>
          <w:lang w:val="en-US"/>
        </w:rPr>
        <w:t xml:space="preserve">measure </w:t>
      </w:r>
      <w:r w:rsidR="0000332C">
        <w:rPr>
          <w:rFonts w:ascii="Arial" w:hAnsi="Arial" w:cs="Arial"/>
          <w:sz w:val="22"/>
          <w:szCs w:val="22"/>
          <w:lang w:val="en-US"/>
        </w:rPr>
        <w:t>“</w:t>
      </w:r>
      <w:r w:rsidRPr="009C5096">
        <w:rPr>
          <w:rFonts w:ascii="Arial" w:hAnsi="Arial" w:cs="Arial"/>
          <w:sz w:val="22"/>
          <w:szCs w:val="22"/>
          <w:lang w:val="en-US"/>
        </w:rPr>
        <w:t xml:space="preserve">Investment in Physical Assets of Agricultural Holdings”. As a result, </w:t>
      </w:r>
      <w:r w:rsidR="0000332C">
        <w:rPr>
          <w:rFonts w:ascii="Arial" w:hAnsi="Arial" w:cs="Arial"/>
          <w:sz w:val="22"/>
          <w:szCs w:val="22"/>
          <w:lang w:val="en-US"/>
        </w:rPr>
        <w:t xml:space="preserve">since </w:t>
      </w:r>
      <w:r w:rsidRPr="009C5096">
        <w:rPr>
          <w:rFonts w:ascii="Arial" w:hAnsi="Arial" w:cs="Arial"/>
          <w:sz w:val="22"/>
          <w:szCs w:val="22"/>
          <w:lang w:val="en-US"/>
        </w:rPr>
        <w:t>implement</w:t>
      </w:r>
      <w:r w:rsidR="0000332C">
        <w:rPr>
          <w:rFonts w:ascii="Arial" w:hAnsi="Arial" w:cs="Arial"/>
          <w:sz w:val="22"/>
          <w:szCs w:val="22"/>
          <w:lang w:val="en-US"/>
        </w:rPr>
        <w:t xml:space="preserve">ing </w:t>
      </w:r>
      <w:r w:rsidRPr="009C5096">
        <w:rPr>
          <w:rFonts w:ascii="Arial" w:hAnsi="Arial" w:cs="Arial"/>
          <w:sz w:val="22"/>
          <w:szCs w:val="22"/>
          <w:lang w:val="en-US"/>
        </w:rPr>
        <w:t xml:space="preserve">the first public call, some </w:t>
      </w:r>
      <w:r w:rsidRPr="009C5096">
        <w:rPr>
          <w:rFonts w:ascii="Arial" w:hAnsi="Arial" w:cs="Arial"/>
          <w:b/>
          <w:sz w:val="22"/>
          <w:szCs w:val="22"/>
          <w:u w:val="single"/>
          <w:lang w:val="en-US"/>
        </w:rPr>
        <w:t xml:space="preserve">changes for eligible investments in </w:t>
      </w:r>
      <w:r w:rsidR="0000332C">
        <w:rPr>
          <w:rFonts w:ascii="Arial" w:hAnsi="Arial" w:cs="Arial"/>
          <w:b/>
          <w:sz w:val="22"/>
          <w:szCs w:val="22"/>
          <w:u w:val="single"/>
          <w:lang w:val="en-US"/>
        </w:rPr>
        <w:t xml:space="preserve">the </w:t>
      </w:r>
      <w:r w:rsidRPr="009C5096">
        <w:rPr>
          <w:rFonts w:ascii="Arial" w:hAnsi="Arial" w:cs="Arial"/>
          <w:b/>
          <w:sz w:val="22"/>
          <w:szCs w:val="22"/>
          <w:u w:val="single"/>
          <w:lang w:val="en-US"/>
        </w:rPr>
        <w:t>renewable energy sector</w:t>
      </w:r>
      <w:r w:rsidRPr="009C5096">
        <w:rPr>
          <w:rFonts w:ascii="Arial" w:hAnsi="Arial" w:cs="Arial"/>
          <w:sz w:val="22"/>
          <w:szCs w:val="22"/>
          <w:lang w:val="en-US"/>
        </w:rPr>
        <w:t xml:space="preserve"> under the measure “Farm Diversification and Business Development” are included. Consequently, due to the interest for investments under the measure “Farm Diversification and Business Development” that has exceeded </w:t>
      </w:r>
      <w:r w:rsidR="0000332C">
        <w:rPr>
          <w:rFonts w:ascii="Arial" w:hAnsi="Arial" w:cs="Arial"/>
          <w:sz w:val="22"/>
          <w:szCs w:val="22"/>
          <w:lang w:val="en-US"/>
        </w:rPr>
        <w:t xml:space="preserve">the </w:t>
      </w:r>
      <w:r w:rsidRPr="009C5096">
        <w:rPr>
          <w:rFonts w:ascii="Arial" w:hAnsi="Arial" w:cs="Arial"/>
          <w:sz w:val="22"/>
          <w:szCs w:val="22"/>
          <w:lang w:val="en-US"/>
        </w:rPr>
        <w:t xml:space="preserve">initially planned funds, </w:t>
      </w:r>
      <w:r w:rsidRPr="009C5096">
        <w:rPr>
          <w:rFonts w:ascii="Arial" w:hAnsi="Arial" w:cs="Arial"/>
          <w:b/>
          <w:sz w:val="22"/>
          <w:szCs w:val="22"/>
          <w:u w:val="single"/>
          <w:lang w:val="en-US"/>
        </w:rPr>
        <w:t>changes in the financial allocations are proposed</w:t>
      </w:r>
      <w:r w:rsidRPr="009C5096">
        <w:rPr>
          <w:rFonts w:ascii="Arial" w:hAnsi="Arial" w:cs="Arial"/>
          <w:sz w:val="22"/>
          <w:szCs w:val="22"/>
          <w:lang w:val="en-US"/>
        </w:rPr>
        <w:t>. In addition, few modifications in the eligibility requirements and selection criteria are proposed. Further</w:t>
      </w:r>
      <w:r w:rsidR="0000332C">
        <w:rPr>
          <w:rFonts w:ascii="Arial" w:hAnsi="Arial" w:cs="Arial"/>
          <w:sz w:val="22"/>
          <w:szCs w:val="22"/>
          <w:lang w:val="en-US"/>
        </w:rPr>
        <w:t xml:space="preserve">more, </w:t>
      </w:r>
      <w:r w:rsidRPr="009C5096">
        <w:rPr>
          <w:rFonts w:ascii="Arial" w:hAnsi="Arial" w:cs="Arial"/>
          <w:sz w:val="22"/>
          <w:szCs w:val="22"/>
          <w:lang w:val="en-US"/>
        </w:rPr>
        <w:t xml:space="preserve">modifications are proposed to improve the text of the </w:t>
      </w:r>
      <w:r w:rsidR="0000332C">
        <w:rPr>
          <w:rFonts w:ascii="Arial" w:hAnsi="Arial" w:cs="Arial"/>
          <w:sz w:val="22"/>
          <w:szCs w:val="22"/>
          <w:lang w:val="en-US"/>
        </w:rPr>
        <w:t>P</w:t>
      </w:r>
      <w:r w:rsidRPr="009C5096">
        <w:rPr>
          <w:rFonts w:ascii="Arial" w:hAnsi="Arial" w:cs="Arial"/>
          <w:sz w:val="22"/>
          <w:szCs w:val="22"/>
          <w:lang w:val="en-US"/>
        </w:rPr>
        <w:t>rogramme correcting the technical mistakes and errors.</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The change in the list of eligible expenditures for </w:t>
      </w:r>
      <w:r w:rsidR="0000332C">
        <w:rPr>
          <w:rFonts w:ascii="Arial" w:hAnsi="Arial" w:cs="Arial"/>
          <w:sz w:val="22"/>
          <w:szCs w:val="22"/>
          <w:lang w:val="en-US"/>
        </w:rPr>
        <w:t>M</w:t>
      </w:r>
      <w:r w:rsidRPr="009C5096">
        <w:rPr>
          <w:rFonts w:ascii="Arial" w:hAnsi="Arial" w:cs="Arial"/>
          <w:sz w:val="22"/>
          <w:szCs w:val="22"/>
          <w:lang w:val="en-US"/>
        </w:rPr>
        <w:t xml:space="preserve">easure (1) </w:t>
      </w:r>
      <w:r w:rsidR="0000332C">
        <w:rPr>
          <w:rFonts w:ascii="Arial" w:hAnsi="Arial" w:cs="Arial"/>
          <w:sz w:val="22"/>
          <w:szCs w:val="22"/>
          <w:lang w:val="en-US"/>
        </w:rPr>
        <w:t>“</w:t>
      </w:r>
      <w:r w:rsidRPr="009C5096">
        <w:rPr>
          <w:rFonts w:ascii="Arial" w:hAnsi="Arial" w:cs="Arial"/>
          <w:sz w:val="22"/>
          <w:szCs w:val="22"/>
          <w:lang w:val="en-US"/>
        </w:rPr>
        <w:t xml:space="preserve">Investments in </w:t>
      </w:r>
      <w:r w:rsidR="0000332C">
        <w:rPr>
          <w:rFonts w:ascii="Arial" w:hAnsi="Arial" w:cs="Arial"/>
          <w:sz w:val="22"/>
          <w:szCs w:val="22"/>
          <w:lang w:val="en-US"/>
        </w:rPr>
        <w:t>P</w:t>
      </w:r>
      <w:r w:rsidRPr="009C5096">
        <w:rPr>
          <w:rFonts w:ascii="Arial" w:hAnsi="Arial" w:cs="Arial"/>
          <w:sz w:val="22"/>
          <w:szCs w:val="22"/>
          <w:lang w:val="en-US"/>
        </w:rPr>
        <w:t xml:space="preserve">hysical </w:t>
      </w:r>
      <w:r w:rsidR="0000332C">
        <w:rPr>
          <w:rFonts w:ascii="Arial" w:hAnsi="Arial" w:cs="Arial"/>
          <w:sz w:val="22"/>
          <w:szCs w:val="22"/>
          <w:lang w:val="en-US"/>
        </w:rPr>
        <w:t>A</w:t>
      </w:r>
      <w:r w:rsidRPr="009C5096">
        <w:rPr>
          <w:rFonts w:ascii="Arial" w:hAnsi="Arial" w:cs="Arial"/>
          <w:sz w:val="22"/>
          <w:szCs w:val="22"/>
          <w:lang w:val="en-US"/>
        </w:rPr>
        <w:t xml:space="preserve">ssets on </w:t>
      </w:r>
      <w:r w:rsidR="0000332C">
        <w:rPr>
          <w:rFonts w:ascii="Arial" w:hAnsi="Arial" w:cs="Arial"/>
          <w:sz w:val="22"/>
          <w:szCs w:val="22"/>
          <w:lang w:val="en-US"/>
        </w:rPr>
        <w:t>A</w:t>
      </w:r>
      <w:r w:rsidRPr="009C5096">
        <w:rPr>
          <w:rFonts w:ascii="Arial" w:hAnsi="Arial" w:cs="Arial"/>
          <w:sz w:val="22"/>
          <w:szCs w:val="22"/>
          <w:lang w:val="en-US"/>
        </w:rPr>
        <w:t xml:space="preserve">gricultural </w:t>
      </w:r>
      <w:r w:rsidR="0000332C">
        <w:rPr>
          <w:rFonts w:ascii="Arial" w:hAnsi="Arial" w:cs="Arial"/>
          <w:sz w:val="22"/>
          <w:szCs w:val="22"/>
          <w:lang w:val="en-US"/>
        </w:rPr>
        <w:t>H</w:t>
      </w:r>
      <w:r w:rsidRPr="009C5096">
        <w:rPr>
          <w:rFonts w:ascii="Arial" w:hAnsi="Arial" w:cs="Arial"/>
          <w:sz w:val="22"/>
          <w:szCs w:val="22"/>
          <w:lang w:val="en-US"/>
        </w:rPr>
        <w:t>oldings</w:t>
      </w:r>
      <w:r w:rsidR="0000332C">
        <w:rPr>
          <w:rFonts w:ascii="Arial" w:hAnsi="Arial" w:cs="Arial"/>
          <w:sz w:val="22"/>
          <w:szCs w:val="22"/>
          <w:lang w:val="en-US"/>
        </w:rPr>
        <w:t>”</w:t>
      </w:r>
      <w:r w:rsidRPr="009C5096">
        <w:rPr>
          <w:rFonts w:ascii="Arial" w:hAnsi="Arial" w:cs="Arial"/>
          <w:sz w:val="22"/>
          <w:szCs w:val="22"/>
          <w:lang w:val="en-US"/>
        </w:rPr>
        <w:t xml:space="preserve"> involves the </w:t>
      </w:r>
      <w:r w:rsidRPr="009C5096">
        <w:rPr>
          <w:rFonts w:ascii="Arial" w:hAnsi="Arial" w:cs="Arial"/>
          <w:b/>
          <w:sz w:val="22"/>
          <w:szCs w:val="22"/>
          <w:u w:val="single"/>
          <w:lang w:val="en-US"/>
        </w:rPr>
        <w:t>introduction of frost protection equipment</w:t>
      </w:r>
      <w:r w:rsidRPr="009C5096">
        <w:rPr>
          <w:rFonts w:ascii="Arial" w:hAnsi="Arial" w:cs="Arial"/>
          <w:sz w:val="22"/>
          <w:szCs w:val="22"/>
          <w:lang w:val="en-US"/>
        </w:rPr>
        <w:t xml:space="preserve"> which was proposed </w:t>
      </w:r>
      <w:r w:rsidR="0000332C">
        <w:rPr>
          <w:rFonts w:ascii="Arial" w:hAnsi="Arial" w:cs="Arial"/>
          <w:sz w:val="22"/>
          <w:szCs w:val="22"/>
          <w:lang w:val="en-US"/>
        </w:rPr>
        <w:t xml:space="preserve">at </w:t>
      </w:r>
      <w:r w:rsidRPr="009C5096">
        <w:rPr>
          <w:rFonts w:ascii="Arial" w:hAnsi="Arial" w:cs="Arial"/>
          <w:sz w:val="22"/>
          <w:szCs w:val="22"/>
          <w:lang w:val="en-US"/>
        </w:rPr>
        <w:t xml:space="preserve">the request of potential IPARD applicants. In addition to this, clarification of the </w:t>
      </w:r>
      <w:r w:rsidR="0000332C" w:rsidRPr="009C5096">
        <w:rPr>
          <w:rFonts w:ascii="Arial" w:hAnsi="Arial" w:cs="Arial"/>
          <w:sz w:val="22"/>
          <w:szCs w:val="22"/>
          <w:lang w:val="en-US"/>
        </w:rPr>
        <w:t xml:space="preserve">costs </w:t>
      </w:r>
      <w:r w:rsidRPr="009C5096">
        <w:rPr>
          <w:rFonts w:ascii="Arial" w:hAnsi="Arial" w:cs="Arial"/>
          <w:sz w:val="22"/>
          <w:szCs w:val="22"/>
          <w:lang w:val="en-US"/>
        </w:rPr>
        <w:t>eligibility for electricity supply, irrigation, drainage, boreholes, wells, pumps etc. is included.</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The change in the list of eligible costs for Measures (3) and (7) follows the approved </w:t>
      </w:r>
      <w:r w:rsidR="0000332C">
        <w:rPr>
          <w:rFonts w:ascii="Arial" w:hAnsi="Arial" w:cs="Arial"/>
          <w:sz w:val="22"/>
          <w:szCs w:val="22"/>
          <w:lang w:val="en-US"/>
        </w:rPr>
        <w:t>P</w:t>
      </w:r>
      <w:r w:rsidRPr="009C5096">
        <w:rPr>
          <w:rFonts w:ascii="Arial" w:hAnsi="Arial" w:cs="Arial"/>
          <w:sz w:val="22"/>
          <w:szCs w:val="22"/>
          <w:lang w:val="en-US"/>
        </w:rPr>
        <w:t xml:space="preserve">rogramme modification on the production of energy from renewable sources. Also, a change in the list of eligible expenditures for the measure </w:t>
      </w:r>
      <w:r w:rsidR="0000332C">
        <w:rPr>
          <w:rFonts w:ascii="Arial" w:hAnsi="Arial" w:cs="Arial"/>
          <w:sz w:val="22"/>
          <w:szCs w:val="22"/>
          <w:lang w:val="en-US"/>
        </w:rPr>
        <w:t>“</w:t>
      </w:r>
      <w:r w:rsidRPr="009C5096">
        <w:rPr>
          <w:rFonts w:ascii="Arial" w:hAnsi="Arial" w:cs="Arial"/>
          <w:sz w:val="22"/>
          <w:szCs w:val="22"/>
          <w:lang w:val="en-US"/>
        </w:rPr>
        <w:t xml:space="preserve">Investments in </w:t>
      </w:r>
      <w:r w:rsidR="0000332C">
        <w:rPr>
          <w:rFonts w:ascii="Arial" w:hAnsi="Arial" w:cs="Arial"/>
          <w:sz w:val="22"/>
          <w:szCs w:val="22"/>
          <w:lang w:val="en-US"/>
        </w:rPr>
        <w:t>R</w:t>
      </w:r>
      <w:r w:rsidRPr="009C5096">
        <w:rPr>
          <w:rFonts w:ascii="Arial" w:hAnsi="Arial" w:cs="Arial"/>
          <w:sz w:val="22"/>
          <w:szCs w:val="22"/>
          <w:lang w:val="en-US"/>
        </w:rPr>
        <w:t xml:space="preserve">ural </w:t>
      </w:r>
      <w:r w:rsidR="0000332C">
        <w:rPr>
          <w:rFonts w:ascii="Arial" w:hAnsi="Arial" w:cs="Arial"/>
          <w:sz w:val="22"/>
          <w:szCs w:val="22"/>
          <w:lang w:val="en-US"/>
        </w:rPr>
        <w:t>P</w:t>
      </w:r>
      <w:r w:rsidRPr="009C5096">
        <w:rPr>
          <w:rFonts w:ascii="Arial" w:hAnsi="Arial" w:cs="Arial"/>
          <w:sz w:val="22"/>
          <w:szCs w:val="22"/>
          <w:lang w:val="en-US"/>
        </w:rPr>
        <w:t xml:space="preserve">ublic </w:t>
      </w:r>
      <w:r w:rsidR="0000332C">
        <w:rPr>
          <w:rFonts w:ascii="Arial" w:hAnsi="Arial" w:cs="Arial"/>
          <w:sz w:val="22"/>
          <w:szCs w:val="22"/>
          <w:lang w:val="en-US"/>
        </w:rPr>
        <w:t>I</w:t>
      </w:r>
      <w:r w:rsidRPr="009C5096">
        <w:rPr>
          <w:rFonts w:ascii="Arial" w:hAnsi="Arial" w:cs="Arial"/>
          <w:sz w:val="22"/>
          <w:szCs w:val="22"/>
          <w:lang w:val="en-US"/>
        </w:rPr>
        <w:t>nfrastructure</w:t>
      </w:r>
      <w:r w:rsidR="0000332C">
        <w:rPr>
          <w:rFonts w:ascii="Arial" w:hAnsi="Arial" w:cs="Arial"/>
          <w:sz w:val="22"/>
          <w:szCs w:val="22"/>
          <w:lang w:val="en-US"/>
        </w:rPr>
        <w:t>”</w:t>
      </w:r>
      <w:r w:rsidRPr="009C5096">
        <w:rPr>
          <w:rFonts w:ascii="Arial" w:hAnsi="Arial" w:cs="Arial"/>
          <w:sz w:val="22"/>
          <w:szCs w:val="22"/>
          <w:lang w:val="en-US"/>
        </w:rPr>
        <w:t xml:space="preserve"> was carried out on the basis of findings and recommendation from the conducted audit.</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lang w:val="en-US"/>
        </w:rPr>
      </w:pPr>
    </w:p>
    <w:p w:rsidR="003136C5" w:rsidRPr="009C509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lang w:val="en-US"/>
        </w:rPr>
      </w:pPr>
      <w:bookmarkStart w:id="66" w:name="_Toc8649818"/>
      <w:r w:rsidRPr="009C5096">
        <w:rPr>
          <w:rFonts w:ascii="Arial" w:hAnsi="Arial" w:cs="Arial"/>
          <w:b/>
          <w:lang w:val="en-US"/>
        </w:rPr>
        <w:t>Activities undertaken by NAO and NF</w:t>
      </w:r>
      <w:bookmarkEnd w:id="66"/>
    </w:p>
    <w:p w:rsidR="003136C5" w:rsidRPr="00B65021" w:rsidRDefault="003136C5" w:rsidP="003136C5">
      <w:pPr>
        <w:autoSpaceDE w:val="0"/>
        <w:autoSpaceDN w:val="0"/>
        <w:adjustRightInd w:val="0"/>
        <w:jc w:val="both"/>
        <w:rPr>
          <w:rFonts w:ascii="Arial" w:hAnsi="Arial" w:cs="Arial"/>
          <w:sz w:val="22"/>
          <w:szCs w:val="22"/>
          <w:lang w:eastAsia="mk-MK"/>
        </w:rPr>
      </w:pPr>
    </w:p>
    <w:p w:rsidR="003136C5" w:rsidRPr="00B65021" w:rsidRDefault="003136C5" w:rsidP="003136C5">
      <w:pPr>
        <w:autoSpaceDE w:val="0"/>
        <w:autoSpaceDN w:val="0"/>
        <w:adjustRightInd w:val="0"/>
        <w:spacing w:after="120" w:line="20" w:lineRule="atLeast"/>
        <w:jc w:val="both"/>
        <w:rPr>
          <w:rFonts w:ascii="Arial" w:hAnsi="Arial" w:cs="Arial"/>
          <w:sz w:val="22"/>
          <w:szCs w:val="22"/>
          <w:lang w:eastAsia="mk-MK"/>
        </w:rPr>
      </w:pPr>
      <w:r w:rsidRPr="00B65021">
        <w:rPr>
          <w:rFonts w:ascii="Arial" w:hAnsi="Arial" w:cs="Arial"/>
          <w:sz w:val="22"/>
          <w:szCs w:val="22"/>
          <w:lang w:eastAsia="mk-MK"/>
        </w:rPr>
        <w:t>The system for indirect implementation of the IPARD Programme 2014-2020 (</w:t>
      </w:r>
      <w:r w:rsidR="0000332C" w:rsidRPr="00B65021">
        <w:rPr>
          <w:rFonts w:ascii="Arial" w:hAnsi="Arial" w:cs="Arial"/>
          <w:sz w:val="22"/>
          <w:szCs w:val="22"/>
          <w:lang w:eastAsia="mk-MK"/>
        </w:rPr>
        <w:t>M</w:t>
      </w:r>
      <w:r w:rsidRPr="00B65021">
        <w:rPr>
          <w:rFonts w:ascii="Arial" w:hAnsi="Arial" w:cs="Arial"/>
          <w:sz w:val="22"/>
          <w:szCs w:val="22"/>
          <w:lang w:eastAsia="mk-MK"/>
        </w:rPr>
        <w:t>easure</w:t>
      </w:r>
      <w:r w:rsidR="0000332C" w:rsidRPr="00B65021">
        <w:rPr>
          <w:rFonts w:ascii="Arial" w:hAnsi="Arial" w:cs="Arial"/>
          <w:sz w:val="22"/>
          <w:szCs w:val="22"/>
          <w:lang w:eastAsia="mk-MK"/>
        </w:rPr>
        <w:t>s</w:t>
      </w:r>
      <w:r w:rsidRPr="00B65021">
        <w:rPr>
          <w:rFonts w:ascii="Arial" w:hAnsi="Arial" w:cs="Arial"/>
          <w:sz w:val="22"/>
          <w:szCs w:val="22"/>
          <w:lang w:eastAsia="mk-MK"/>
        </w:rPr>
        <w:t xml:space="preserve"> 1,</w:t>
      </w:r>
      <w:r w:rsidR="0000332C" w:rsidRPr="00B65021">
        <w:rPr>
          <w:rFonts w:ascii="Arial" w:hAnsi="Arial" w:cs="Arial"/>
          <w:sz w:val="22"/>
          <w:szCs w:val="22"/>
          <w:lang w:eastAsia="mk-MK"/>
        </w:rPr>
        <w:t xml:space="preserve"> </w:t>
      </w:r>
      <w:r w:rsidRPr="00B65021">
        <w:rPr>
          <w:rFonts w:ascii="Arial" w:hAnsi="Arial" w:cs="Arial"/>
          <w:sz w:val="22"/>
          <w:szCs w:val="22"/>
          <w:lang w:eastAsia="mk-MK"/>
        </w:rPr>
        <w:t>3,</w:t>
      </w:r>
      <w:r w:rsidR="0000332C" w:rsidRPr="00B65021">
        <w:rPr>
          <w:rFonts w:ascii="Arial" w:hAnsi="Arial" w:cs="Arial"/>
          <w:sz w:val="22"/>
          <w:szCs w:val="22"/>
          <w:lang w:eastAsia="mk-MK"/>
        </w:rPr>
        <w:t xml:space="preserve"> </w:t>
      </w:r>
      <w:r w:rsidRPr="00B65021">
        <w:rPr>
          <w:rFonts w:ascii="Arial" w:hAnsi="Arial" w:cs="Arial"/>
          <w:sz w:val="22"/>
          <w:szCs w:val="22"/>
          <w:lang w:eastAsia="mk-MK"/>
        </w:rPr>
        <w:t>7</w:t>
      </w:r>
      <w:r w:rsidR="0000332C" w:rsidRPr="00B65021">
        <w:rPr>
          <w:rFonts w:ascii="Arial" w:hAnsi="Arial" w:cs="Arial"/>
          <w:sz w:val="22"/>
          <w:szCs w:val="22"/>
          <w:lang w:eastAsia="mk-MK"/>
        </w:rPr>
        <w:t xml:space="preserve"> </w:t>
      </w:r>
      <w:r w:rsidRPr="00B65021">
        <w:rPr>
          <w:rFonts w:ascii="Arial" w:hAnsi="Arial" w:cs="Arial"/>
          <w:sz w:val="22"/>
          <w:szCs w:val="22"/>
          <w:lang w:eastAsia="mk-MK"/>
        </w:rPr>
        <w:t>and 9) was entrusted with the signature and entrance into force of the Financial Agreement for IPARD 2014-2020 in June 2017.</w:t>
      </w:r>
    </w:p>
    <w:p w:rsidR="003136C5" w:rsidRPr="00B65021" w:rsidRDefault="003136C5" w:rsidP="003136C5">
      <w:pPr>
        <w:autoSpaceDE w:val="0"/>
        <w:autoSpaceDN w:val="0"/>
        <w:adjustRightInd w:val="0"/>
        <w:spacing w:after="120" w:line="20" w:lineRule="atLeast"/>
        <w:jc w:val="both"/>
        <w:rPr>
          <w:rFonts w:ascii="Arial" w:hAnsi="Arial" w:cs="Arial"/>
          <w:sz w:val="22"/>
          <w:szCs w:val="22"/>
          <w:lang w:eastAsia="mk-MK"/>
        </w:rPr>
      </w:pPr>
      <w:r w:rsidRPr="00B65021">
        <w:rPr>
          <w:rFonts w:ascii="Arial" w:hAnsi="Arial" w:cs="Arial"/>
          <w:sz w:val="22"/>
          <w:szCs w:val="22"/>
          <w:lang w:eastAsia="mk-MK"/>
        </w:rPr>
        <w:lastRenderedPageBreak/>
        <w:t xml:space="preserve">In 2018, improvements of the </w:t>
      </w:r>
      <w:r w:rsidR="0000332C" w:rsidRPr="00B65021">
        <w:rPr>
          <w:rFonts w:ascii="Arial" w:hAnsi="Arial" w:cs="Arial"/>
          <w:sz w:val="22"/>
          <w:szCs w:val="22"/>
          <w:lang w:eastAsia="mk-MK"/>
        </w:rPr>
        <w:t xml:space="preserve">IPARD Agency </w:t>
      </w:r>
      <w:r w:rsidRPr="00B65021">
        <w:rPr>
          <w:rFonts w:ascii="Arial" w:hAnsi="Arial" w:cs="Arial"/>
          <w:sz w:val="22"/>
          <w:szCs w:val="22"/>
          <w:lang w:eastAsia="mk-MK"/>
        </w:rPr>
        <w:t>working procedures were made, on the bases of:</w:t>
      </w:r>
    </w:p>
    <w:p w:rsidR="003136C5" w:rsidRPr="00B65021" w:rsidRDefault="003136C5" w:rsidP="003136C5">
      <w:pPr>
        <w:pStyle w:val="ListParagraph"/>
        <w:numPr>
          <w:ilvl w:val="0"/>
          <w:numId w:val="16"/>
        </w:numPr>
        <w:autoSpaceDE w:val="0"/>
        <w:autoSpaceDN w:val="0"/>
        <w:adjustRightInd w:val="0"/>
        <w:spacing w:after="120" w:line="20" w:lineRule="atLeast"/>
        <w:contextualSpacing/>
        <w:jc w:val="both"/>
        <w:rPr>
          <w:rFonts w:ascii="Arial" w:hAnsi="Arial" w:cs="Arial"/>
          <w:sz w:val="22"/>
          <w:lang w:eastAsia="mk-MK"/>
        </w:rPr>
      </w:pPr>
      <w:r w:rsidRPr="00B65021">
        <w:rPr>
          <w:rFonts w:ascii="Arial" w:hAnsi="Arial" w:cs="Arial"/>
          <w:sz w:val="22"/>
          <w:lang w:eastAsia="mk-MK"/>
        </w:rPr>
        <w:t>experience in the processing of the first public call under IPARD II;</w:t>
      </w:r>
    </w:p>
    <w:p w:rsidR="003136C5" w:rsidRPr="00B65021" w:rsidRDefault="003136C5" w:rsidP="003136C5">
      <w:pPr>
        <w:pStyle w:val="ListParagraph"/>
        <w:numPr>
          <w:ilvl w:val="0"/>
          <w:numId w:val="16"/>
        </w:numPr>
        <w:autoSpaceDE w:val="0"/>
        <w:autoSpaceDN w:val="0"/>
        <w:adjustRightInd w:val="0"/>
        <w:spacing w:after="120" w:line="20" w:lineRule="atLeast"/>
        <w:contextualSpacing/>
        <w:jc w:val="both"/>
        <w:rPr>
          <w:rFonts w:ascii="Arial" w:hAnsi="Arial" w:cs="Arial"/>
          <w:sz w:val="22"/>
          <w:lang w:eastAsia="mk-MK"/>
        </w:rPr>
      </w:pPr>
      <w:r w:rsidRPr="00B65021">
        <w:rPr>
          <w:rFonts w:ascii="Arial" w:hAnsi="Arial" w:cs="Arial"/>
          <w:sz w:val="22"/>
          <w:lang w:eastAsia="mk-MK"/>
        </w:rPr>
        <w:t>further recommendations by DG AGRI, on the submitted working procedures;</w:t>
      </w:r>
    </w:p>
    <w:p w:rsidR="003136C5" w:rsidRPr="00B65021" w:rsidRDefault="003136C5" w:rsidP="003136C5">
      <w:pPr>
        <w:pStyle w:val="ListParagraph"/>
        <w:numPr>
          <w:ilvl w:val="0"/>
          <w:numId w:val="16"/>
        </w:numPr>
        <w:autoSpaceDE w:val="0"/>
        <w:autoSpaceDN w:val="0"/>
        <w:adjustRightInd w:val="0"/>
        <w:spacing w:after="120" w:line="20" w:lineRule="atLeast"/>
        <w:contextualSpacing/>
        <w:jc w:val="both"/>
        <w:rPr>
          <w:rFonts w:ascii="Arial" w:hAnsi="Arial" w:cs="Arial"/>
          <w:sz w:val="22"/>
          <w:lang w:eastAsia="mk-MK"/>
        </w:rPr>
      </w:pPr>
      <w:r w:rsidRPr="00B65021">
        <w:rPr>
          <w:rFonts w:ascii="Arial" w:hAnsi="Arial" w:cs="Arial"/>
          <w:sz w:val="22"/>
          <w:lang w:eastAsia="mk-MK"/>
        </w:rPr>
        <w:t xml:space="preserve">having in mind the weaknesses identified in the conformity/financial clearance </w:t>
      </w:r>
      <w:r w:rsidR="007B5F4F" w:rsidRPr="00B65021">
        <w:rPr>
          <w:rFonts w:ascii="Arial" w:hAnsi="Arial" w:cs="Arial"/>
          <w:sz w:val="22"/>
          <w:lang w:eastAsia="mk-MK"/>
        </w:rPr>
        <w:t xml:space="preserve">process </w:t>
      </w:r>
      <w:r w:rsidRPr="00B65021">
        <w:rPr>
          <w:rFonts w:ascii="Arial" w:hAnsi="Arial" w:cs="Arial"/>
          <w:sz w:val="22"/>
          <w:lang w:eastAsia="mk-MK"/>
        </w:rPr>
        <w:t>under IPARD I and findings from AA.</w:t>
      </w:r>
    </w:p>
    <w:p w:rsidR="003136C5" w:rsidRPr="00B65021" w:rsidRDefault="003136C5" w:rsidP="003136C5">
      <w:pPr>
        <w:autoSpaceDE w:val="0"/>
        <w:autoSpaceDN w:val="0"/>
        <w:adjustRightInd w:val="0"/>
        <w:spacing w:after="120" w:line="20" w:lineRule="atLeast"/>
        <w:jc w:val="both"/>
        <w:rPr>
          <w:rFonts w:ascii="Arial" w:hAnsi="Arial" w:cs="Arial"/>
          <w:sz w:val="22"/>
          <w:lang w:eastAsia="mk-MK"/>
        </w:rPr>
      </w:pPr>
      <w:r w:rsidRPr="00B65021">
        <w:rPr>
          <w:rFonts w:ascii="Arial" w:hAnsi="Arial" w:cs="Arial"/>
          <w:sz w:val="22"/>
          <w:lang w:eastAsia="mk-MK"/>
        </w:rPr>
        <w:t xml:space="preserve">Modifications of </w:t>
      </w:r>
      <w:r w:rsidR="00EA7B87" w:rsidRPr="00B65021">
        <w:rPr>
          <w:rFonts w:ascii="Arial" w:hAnsi="Arial" w:cs="Arial"/>
          <w:sz w:val="22"/>
          <w:lang w:eastAsia="mk-MK"/>
        </w:rPr>
        <w:t xml:space="preserve">the </w:t>
      </w:r>
      <w:r w:rsidRPr="00B65021">
        <w:rPr>
          <w:rFonts w:ascii="Arial" w:hAnsi="Arial" w:cs="Arial"/>
          <w:sz w:val="22"/>
          <w:lang w:eastAsia="mk-MK"/>
        </w:rPr>
        <w:t>IPARD Agency Manual of Procedures are approved by NAO as non-significant and entered into force as of the approval of NAO. The main changes concerned streamlining the controls for detecting artificial split of offers due to circumvent</w:t>
      </w:r>
      <w:r w:rsidR="00EA7B87" w:rsidRPr="00B65021">
        <w:rPr>
          <w:rFonts w:ascii="Arial" w:hAnsi="Arial" w:cs="Arial"/>
          <w:sz w:val="22"/>
          <w:lang w:eastAsia="mk-MK"/>
        </w:rPr>
        <w:t xml:space="preserve">ing </w:t>
      </w:r>
      <w:r w:rsidRPr="00B65021">
        <w:rPr>
          <w:rFonts w:ascii="Arial" w:hAnsi="Arial" w:cs="Arial"/>
          <w:sz w:val="22"/>
          <w:lang w:eastAsia="mk-MK"/>
        </w:rPr>
        <w:t xml:space="preserve">the rule of origin (initiated by DG AGRI), improvement of the controls over the data entered in the RPDB, streamlining the text of the Manual </w:t>
      </w:r>
      <w:r w:rsidR="00EA7B87" w:rsidRPr="00B65021">
        <w:rPr>
          <w:rFonts w:ascii="Arial" w:hAnsi="Arial" w:cs="Arial"/>
          <w:sz w:val="22"/>
          <w:lang w:eastAsia="mk-MK"/>
        </w:rPr>
        <w:t xml:space="preserve">for </w:t>
      </w:r>
      <w:r w:rsidRPr="00B65021">
        <w:rPr>
          <w:rFonts w:ascii="Arial" w:hAnsi="Arial" w:cs="Arial"/>
          <w:sz w:val="22"/>
          <w:lang w:eastAsia="mk-MK"/>
        </w:rPr>
        <w:t xml:space="preserve">regular market research </w:t>
      </w:r>
      <w:r w:rsidR="00EA7B87" w:rsidRPr="00B65021">
        <w:rPr>
          <w:rFonts w:ascii="Arial" w:hAnsi="Arial" w:cs="Arial"/>
          <w:sz w:val="22"/>
          <w:lang w:eastAsia="mk-MK"/>
        </w:rPr>
        <w:t xml:space="preserve">which is </w:t>
      </w:r>
      <w:r w:rsidRPr="00B65021">
        <w:rPr>
          <w:rFonts w:ascii="Arial" w:hAnsi="Arial" w:cs="Arial"/>
          <w:sz w:val="22"/>
          <w:lang w:eastAsia="mk-MK"/>
        </w:rPr>
        <w:t xml:space="preserve">to be performed for the most frequently used items and to be initiated for </w:t>
      </w:r>
      <w:r w:rsidR="00EA7B87" w:rsidRPr="00B65021">
        <w:rPr>
          <w:rFonts w:ascii="Arial" w:hAnsi="Arial" w:cs="Arial"/>
          <w:sz w:val="22"/>
          <w:lang w:eastAsia="mk-MK"/>
        </w:rPr>
        <w:t xml:space="preserve">the </w:t>
      </w:r>
      <w:r w:rsidRPr="00B65021">
        <w:rPr>
          <w:rFonts w:ascii="Arial" w:hAnsi="Arial" w:cs="Arial"/>
          <w:sz w:val="22"/>
          <w:lang w:eastAsia="mk-MK"/>
        </w:rPr>
        <w:t xml:space="preserve">expired items as soon as an information for publishing a new public call is received in URPDB. </w:t>
      </w:r>
    </w:p>
    <w:p w:rsidR="003136C5" w:rsidRPr="00B65021" w:rsidRDefault="003136C5" w:rsidP="003136C5">
      <w:pPr>
        <w:autoSpaceDE w:val="0"/>
        <w:autoSpaceDN w:val="0"/>
        <w:adjustRightInd w:val="0"/>
        <w:spacing w:after="120" w:line="20" w:lineRule="atLeast"/>
        <w:jc w:val="both"/>
        <w:rPr>
          <w:rFonts w:ascii="Arial" w:hAnsi="Arial" w:cs="Arial"/>
          <w:sz w:val="22"/>
          <w:lang w:eastAsia="mk-MK"/>
        </w:rPr>
      </w:pPr>
      <w:r w:rsidRPr="00B65021">
        <w:rPr>
          <w:rFonts w:ascii="Arial" w:hAnsi="Arial" w:cs="Arial"/>
          <w:sz w:val="22"/>
          <w:lang w:eastAsia="mk-MK"/>
        </w:rPr>
        <w:t xml:space="preserve">The other changes that are approved are more </w:t>
      </w:r>
      <w:r w:rsidR="00EA7B87" w:rsidRPr="00B65021">
        <w:rPr>
          <w:rFonts w:ascii="Arial" w:hAnsi="Arial" w:cs="Arial"/>
          <w:sz w:val="22"/>
          <w:lang w:eastAsia="mk-MK"/>
        </w:rPr>
        <w:t xml:space="preserve">of a </w:t>
      </w:r>
      <w:r w:rsidRPr="00B65021">
        <w:rPr>
          <w:rFonts w:ascii="Arial" w:hAnsi="Arial" w:cs="Arial"/>
          <w:sz w:val="22"/>
          <w:lang w:eastAsia="mk-MK"/>
        </w:rPr>
        <w:t xml:space="preserve">technical </w:t>
      </w:r>
      <w:r w:rsidR="00EA7B87" w:rsidRPr="00B65021">
        <w:rPr>
          <w:rFonts w:ascii="Arial" w:hAnsi="Arial" w:cs="Arial"/>
          <w:sz w:val="22"/>
          <w:lang w:eastAsia="mk-MK"/>
        </w:rPr>
        <w:t xml:space="preserve">nature </w:t>
      </w:r>
      <w:r w:rsidRPr="00B65021">
        <w:rPr>
          <w:rFonts w:ascii="Arial" w:hAnsi="Arial" w:cs="Arial"/>
          <w:sz w:val="22"/>
          <w:lang w:eastAsia="mk-MK"/>
        </w:rPr>
        <w:t xml:space="preserve">and </w:t>
      </w:r>
      <w:r w:rsidR="00EA7B87" w:rsidRPr="00B65021">
        <w:rPr>
          <w:rFonts w:ascii="Arial" w:hAnsi="Arial" w:cs="Arial"/>
          <w:sz w:val="22"/>
          <w:lang w:eastAsia="mk-MK"/>
        </w:rPr>
        <w:t xml:space="preserve">refer to the </w:t>
      </w:r>
      <w:r w:rsidRPr="00B65021">
        <w:rPr>
          <w:rFonts w:ascii="Arial" w:hAnsi="Arial" w:cs="Arial"/>
          <w:sz w:val="22"/>
          <w:lang w:eastAsia="mk-MK"/>
        </w:rPr>
        <w:t xml:space="preserve">need for corrections in the manuals and alignment with the recommendations issued by auditors in the Compliance Assessment process for the accreditation of </w:t>
      </w:r>
      <w:r w:rsidR="00EA7B87" w:rsidRPr="00B65021">
        <w:rPr>
          <w:rFonts w:ascii="Arial" w:hAnsi="Arial" w:cs="Arial"/>
          <w:sz w:val="22"/>
          <w:lang w:eastAsia="mk-MK"/>
        </w:rPr>
        <w:t xml:space="preserve">the </w:t>
      </w:r>
      <w:r w:rsidRPr="00B65021">
        <w:rPr>
          <w:rFonts w:ascii="Arial" w:hAnsi="Arial" w:cs="Arial"/>
          <w:sz w:val="22"/>
          <w:lang w:eastAsia="mk-MK"/>
        </w:rPr>
        <w:t>Rural Infrastructure</w:t>
      </w:r>
      <w:r w:rsidR="00EA7B87" w:rsidRPr="00B65021">
        <w:rPr>
          <w:rFonts w:ascii="Arial" w:hAnsi="Arial" w:cs="Arial"/>
          <w:sz w:val="22"/>
          <w:lang w:eastAsia="mk-MK"/>
        </w:rPr>
        <w:t xml:space="preserve"> measure</w:t>
      </w:r>
      <w:r w:rsidRPr="00B65021">
        <w:rPr>
          <w:rFonts w:ascii="Arial" w:hAnsi="Arial" w:cs="Arial"/>
          <w:sz w:val="22"/>
          <w:lang w:eastAsia="mk-MK"/>
        </w:rPr>
        <w:t>, a</w:t>
      </w:r>
      <w:r w:rsidR="00EA7B87" w:rsidRPr="00B65021">
        <w:rPr>
          <w:rFonts w:ascii="Arial" w:hAnsi="Arial" w:cs="Arial"/>
          <w:sz w:val="22"/>
          <w:lang w:eastAsia="mk-MK"/>
        </w:rPr>
        <w:t xml:space="preserve">s well as a </w:t>
      </w:r>
      <w:r w:rsidRPr="00B65021">
        <w:rPr>
          <w:rFonts w:ascii="Arial" w:hAnsi="Arial" w:cs="Arial"/>
          <w:sz w:val="22"/>
          <w:lang w:eastAsia="mk-MK"/>
        </w:rPr>
        <w:t xml:space="preserve">change concerning </w:t>
      </w:r>
      <w:r w:rsidR="00EA7B87" w:rsidRPr="00B65021">
        <w:rPr>
          <w:rFonts w:ascii="Arial" w:hAnsi="Arial" w:cs="Arial"/>
          <w:sz w:val="22"/>
          <w:lang w:eastAsia="mk-MK"/>
        </w:rPr>
        <w:t xml:space="preserve">the </w:t>
      </w:r>
      <w:r w:rsidRPr="00B65021">
        <w:rPr>
          <w:rFonts w:ascii="Arial" w:hAnsi="Arial" w:cs="Arial"/>
          <w:sz w:val="22"/>
          <w:lang w:eastAsia="mk-MK"/>
        </w:rPr>
        <w:t xml:space="preserve">project approval phase where </w:t>
      </w:r>
      <w:r w:rsidR="00EA7B87" w:rsidRPr="00B65021">
        <w:rPr>
          <w:rFonts w:ascii="Arial" w:hAnsi="Arial" w:cs="Arial"/>
          <w:sz w:val="22"/>
          <w:lang w:eastAsia="mk-MK"/>
        </w:rPr>
        <w:t xml:space="preserve">the </w:t>
      </w:r>
      <w:r w:rsidRPr="00B65021">
        <w:rPr>
          <w:rFonts w:ascii="Arial" w:hAnsi="Arial" w:cs="Arial"/>
          <w:sz w:val="22"/>
          <w:lang w:eastAsia="mk-MK"/>
        </w:rPr>
        <w:t xml:space="preserve">time for </w:t>
      </w:r>
      <w:r w:rsidR="00EA7B87" w:rsidRPr="00B65021">
        <w:rPr>
          <w:rFonts w:ascii="Arial" w:hAnsi="Arial" w:cs="Arial"/>
          <w:sz w:val="22"/>
          <w:lang w:eastAsia="mk-MK"/>
        </w:rPr>
        <w:t xml:space="preserve">submitting </w:t>
      </w:r>
      <w:r w:rsidRPr="00B65021">
        <w:rPr>
          <w:rFonts w:ascii="Arial" w:hAnsi="Arial" w:cs="Arial"/>
          <w:sz w:val="22"/>
          <w:lang w:eastAsia="mk-MK"/>
        </w:rPr>
        <w:t>additional documents by applicant</w:t>
      </w:r>
      <w:r w:rsidR="00EA7B87" w:rsidRPr="00B65021">
        <w:rPr>
          <w:rFonts w:ascii="Arial" w:hAnsi="Arial" w:cs="Arial"/>
          <w:sz w:val="22"/>
          <w:lang w:eastAsia="mk-MK"/>
        </w:rPr>
        <w:t>s</w:t>
      </w:r>
      <w:r w:rsidRPr="00B65021">
        <w:rPr>
          <w:rFonts w:ascii="Arial" w:hAnsi="Arial" w:cs="Arial"/>
          <w:sz w:val="22"/>
          <w:lang w:eastAsia="mk-MK"/>
        </w:rPr>
        <w:t xml:space="preserve"> is reduced from 15 (+10 additional days </w:t>
      </w:r>
      <w:r w:rsidR="00EA7B87" w:rsidRPr="00B65021">
        <w:rPr>
          <w:rFonts w:ascii="Arial" w:hAnsi="Arial" w:cs="Arial"/>
          <w:sz w:val="22"/>
          <w:lang w:eastAsia="mk-MK"/>
        </w:rPr>
        <w:t>at</w:t>
      </w:r>
      <w:r w:rsidRPr="00B65021">
        <w:rPr>
          <w:rFonts w:ascii="Arial" w:hAnsi="Arial" w:cs="Arial"/>
          <w:sz w:val="22"/>
          <w:lang w:eastAsia="mk-MK"/>
        </w:rPr>
        <w:t xml:space="preserve"> request of applicant</w:t>
      </w:r>
      <w:r w:rsidR="00EA7B87" w:rsidRPr="00B65021">
        <w:rPr>
          <w:rFonts w:ascii="Arial" w:hAnsi="Arial" w:cs="Arial"/>
          <w:sz w:val="22"/>
          <w:lang w:eastAsia="mk-MK"/>
        </w:rPr>
        <w:t>s</w:t>
      </w:r>
      <w:r w:rsidRPr="00B65021">
        <w:rPr>
          <w:rFonts w:ascii="Arial" w:hAnsi="Arial" w:cs="Arial"/>
          <w:sz w:val="22"/>
          <w:lang w:eastAsia="mk-MK"/>
        </w:rPr>
        <w:t>) to 8 days.</w:t>
      </w:r>
    </w:p>
    <w:p w:rsidR="003136C5" w:rsidRPr="00B65021" w:rsidRDefault="003136C5" w:rsidP="003136C5">
      <w:pPr>
        <w:autoSpaceDE w:val="0"/>
        <w:autoSpaceDN w:val="0"/>
        <w:adjustRightInd w:val="0"/>
        <w:spacing w:after="120" w:line="20" w:lineRule="atLeast"/>
        <w:jc w:val="both"/>
        <w:rPr>
          <w:rFonts w:ascii="Arial" w:hAnsi="Arial" w:cs="Arial"/>
          <w:sz w:val="22"/>
          <w:lang w:eastAsia="mk-MK"/>
        </w:rPr>
      </w:pPr>
      <w:r w:rsidRPr="00B65021">
        <w:rPr>
          <w:rFonts w:ascii="Arial" w:hAnsi="Arial" w:cs="Arial"/>
          <w:sz w:val="22"/>
          <w:lang w:eastAsia="mk-MK"/>
        </w:rPr>
        <w:t xml:space="preserve">In addition, </w:t>
      </w:r>
      <w:r w:rsidR="00E85DA7" w:rsidRPr="00B65021">
        <w:rPr>
          <w:rFonts w:ascii="Arial" w:hAnsi="Arial" w:cs="Arial"/>
          <w:sz w:val="22"/>
          <w:lang w:eastAsia="mk-MK"/>
        </w:rPr>
        <w:t xml:space="preserve">a </w:t>
      </w:r>
      <w:r w:rsidRPr="00B65021">
        <w:rPr>
          <w:rFonts w:ascii="Arial" w:hAnsi="Arial" w:cs="Arial"/>
          <w:sz w:val="22"/>
          <w:lang w:eastAsia="mk-MK"/>
        </w:rPr>
        <w:t xml:space="preserve">significant change was proposed in the </w:t>
      </w:r>
      <w:r w:rsidR="00E85DA7" w:rsidRPr="00B65021">
        <w:rPr>
          <w:rFonts w:ascii="Arial" w:hAnsi="Arial" w:cs="Arial"/>
          <w:sz w:val="22"/>
          <w:lang w:eastAsia="mk-MK"/>
        </w:rPr>
        <w:t xml:space="preserve">National Fund </w:t>
      </w:r>
      <w:r w:rsidRPr="00B65021">
        <w:rPr>
          <w:rFonts w:ascii="Arial" w:hAnsi="Arial" w:cs="Arial"/>
          <w:sz w:val="22"/>
          <w:lang w:eastAsia="mk-MK"/>
        </w:rPr>
        <w:t xml:space="preserve">working arrangements, in particular in the Accounting System. The proposed </w:t>
      </w:r>
      <w:r w:rsidR="00E85DA7" w:rsidRPr="00B65021">
        <w:rPr>
          <w:rFonts w:ascii="Arial" w:hAnsi="Arial" w:cs="Arial"/>
          <w:sz w:val="22"/>
          <w:lang w:eastAsia="mk-MK"/>
        </w:rPr>
        <w:t xml:space="preserve">working arrangements </w:t>
      </w:r>
      <w:r w:rsidRPr="00B65021">
        <w:rPr>
          <w:rFonts w:ascii="Arial" w:hAnsi="Arial" w:cs="Arial"/>
          <w:sz w:val="22"/>
          <w:lang w:eastAsia="mk-MK"/>
        </w:rPr>
        <w:t>changes have been assessed by NAO support office and approved by NAO. Having in mind that the changes are significant, they were submitted to DG AGRI for approval in June 2018. Pursuant to the provisions of the Sectoral Agreement, the proposed changes will be implemented after approval by the DG Agri.</w:t>
      </w:r>
      <w:r w:rsidRPr="00B65021">
        <w:rPr>
          <w:rFonts w:ascii="Arial" w:hAnsi="Arial" w:cs="Arial"/>
          <w:sz w:val="22"/>
        </w:rPr>
        <w:t xml:space="preserve"> </w:t>
      </w:r>
      <w:r w:rsidRPr="00B65021">
        <w:rPr>
          <w:rFonts w:ascii="Arial" w:hAnsi="Arial" w:cs="Arial"/>
          <w:sz w:val="22"/>
          <w:lang w:eastAsia="mk-MK"/>
        </w:rPr>
        <w:t xml:space="preserve">The need of changes to the applicable </w:t>
      </w:r>
      <w:r w:rsidR="00E85DA7" w:rsidRPr="00B65021">
        <w:rPr>
          <w:rFonts w:ascii="Arial" w:hAnsi="Arial" w:cs="Arial"/>
          <w:sz w:val="22"/>
          <w:lang w:eastAsia="mk-MK"/>
        </w:rPr>
        <w:t xml:space="preserve">National Fund </w:t>
      </w:r>
      <w:r w:rsidRPr="00B65021">
        <w:rPr>
          <w:rFonts w:ascii="Arial" w:hAnsi="Arial" w:cs="Arial"/>
          <w:sz w:val="22"/>
          <w:lang w:eastAsia="mk-MK"/>
        </w:rPr>
        <w:t>working arrangements arose from the recommendations for improv</w:t>
      </w:r>
      <w:r w:rsidR="00E85DA7" w:rsidRPr="00B65021">
        <w:rPr>
          <w:rFonts w:ascii="Arial" w:hAnsi="Arial" w:cs="Arial"/>
          <w:sz w:val="22"/>
          <w:lang w:eastAsia="mk-MK"/>
        </w:rPr>
        <w:t xml:space="preserve">ing </w:t>
      </w:r>
      <w:r w:rsidRPr="00B65021">
        <w:rPr>
          <w:rFonts w:ascii="Arial" w:hAnsi="Arial" w:cs="Arial"/>
          <w:sz w:val="22"/>
          <w:lang w:eastAsia="mk-MK"/>
        </w:rPr>
        <w:t xml:space="preserve">the accounting system, given by the TWL Project “Strengthening the Capacities of National Authorities for Sound &amp; Efficient Management of EU Funds, as well as in view of New EU Regulation for 2014-2020 Financial Perspective”, as well as the lessons learned from practical implementation. </w:t>
      </w:r>
      <w:r w:rsidR="00E85DA7" w:rsidRPr="00B65021">
        <w:rPr>
          <w:rFonts w:ascii="Arial" w:hAnsi="Arial" w:cs="Arial"/>
          <w:sz w:val="22"/>
          <w:lang w:eastAsia="mk-MK"/>
        </w:rPr>
        <w:t>The m</w:t>
      </w:r>
      <w:r w:rsidRPr="00B65021">
        <w:rPr>
          <w:rFonts w:ascii="Arial" w:hAnsi="Arial" w:cs="Arial"/>
          <w:sz w:val="22"/>
          <w:lang w:eastAsia="mk-MK"/>
        </w:rPr>
        <w:t>ain reason for modifying the procedures is the recommendation for amendments regarding the recognition of revenues and expense given by the TwL experts. The change is still not approved by the D</w:t>
      </w:r>
      <w:r w:rsidR="00E85DA7" w:rsidRPr="00B65021">
        <w:rPr>
          <w:rFonts w:ascii="Arial" w:hAnsi="Arial" w:cs="Arial"/>
          <w:sz w:val="22"/>
          <w:lang w:eastAsia="mk-MK"/>
        </w:rPr>
        <w:t>G AGRI</w:t>
      </w:r>
      <w:r w:rsidRPr="00B65021">
        <w:rPr>
          <w:rFonts w:ascii="Arial" w:hAnsi="Arial" w:cs="Arial"/>
          <w:sz w:val="22"/>
          <w:lang w:eastAsia="mk-MK"/>
        </w:rPr>
        <w:t>.</w:t>
      </w:r>
    </w:p>
    <w:p w:rsidR="003136C5" w:rsidRPr="00B65021" w:rsidRDefault="003136C5" w:rsidP="003136C5">
      <w:pPr>
        <w:autoSpaceDE w:val="0"/>
        <w:autoSpaceDN w:val="0"/>
        <w:adjustRightInd w:val="0"/>
        <w:spacing w:after="120" w:line="20" w:lineRule="atLeast"/>
        <w:jc w:val="both"/>
        <w:rPr>
          <w:rFonts w:ascii="Arial" w:hAnsi="Arial" w:cs="Arial"/>
          <w:sz w:val="22"/>
          <w:lang w:eastAsia="mk-MK"/>
        </w:rPr>
      </w:pPr>
      <w:r w:rsidRPr="00B65021">
        <w:rPr>
          <w:rFonts w:ascii="Arial" w:hAnsi="Arial" w:cs="Arial"/>
          <w:sz w:val="22"/>
          <w:lang w:eastAsia="mk-MK"/>
        </w:rPr>
        <w:t xml:space="preserve">The activities undertaken by the IPARD Structures for improving the functioning of the indirect management </w:t>
      </w:r>
      <w:r w:rsidR="00E85DA7" w:rsidRPr="00B65021">
        <w:rPr>
          <w:rFonts w:ascii="Arial" w:hAnsi="Arial" w:cs="Arial"/>
          <w:sz w:val="22"/>
          <w:lang w:eastAsia="mk-MK"/>
        </w:rPr>
        <w:t xml:space="preserve">system </w:t>
      </w:r>
      <w:r w:rsidRPr="00B65021">
        <w:rPr>
          <w:rFonts w:ascii="Arial" w:hAnsi="Arial" w:cs="Arial"/>
          <w:sz w:val="22"/>
          <w:lang w:eastAsia="mk-MK"/>
        </w:rPr>
        <w:t xml:space="preserve">are presented in </w:t>
      </w:r>
      <w:r w:rsidR="00E85DA7" w:rsidRPr="00B65021">
        <w:rPr>
          <w:rFonts w:ascii="Arial" w:hAnsi="Arial" w:cs="Arial"/>
          <w:sz w:val="22"/>
          <w:lang w:eastAsia="mk-MK"/>
        </w:rPr>
        <w:t xml:space="preserve">the </w:t>
      </w:r>
      <w:r w:rsidRPr="00B65021">
        <w:rPr>
          <w:rFonts w:ascii="Arial" w:hAnsi="Arial" w:cs="Arial"/>
          <w:sz w:val="22"/>
          <w:lang w:eastAsia="mk-MK"/>
        </w:rPr>
        <w:t>following part.</w:t>
      </w:r>
    </w:p>
    <w:p w:rsidR="003136C5" w:rsidRPr="009C5096" w:rsidRDefault="003136C5" w:rsidP="003136C5">
      <w:pPr>
        <w:pStyle w:val="BodyText"/>
        <w:overflowPunct w:val="0"/>
        <w:autoSpaceDE w:val="0"/>
        <w:spacing w:before="120" w:line="100" w:lineRule="atLeast"/>
        <w:jc w:val="both"/>
        <w:textAlignment w:val="baseline"/>
        <w:rPr>
          <w:rFonts w:ascii="Arial" w:eastAsia="TimesNewRomanPS-BoldItalicMT" w:hAnsi="Arial" w:cs="Arial"/>
          <w:sz w:val="22"/>
          <w:szCs w:val="22"/>
          <w:lang w:val="en-US"/>
        </w:rPr>
      </w:pPr>
      <w:r w:rsidRPr="009C5096">
        <w:rPr>
          <w:rFonts w:ascii="Arial" w:eastAsia="TimesNewRomanPS-BoldItalicMT" w:hAnsi="Arial" w:cs="Arial"/>
          <w:b/>
          <w:bCs/>
          <w:iCs/>
          <w:lang w:val="en-US"/>
        </w:rPr>
        <w:t>Verification Visit</w:t>
      </w:r>
      <w:r w:rsidRPr="009C5096">
        <w:rPr>
          <w:rFonts w:ascii="Arial" w:eastAsia="TimesNewRomanPS-BoldItalicMT" w:hAnsi="Arial" w:cs="Arial"/>
          <w:sz w:val="22"/>
          <w:szCs w:val="22"/>
          <w:lang w:val="en-US"/>
        </w:rPr>
        <w:tab/>
      </w:r>
    </w:p>
    <w:p w:rsidR="003136C5" w:rsidRPr="004D2953" w:rsidRDefault="003076A1" w:rsidP="003136C5">
      <w:pPr>
        <w:spacing w:after="120"/>
        <w:jc w:val="both"/>
        <w:rPr>
          <w:rFonts w:ascii="Arial" w:hAnsi="Arial" w:cs="Arial"/>
          <w:sz w:val="22"/>
        </w:rPr>
      </w:pPr>
      <w:r w:rsidRPr="004D2953">
        <w:rPr>
          <w:rFonts w:ascii="Arial" w:hAnsi="Arial" w:cs="Arial"/>
          <w:sz w:val="22"/>
        </w:rPr>
        <w:t xml:space="preserve">The </w:t>
      </w:r>
      <w:r w:rsidR="003136C5" w:rsidRPr="004D2953">
        <w:rPr>
          <w:rFonts w:ascii="Arial" w:hAnsi="Arial" w:cs="Arial"/>
          <w:sz w:val="22"/>
        </w:rPr>
        <w:t xml:space="preserve">NAO support office within the </w:t>
      </w:r>
      <w:r w:rsidRPr="004D2953">
        <w:rPr>
          <w:rFonts w:ascii="Arial" w:hAnsi="Arial" w:cs="Arial"/>
          <w:sz w:val="22"/>
        </w:rPr>
        <w:t xml:space="preserve">2018 </w:t>
      </w:r>
      <w:r w:rsidR="003136C5" w:rsidRPr="004D2953">
        <w:rPr>
          <w:rFonts w:ascii="Arial" w:hAnsi="Arial" w:cs="Arial"/>
          <w:sz w:val="22"/>
        </w:rPr>
        <w:t xml:space="preserve">Annual </w:t>
      </w:r>
      <w:r w:rsidRPr="004D2953">
        <w:rPr>
          <w:rFonts w:ascii="Arial" w:hAnsi="Arial" w:cs="Arial"/>
          <w:sz w:val="22"/>
        </w:rPr>
        <w:t>P</w:t>
      </w:r>
      <w:r w:rsidR="003136C5" w:rsidRPr="004D2953">
        <w:rPr>
          <w:rFonts w:ascii="Arial" w:hAnsi="Arial" w:cs="Arial"/>
          <w:sz w:val="22"/>
        </w:rPr>
        <w:t xml:space="preserve">lan for </w:t>
      </w:r>
      <w:r w:rsidRPr="004D2953">
        <w:rPr>
          <w:rFonts w:ascii="Arial" w:hAnsi="Arial" w:cs="Arial"/>
          <w:sz w:val="22"/>
        </w:rPr>
        <w:t>V</w:t>
      </w:r>
      <w:r w:rsidR="003136C5" w:rsidRPr="004D2953">
        <w:rPr>
          <w:rFonts w:ascii="Arial" w:hAnsi="Arial" w:cs="Arial"/>
          <w:sz w:val="22"/>
        </w:rPr>
        <w:t xml:space="preserve">erification </w:t>
      </w:r>
      <w:r w:rsidRPr="004D2953">
        <w:rPr>
          <w:rFonts w:ascii="Arial" w:hAnsi="Arial" w:cs="Arial"/>
          <w:sz w:val="22"/>
        </w:rPr>
        <w:t>V</w:t>
      </w:r>
      <w:r w:rsidR="003136C5" w:rsidRPr="004D2953">
        <w:rPr>
          <w:rFonts w:ascii="Arial" w:hAnsi="Arial" w:cs="Arial"/>
          <w:sz w:val="22"/>
        </w:rPr>
        <w:t xml:space="preserve">isits planned one verification visit concerning IPARD I Programme (ex post checks regarding </w:t>
      </w:r>
      <w:r w:rsidRPr="004D2953">
        <w:rPr>
          <w:rFonts w:ascii="Arial" w:hAnsi="Arial" w:cs="Arial"/>
          <w:sz w:val="22"/>
        </w:rPr>
        <w:t xml:space="preserve">projects’ </w:t>
      </w:r>
      <w:r w:rsidR="003136C5" w:rsidRPr="004D2953">
        <w:rPr>
          <w:rFonts w:ascii="Arial" w:hAnsi="Arial" w:cs="Arial"/>
          <w:sz w:val="22"/>
        </w:rPr>
        <w:t>sustainability under IPARD I programme)</w:t>
      </w:r>
      <w:r w:rsidR="000522A6" w:rsidRPr="004D2953">
        <w:rPr>
          <w:rFonts w:ascii="Arial" w:hAnsi="Arial" w:cs="Arial"/>
          <w:sz w:val="22"/>
        </w:rPr>
        <w:t>,</w:t>
      </w:r>
      <w:r w:rsidR="003136C5" w:rsidRPr="004D2953">
        <w:rPr>
          <w:rFonts w:ascii="Arial" w:hAnsi="Arial" w:cs="Arial"/>
          <w:sz w:val="22"/>
        </w:rPr>
        <w:t xml:space="preserve"> as well as two verification visits over the project approval process and payment process within the IPARD Agency concerning implementation of IPARD II Programme. </w:t>
      </w:r>
    </w:p>
    <w:p w:rsidR="003136C5" w:rsidRPr="004D2953" w:rsidRDefault="003136C5" w:rsidP="003136C5">
      <w:pPr>
        <w:spacing w:after="120"/>
        <w:jc w:val="both"/>
        <w:rPr>
          <w:rFonts w:ascii="Arial" w:hAnsi="Arial" w:cs="Arial"/>
          <w:sz w:val="22"/>
          <w:szCs w:val="22"/>
        </w:rPr>
      </w:pPr>
      <w:r w:rsidRPr="004D2953">
        <w:rPr>
          <w:rFonts w:ascii="Arial" w:hAnsi="Arial" w:cs="Arial"/>
          <w:sz w:val="22"/>
        </w:rPr>
        <w:t xml:space="preserve">In the period June-September 2018 concerning </w:t>
      </w:r>
      <w:r w:rsidR="000522A6" w:rsidRPr="004D2953">
        <w:rPr>
          <w:rFonts w:ascii="Arial" w:hAnsi="Arial" w:cs="Arial"/>
          <w:sz w:val="22"/>
        </w:rPr>
        <w:t xml:space="preserve">the </w:t>
      </w:r>
      <w:r w:rsidRPr="004D2953">
        <w:rPr>
          <w:rFonts w:ascii="Arial" w:hAnsi="Arial" w:cs="Arial"/>
          <w:sz w:val="22"/>
        </w:rPr>
        <w:t xml:space="preserve">IPARD I programing period </w:t>
      </w:r>
      <w:r w:rsidR="000522A6" w:rsidRPr="004D2953">
        <w:rPr>
          <w:rFonts w:ascii="Arial" w:hAnsi="Arial" w:cs="Arial"/>
          <w:sz w:val="22"/>
        </w:rPr>
        <w:t xml:space="preserve">there was a </w:t>
      </w:r>
      <w:r w:rsidRPr="004D2953">
        <w:rPr>
          <w:rFonts w:ascii="Arial" w:hAnsi="Arial" w:cs="Arial"/>
          <w:sz w:val="22"/>
        </w:rPr>
        <w:t>verification visit on</w:t>
      </w:r>
      <w:r w:rsidR="000522A6" w:rsidRPr="004D2953">
        <w:rPr>
          <w:rFonts w:ascii="Arial" w:hAnsi="Arial" w:cs="Arial"/>
          <w:sz w:val="22"/>
        </w:rPr>
        <w:t xml:space="preserve"> site to </w:t>
      </w:r>
      <w:r w:rsidRPr="004D2953">
        <w:rPr>
          <w:rFonts w:ascii="Arial" w:hAnsi="Arial" w:cs="Arial"/>
          <w:sz w:val="22"/>
        </w:rPr>
        <w:t xml:space="preserve">check the </w:t>
      </w:r>
      <w:r w:rsidR="000522A6" w:rsidRPr="004D2953">
        <w:rPr>
          <w:rFonts w:ascii="Arial" w:hAnsi="Arial" w:cs="Arial"/>
          <w:sz w:val="22"/>
        </w:rPr>
        <w:t xml:space="preserve">projects’ </w:t>
      </w:r>
      <w:r w:rsidRPr="004D2953">
        <w:rPr>
          <w:rFonts w:ascii="Arial" w:hAnsi="Arial" w:cs="Arial"/>
          <w:sz w:val="22"/>
        </w:rPr>
        <w:t>sustainability for assuring the legality and regularity of paid projects</w:t>
      </w:r>
      <w:r w:rsidR="000522A6" w:rsidRPr="004D2953">
        <w:rPr>
          <w:rFonts w:ascii="Arial" w:hAnsi="Arial" w:cs="Arial"/>
          <w:sz w:val="22"/>
        </w:rPr>
        <w:t xml:space="preserve"> transactions</w:t>
      </w:r>
      <w:r w:rsidRPr="004D2953">
        <w:rPr>
          <w:rFonts w:ascii="Arial" w:hAnsi="Arial" w:cs="Arial"/>
          <w:sz w:val="22"/>
        </w:rPr>
        <w:t xml:space="preserve">. The second and third verification visit over the project approval process and payment process are </w:t>
      </w:r>
      <w:r w:rsidR="000522A6" w:rsidRPr="004D2953">
        <w:rPr>
          <w:rFonts w:ascii="Arial" w:hAnsi="Arial" w:cs="Arial"/>
          <w:sz w:val="22"/>
        </w:rPr>
        <w:t>finalized</w:t>
      </w:r>
      <w:r w:rsidRPr="004D2953">
        <w:rPr>
          <w:rFonts w:ascii="Arial" w:hAnsi="Arial" w:cs="Arial"/>
          <w:sz w:val="22"/>
        </w:rPr>
        <w:t xml:space="preserve"> as well. The goal of these two </w:t>
      </w:r>
      <w:r w:rsidRPr="004D2953">
        <w:rPr>
          <w:rFonts w:ascii="Arial" w:hAnsi="Arial" w:cs="Arial"/>
          <w:sz w:val="22"/>
          <w:szCs w:val="22"/>
        </w:rPr>
        <w:t xml:space="preserve">verification visits was to supervise the management and control systems, to check the control of the eligible applications for concluding contracts and to check controls concerning legality and regularity of the transactions for the paid projects from the same public call. </w:t>
      </w:r>
      <w:r w:rsidR="000522A6" w:rsidRPr="004D2953">
        <w:rPr>
          <w:rFonts w:ascii="Arial" w:hAnsi="Arial" w:cs="Arial"/>
          <w:sz w:val="22"/>
          <w:szCs w:val="22"/>
        </w:rPr>
        <w:t>The t</w:t>
      </w:r>
      <w:r w:rsidRPr="004D2953">
        <w:rPr>
          <w:rFonts w:ascii="Arial" w:hAnsi="Arial" w:cs="Arial"/>
          <w:sz w:val="22"/>
          <w:szCs w:val="22"/>
        </w:rPr>
        <w:t xml:space="preserve">otal number of projects checked (for </w:t>
      </w:r>
      <w:r w:rsidR="000522A6" w:rsidRPr="004D2953">
        <w:rPr>
          <w:rFonts w:ascii="Arial" w:hAnsi="Arial" w:cs="Arial"/>
          <w:sz w:val="22"/>
          <w:szCs w:val="22"/>
        </w:rPr>
        <w:t>M</w:t>
      </w:r>
      <w:r w:rsidRPr="004D2953">
        <w:rPr>
          <w:rFonts w:ascii="Arial" w:hAnsi="Arial" w:cs="Arial"/>
          <w:sz w:val="22"/>
          <w:szCs w:val="22"/>
        </w:rPr>
        <w:t>easure 1 and 3) during th</w:t>
      </w:r>
      <w:r w:rsidR="000522A6" w:rsidRPr="004D2953">
        <w:rPr>
          <w:rFonts w:ascii="Arial" w:hAnsi="Arial" w:cs="Arial"/>
          <w:sz w:val="22"/>
          <w:szCs w:val="22"/>
        </w:rPr>
        <w:t>ese</w:t>
      </w:r>
      <w:r w:rsidRPr="004D2953">
        <w:rPr>
          <w:rFonts w:ascii="Arial" w:hAnsi="Arial" w:cs="Arial"/>
          <w:sz w:val="22"/>
          <w:szCs w:val="22"/>
        </w:rPr>
        <w:t xml:space="preserve"> verification visits was 9 projects, out of which 6 projects in </w:t>
      </w:r>
      <w:r w:rsidR="000522A6" w:rsidRPr="004D2953">
        <w:rPr>
          <w:rFonts w:ascii="Arial" w:hAnsi="Arial" w:cs="Arial"/>
          <w:sz w:val="22"/>
          <w:szCs w:val="22"/>
        </w:rPr>
        <w:t xml:space="preserve">the </w:t>
      </w:r>
      <w:r w:rsidRPr="004D2953">
        <w:rPr>
          <w:rFonts w:ascii="Arial" w:hAnsi="Arial" w:cs="Arial"/>
          <w:sz w:val="22"/>
          <w:szCs w:val="22"/>
        </w:rPr>
        <w:t xml:space="preserve">project approval process and 3 projects in </w:t>
      </w:r>
      <w:r w:rsidR="000522A6" w:rsidRPr="004D2953">
        <w:rPr>
          <w:rFonts w:ascii="Arial" w:hAnsi="Arial" w:cs="Arial"/>
          <w:sz w:val="22"/>
          <w:szCs w:val="22"/>
        </w:rPr>
        <w:t xml:space="preserve">the </w:t>
      </w:r>
      <w:r w:rsidRPr="004D2953">
        <w:rPr>
          <w:rFonts w:ascii="Arial" w:hAnsi="Arial" w:cs="Arial"/>
          <w:sz w:val="22"/>
          <w:szCs w:val="22"/>
        </w:rPr>
        <w:t>payment phase. T</w:t>
      </w:r>
      <w:r w:rsidR="00586E8A" w:rsidRPr="004D2953">
        <w:rPr>
          <w:rFonts w:ascii="Arial" w:hAnsi="Arial" w:cs="Arial"/>
          <w:sz w:val="22"/>
          <w:szCs w:val="22"/>
        </w:rPr>
        <w:t>he t</w:t>
      </w:r>
      <w:r w:rsidRPr="004D2953">
        <w:rPr>
          <w:rFonts w:ascii="Arial" w:hAnsi="Arial" w:cs="Arial"/>
          <w:sz w:val="22"/>
          <w:szCs w:val="22"/>
        </w:rPr>
        <w:t>otal amount of 653</w:t>
      </w:r>
      <w:r w:rsidR="00586E8A" w:rsidRPr="004D2953">
        <w:rPr>
          <w:rFonts w:ascii="Arial" w:hAnsi="Arial" w:cs="Arial"/>
          <w:sz w:val="22"/>
          <w:szCs w:val="22"/>
        </w:rPr>
        <w:t>,</w:t>
      </w:r>
      <w:r w:rsidRPr="004D2953">
        <w:rPr>
          <w:rFonts w:ascii="Arial" w:hAnsi="Arial" w:cs="Arial"/>
          <w:sz w:val="22"/>
          <w:szCs w:val="22"/>
        </w:rPr>
        <w:t>904</w:t>
      </w:r>
      <w:r w:rsidR="00586E8A" w:rsidRPr="004D2953">
        <w:rPr>
          <w:rFonts w:ascii="Arial" w:hAnsi="Arial" w:cs="Arial"/>
          <w:sz w:val="22"/>
          <w:szCs w:val="22"/>
        </w:rPr>
        <w:t>.</w:t>
      </w:r>
      <w:r w:rsidRPr="004D2953">
        <w:rPr>
          <w:rFonts w:ascii="Arial" w:hAnsi="Arial" w:cs="Arial"/>
          <w:sz w:val="22"/>
          <w:szCs w:val="22"/>
        </w:rPr>
        <w:t xml:space="preserve">33 EUR is checked out of </w:t>
      </w:r>
      <w:r w:rsidR="00586E8A" w:rsidRPr="004D2953">
        <w:rPr>
          <w:rFonts w:ascii="Arial" w:hAnsi="Arial" w:cs="Arial"/>
          <w:sz w:val="22"/>
          <w:szCs w:val="22"/>
        </w:rPr>
        <w:t xml:space="preserve">a contracted amount of </w:t>
      </w:r>
      <w:r w:rsidRPr="004D2953">
        <w:rPr>
          <w:rFonts w:ascii="Arial" w:hAnsi="Arial" w:cs="Arial"/>
          <w:sz w:val="22"/>
          <w:szCs w:val="22"/>
        </w:rPr>
        <w:t>17</w:t>
      </w:r>
      <w:r w:rsidR="00586E8A" w:rsidRPr="004D2953">
        <w:rPr>
          <w:rFonts w:ascii="Arial" w:hAnsi="Arial" w:cs="Arial"/>
          <w:sz w:val="22"/>
          <w:szCs w:val="22"/>
        </w:rPr>
        <w:t>,</w:t>
      </w:r>
      <w:r w:rsidRPr="004D2953">
        <w:rPr>
          <w:rFonts w:ascii="Arial" w:hAnsi="Arial" w:cs="Arial"/>
          <w:sz w:val="22"/>
          <w:szCs w:val="22"/>
        </w:rPr>
        <w:t>563</w:t>
      </w:r>
      <w:r w:rsidR="00586E8A" w:rsidRPr="004D2953">
        <w:rPr>
          <w:rFonts w:ascii="Arial" w:hAnsi="Arial" w:cs="Arial"/>
          <w:sz w:val="22"/>
          <w:szCs w:val="22"/>
        </w:rPr>
        <w:t>,</w:t>
      </w:r>
      <w:r w:rsidRPr="004D2953">
        <w:rPr>
          <w:rFonts w:ascii="Arial" w:hAnsi="Arial" w:cs="Arial"/>
          <w:sz w:val="22"/>
          <w:szCs w:val="22"/>
        </w:rPr>
        <w:t>187</w:t>
      </w:r>
      <w:r w:rsidR="00586E8A" w:rsidRPr="004D2953">
        <w:rPr>
          <w:rFonts w:ascii="Arial" w:hAnsi="Arial" w:cs="Arial"/>
          <w:sz w:val="22"/>
          <w:szCs w:val="22"/>
        </w:rPr>
        <w:t>.</w:t>
      </w:r>
      <w:r w:rsidRPr="004D2953">
        <w:rPr>
          <w:rFonts w:ascii="Arial" w:hAnsi="Arial" w:cs="Arial"/>
          <w:sz w:val="22"/>
          <w:szCs w:val="22"/>
        </w:rPr>
        <w:t>45 EUR</w:t>
      </w:r>
      <w:r w:rsidR="00586E8A" w:rsidRPr="004D2953">
        <w:rPr>
          <w:rFonts w:ascii="Arial" w:hAnsi="Arial" w:cs="Arial"/>
          <w:sz w:val="22"/>
          <w:szCs w:val="22"/>
        </w:rPr>
        <w:t>,</w:t>
      </w:r>
      <w:r w:rsidRPr="004D2953">
        <w:rPr>
          <w:rFonts w:ascii="Arial" w:hAnsi="Arial" w:cs="Arial"/>
          <w:sz w:val="22"/>
          <w:szCs w:val="22"/>
        </w:rPr>
        <w:t xml:space="preserve"> represent</w:t>
      </w:r>
      <w:r w:rsidR="00586E8A" w:rsidRPr="004D2953">
        <w:rPr>
          <w:rFonts w:ascii="Arial" w:hAnsi="Arial" w:cs="Arial"/>
          <w:sz w:val="22"/>
          <w:szCs w:val="22"/>
        </w:rPr>
        <w:t xml:space="preserve">ing </w:t>
      </w:r>
      <w:r w:rsidRPr="004D2953">
        <w:rPr>
          <w:rFonts w:ascii="Arial" w:hAnsi="Arial" w:cs="Arial"/>
          <w:sz w:val="22"/>
          <w:szCs w:val="22"/>
        </w:rPr>
        <w:t>3</w:t>
      </w:r>
      <w:r w:rsidR="00586E8A" w:rsidRPr="004D2953">
        <w:rPr>
          <w:rFonts w:ascii="Arial" w:hAnsi="Arial" w:cs="Arial"/>
          <w:sz w:val="22"/>
          <w:szCs w:val="22"/>
        </w:rPr>
        <w:t>.</w:t>
      </w:r>
      <w:r w:rsidRPr="004D2953">
        <w:rPr>
          <w:rFonts w:ascii="Arial" w:hAnsi="Arial" w:cs="Arial"/>
          <w:sz w:val="22"/>
          <w:szCs w:val="22"/>
        </w:rPr>
        <w:t xml:space="preserve">7% of the total contracted amount and </w:t>
      </w:r>
      <w:r w:rsidR="00586E8A" w:rsidRPr="004D2953">
        <w:rPr>
          <w:rFonts w:ascii="Arial" w:hAnsi="Arial" w:cs="Arial"/>
          <w:sz w:val="22"/>
          <w:szCs w:val="22"/>
        </w:rPr>
        <w:t xml:space="preserve">an </w:t>
      </w:r>
      <w:r w:rsidRPr="004D2953">
        <w:rPr>
          <w:rFonts w:ascii="Arial" w:hAnsi="Arial" w:cs="Arial"/>
          <w:sz w:val="22"/>
          <w:szCs w:val="22"/>
        </w:rPr>
        <w:t xml:space="preserve">amount of </w:t>
      </w:r>
      <w:r w:rsidRPr="004D2953">
        <w:rPr>
          <w:rFonts w:ascii="Arial" w:hAnsi="Arial" w:cs="Arial"/>
          <w:sz w:val="22"/>
          <w:szCs w:val="22"/>
        </w:rPr>
        <w:lastRenderedPageBreak/>
        <w:t>67</w:t>
      </w:r>
      <w:r w:rsidR="00586E8A" w:rsidRPr="004D2953">
        <w:rPr>
          <w:rFonts w:ascii="Arial" w:hAnsi="Arial" w:cs="Arial"/>
          <w:sz w:val="22"/>
          <w:szCs w:val="22"/>
        </w:rPr>
        <w:t>,</w:t>
      </w:r>
      <w:r w:rsidRPr="004D2953">
        <w:rPr>
          <w:rFonts w:ascii="Arial" w:hAnsi="Arial" w:cs="Arial"/>
          <w:sz w:val="22"/>
          <w:szCs w:val="22"/>
        </w:rPr>
        <w:t>631</w:t>
      </w:r>
      <w:r w:rsidR="00586E8A" w:rsidRPr="004D2953">
        <w:rPr>
          <w:rFonts w:ascii="Arial" w:hAnsi="Arial" w:cs="Arial"/>
          <w:sz w:val="22"/>
          <w:szCs w:val="22"/>
        </w:rPr>
        <w:t>.</w:t>
      </w:r>
      <w:r w:rsidRPr="004D2953">
        <w:rPr>
          <w:rFonts w:ascii="Arial" w:hAnsi="Arial" w:cs="Arial"/>
          <w:sz w:val="22"/>
          <w:szCs w:val="22"/>
        </w:rPr>
        <w:t>17 EUR is checked out of 449</w:t>
      </w:r>
      <w:r w:rsidR="00586E8A" w:rsidRPr="004D2953">
        <w:rPr>
          <w:rFonts w:ascii="Arial" w:hAnsi="Arial" w:cs="Arial"/>
          <w:sz w:val="22"/>
          <w:szCs w:val="22"/>
        </w:rPr>
        <w:t>,</w:t>
      </w:r>
      <w:r w:rsidRPr="004D2953">
        <w:rPr>
          <w:rFonts w:ascii="Arial" w:hAnsi="Arial" w:cs="Arial"/>
          <w:sz w:val="22"/>
          <w:szCs w:val="22"/>
        </w:rPr>
        <w:t>689</w:t>
      </w:r>
      <w:r w:rsidR="00586E8A" w:rsidRPr="004D2953">
        <w:rPr>
          <w:rFonts w:ascii="Arial" w:hAnsi="Arial" w:cs="Arial"/>
          <w:sz w:val="22"/>
          <w:szCs w:val="22"/>
        </w:rPr>
        <w:t>.</w:t>
      </w:r>
      <w:r w:rsidRPr="004D2953">
        <w:rPr>
          <w:rFonts w:ascii="Arial" w:hAnsi="Arial" w:cs="Arial"/>
          <w:sz w:val="22"/>
          <w:szCs w:val="22"/>
        </w:rPr>
        <w:t>61 EUR paid</w:t>
      </w:r>
      <w:r w:rsidR="00586E8A" w:rsidRPr="004D2953">
        <w:rPr>
          <w:rFonts w:ascii="Arial" w:hAnsi="Arial" w:cs="Arial"/>
          <w:sz w:val="22"/>
          <w:szCs w:val="22"/>
        </w:rPr>
        <w:t xml:space="preserve">, </w:t>
      </w:r>
      <w:r w:rsidRPr="004D2953">
        <w:rPr>
          <w:rFonts w:ascii="Arial" w:hAnsi="Arial" w:cs="Arial"/>
          <w:sz w:val="22"/>
          <w:szCs w:val="22"/>
        </w:rPr>
        <w:t xml:space="preserve">representing around 15% </w:t>
      </w:r>
      <w:r w:rsidR="00586E8A" w:rsidRPr="004D2953">
        <w:rPr>
          <w:rFonts w:ascii="Arial" w:hAnsi="Arial" w:cs="Arial"/>
          <w:sz w:val="22"/>
          <w:szCs w:val="22"/>
        </w:rPr>
        <w:t xml:space="preserve">of the total </w:t>
      </w:r>
      <w:r w:rsidRPr="004D2953">
        <w:rPr>
          <w:rFonts w:ascii="Arial" w:hAnsi="Arial" w:cs="Arial"/>
          <w:sz w:val="22"/>
          <w:szCs w:val="22"/>
        </w:rPr>
        <w:t xml:space="preserve">disbursed amount </w:t>
      </w:r>
      <w:r w:rsidR="00586E8A" w:rsidRPr="004D2953">
        <w:rPr>
          <w:rFonts w:ascii="Arial" w:hAnsi="Arial" w:cs="Arial"/>
          <w:sz w:val="22"/>
          <w:szCs w:val="22"/>
        </w:rPr>
        <w:t xml:space="preserve">up to the </w:t>
      </w:r>
      <w:r w:rsidRPr="004D2953">
        <w:rPr>
          <w:rFonts w:ascii="Arial" w:hAnsi="Arial" w:cs="Arial"/>
          <w:sz w:val="22"/>
          <w:szCs w:val="22"/>
        </w:rPr>
        <w:t xml:space="preserve">preparation of the analysis. </w:t>
      </w:r>
    </w:p>
    <w:p w:rsidR="003136C5" w:rsidRPr="004D2953" w:rsidRDefault="003136C5" w:rsidP="003136C5">
      <w:pPr>
        <w:spacing w:after="120"/>
        <w:jc w:val="both"/>
        <w:rPr>
          <w:rFonts w:ascii="Arial" w:hAnsi="Arial" w:cs="Arial"/>
          <w:sz w:val="22"/>
          <w:szCs w:val="22"/>
        </w:rPr>
      </w:pPr>
      <w:r w:rsidRPr="004D2953">
        <w:rPr>
          <w:rFonts w:ascii="Arial" w:hAnsi="Arial" w:cs="Arial"/>
          <w:sz w:val="22"/>
          <w:szCs w:val="22"/>
        </w:rPr>
        <w:t xml:space="preserve">With the </w:t>
      </w:r>
      <w:r w:rsidR="00586E8A" w:rsidRPr="004D2953">
        <w:rPr>
          <w:rFonts w:ascii="Arial" w:hAnsi="Arial" w:cs="Arial"/>
          <w:sz w:val="22"/>
          <w:szCs w:val="22"/>
        </w:rPr>
        <w:t xml:space="preserve">2019 </w:t>
      </w:r>
      <w:r w:rsidRPr="004D2953">
        <w:rPr>
          <w:rFonts w:ascii="Arial" w:hAnsi="Arial" w:cs="Arial"/>
          <w:sz w:val="22"/>
          <w:szCs w:val="22"/>
        </w:rPr>
        <w:t xml:space="preserve">Annual </w:t>
      </w:r>
      <w:r w:rsidR="00586E8A" w:rsidRPr="004D2953">
        <w:rPr>
          <w:rFonts w:ascii="Arial" w:hAnsi="Arial" w:cs="Arial"/>
          <w:sz w:val="22"/>
          <w:szCs w:val="22"/>
        </w:rPr>
        <w:t>P</w:t>
      </w:r>
      <w:r w:rsidRPr="004D2953">
        <w:rPr>
          <w:rFonts w:ascii="Arial" w:hAnsi="Arial" w:cs="Arial"/>
          <w:sz w:val="22"/>
          <w:szCs w:val="22"/>
        </w:rPr>
        <w:t xml:space="preserve">lan for </w:t>
      </w:r>
      <w:r w:rsidR="00586E8A" w:rsidRPr="004D2953">
        <w:rPr>
          <w:rFonts w:ascii="Arial" w:hAnsi="Arial" w:cs="Arial"/>
          <w:sz w:val="22"/>
          <w:szCs w:val="22"/>
        </w:rPr>
        <w:t>V</w:t>
      </w:r>
      <w:r w:rsidRPr="004D2953">
        <w:rPr>
          <w:rFonts w:ascii="Arial" w:hAnsi="Arial" w:cs="Arial"/>
          <w:sz w:val="22"/>
          <w:szCs w:val="22"/>
        </w:rPr>
        <w:t xml:space="preserve">erification </w:t>
      </w:r>
      <w:r w:rsidR="00586E8A" w:rsidRPr="004D2953">
        <w:rPr>
          <w:rFonts w:ascii="Arial" w:hAnsi="Arial" w:cs="Arial"/>
          <w:sz w:val="22"/>
          <w:szCs w:val="22"/>
        </w:rPr>
        <w:t>V</w:t>
      </w:r>
      <w:r w:rsidRPr="004D2953">
        <w:rPr>
          <w:rFonts w:ascii="Arial" w:hAnsi="Arial" w:cs="Arial"/>
          <w:sz w:val="22"/>
          <w:szCs w:val="22"/>
        </w:rPr>
        <w:t>isits</w:t>
      </w:r>
      <w:r w:rsidR="00586E8A" w:rsidRPr="004D2953">
        <w:rPr>
          <w:rFonts w:ascii="Arial" w:hAnsi="Arial" w:cs="Arial"/>
          <w:sz w:val="22"/>
          <w:szCs w:val="22"/>
        </w:rPr>
        <w:t xml:space="preserve">, </w:t>
      </w:r>
      <w:r w:rsidRPr="004D2953">
        <w:rPr>
          <w:rFonts w:ascii="Arial" w:hAnsi="Arial" w:cs="Arial"/>
          <w:sz w:val="22"/>
          <w:szCs w:val="22"/>
        </w:rPr>
        <w:t xml:space="preserve">verification visits </w:t>
      </w:r>
      <w:r w:rsidR="00586E8A" w:rsidRPr="004D2953">
        <w:rPr>
          <w:rFonts w:ascii="Arial" w:hAnsi="Arial" w:cs="Arial"/>
          <w:sz w:val="22"/>
          <w:szCs w:val="22"/>
        </w:rPr>
        <w:t xml:space="preserve">are planned </w:t>
      </w:r>
      <w:r w:rsidRPr="004D2953">
        <w:rPr>
          <w:rFonts w:ascii="Arial" w:hAnsi="Arial" w:cs="Arial"/>
          <w:sz w:val="22"/>
          <w:szCs w:val="22"/>
        </w:rPr>
        <w:t xml:space="preserve">over the project approval process under Measure 7 from Public Call 01/2017 (check on specific control points) and Administrative check on project level concerning implementation of Measure 9 </w:t>
      </w:r>
      <w:r w:rsidR="00586E8A" w:rsidRPr="004D2953">
        <w:rPr>
          <w:rFonts w:ascii="Arial" w:hAnsi="Arial" w:cs="Arial"/>
          <w:sz w:val="22"/>
          <w:szCs w:val="22"/>
        </w:rPr>
        <w:t>–</w:t>
      </w:r>
      <w:r w:rsidRPr="004D2953">
        <w:rPr>
          <w:rFonts w:ascii="Arial" w:hAnsi="Arial" w:cs="Arial"/>
          <w:sz w:val="22"/>
          <w:szCs w:val="22"/>
        </w:rPr>
        <w:t xml:space="preserve"> Technical Assistance.</w:t>
      </w:r>
    </w:p>
    <w:p w:rsidR="003136C5" w:rsidRPr="003B72A1" w:rsidRDefault="003136C5" w:rsidP="003136C5">
      <w:pPr>
        <w:pStyle w:val="BodyText"/>
        <w:overflowPunct w:val="0"/>
        <w:autoSpaceDE w:val="0"/>
        <w:spacing w:before="120" w:after="240" w:line="100" w:lineRule="atLeast"/>
        <w:jc w:val="both"/>
        <w:textAlignment w:val="baseline"/>
        <w:rPr>
          <w:rFonts w:ascii="Arial" w:eastAsia="TimesNewRomanPS-BoldItalicMT" w:hAnsi="Arial" w:cs="Arial"/>
          <w:b/>
          <w:bCs/>
          <w:iCs/>
          <w:lang w:val="en-US"/>
        </w:rPr>
      </w:pPr>
      <w:r w:rsidRPr="005F3E65">
        <w:rPr>
          <w:rFonts w:ascii="Arial" w:eastAsia="TimesNewRomanPS-BoldItalicMT" w:hAnsi="Arial" w:cs="Arial"/>
          <w:b/>
          <w:bCs/>
          <w:iCs/>
          <w:lang w:val="en-US"/>
        </w:rPr>
        <w:t>Monitoring the implementation of the audit recommendations</w:t>
      </w:r>
    </w:p>
    <w:p w:rsidR="003136C5" w:rsidRPr="003B72A1" w:rsidRDefault="003136C5" w:rsidP="003136C5">
      <w:pPr>
        <w:pStyle w:val="BodyText"/>
        <w:overflowPunct w:val="0"/>
        <w:autoSpaceDE w:val="0"/>
        <w:spacing w:before="120" w:after="240" w:line="100" w:lineRule="atLeast"/>
        <w:jc w:val="both"/>
        <w:textAlignment w:val="baseline"/>
        <w:rPr>
          <w:rFonts w:ascii="Arial" w:eastAsia="Calibri" w:hAnsi="Arial" w:cs="Arial"/>
          <w:b/>
          <w:kern w:val="0"/>
          <w:lang w:val="en-US" w:eastAsia="en-US" w:bidi="ar-SA"/>
        </w:rPr>
      </w:pPr>
      <w:r w:rsidRPr="003B72A1">
        <w:rPr>
          <w:rFonts w:ascii="Arial" w:eastAsia="Calibri" w:hAnsi="Arial" w:cs="Arial"/>
          <w:b/>
          <w:kern w:val="0"/>
          <w:lang w:val="en-US" w:eastAsia="en-US" w:bidi="ar-SA"/>
        </w:rPr>
        <w:t xml:space="preserve">(a) Internal Audit </w:t>
      </w:r>
      <w:r w:rsidRPr="003B72A1">
        <w:rPr>
          <w:rFonts w:ascii="Arial" w:eastAsia="Calibri" w:hAnsi="Arial" w:cs="Arial"/>
          <w:b/>
          <w:kern w:val="0"/>
          <w:lang w:val="en-US" w:eastAsia="en-US" w:bidi="ar-SA"/>
        </w:rPr>
        <w:tab/>
      </w:r>
    </w:p>
    <w:p w:rsidR="003136C5" w:rsidRPr="004D2953" w:rsidRDefault="003136C5" w:rsidP="003136C5">
      <w:pPr>
        <w:pStyle w:val="BodyText"/>
        <w:overflowPunct w:val="0"/>
        <w:autoSpaceDE w:val="0"/>
        <w:spacing w:before="120" w:after="240" w:line="100" w:lineRule="atLeast"/>
        <w:jc w:val="both"/>
        <w:textAlignment w:val="baseline"/>
        <w:rPr>
          <w:rFonts w:ascii="Arial" w:eastAsia="Calibri" w:hAnsi="Arial" w:cs="Arial"/>
          <w:kern w:val="0"/>
          <w:sz w:val="22"/>
          <w:lang w:val="en-US" w:eastAsia="en-US" w:bidi="ar-SA"/>
        </w:rPr>
      </w:pPr>
      <w:r w:rsidRPr="004D2953">
        <w:rPr>
          <w:rFonts w:ascii="Arial" w:eastAsia="Calibri" w:hAnsi="Arial" w:cs="Arial"/>
          <w:kern w:val="0"/>
          <w:sz w:val="22"/>
          <w:lang w:val="en-US" w:eastAsia="en-US" w:bidi="ar-SA"/>
        </w:rPr>
        <w:t xml:space="preserve">The IPARD Managing and Operating structures were subject </w:t>
      </w:r>
      <w:r w:rsidR="0037355B" w:rsidRPr="004D2953">
        <w:rPr>
          <w:rFonts w:ascii="Arial" w:eastAsia="Calibri" w:hAnsi="Arial" w:cs="Arial"/>
          <w:kern w:val="0"/>
          <w:sz w:val="22"/>
          <w:lang w:val="en-US" w:eastAsia="en-US" w:bidi="ar-SA"/>
        </w:rPr>
        <w:t>to</w:t>
      </w:r>
      <w:r w:rsidRPr="004D2953">
        <w:rPr>
          <w:rFonts w:ascii="Arial" w:eastAsia="Calibri" w:hAnsi="Arial" w:cs="Arial"/>
          <w:kern w:val="0"/>
          <w:sz w:val="22"/>
          <w:lang w:val="en-US" w:eastAsia="en-US" w:bidi="ar-SA"/>
        </w:rPr>
        <w:t xml:space="preserve"> internal audit during 2018 by the internal audit departments/units established in each institution.</w:t>
      </w:r>
    </w:p>
    <w:p w:rsidR="003136C5" w:rsidRPr="004D2953" w:rsidRDefault="003136C5" w:rsidP="003136C5">
      <w:pPr>
        <w:pStyle w:val="BodyText"/>
        <w:overflowPunct w:val="0"/>
        <w:autoSpaceDE w:val="0"/>
        <w:spacing w:after="0" w:line="100" w:lineRule="atLeast"/>
        <w:jc w:val="both"/>
        <w:textAlignment w:val="baseline"/>
        <w:rPr>
          <w:rFonts w:ascii="Arial" w:hAnsi="Arial" w:cs="Arial"/>
          <w:i/>
          <w:iCs/>
          <w:color w:val="000000"/>
          <w:sz w:val="22"/>
          <w:u w:val="single"/>
          <w:lang w:val="en-US"/>
        </w:rPr>
      </w:pPr>
      <w:r w:rsidRPr="004D2953">
        <w:rPr>
          <w:rFonts w:ascii="Arial" w:hAnsi="Arial" w:cs="Arial"/>
          <w:i/>
          <w:iCs/>
          <w:color w:val="000000"/>
          <w:sz w:val="22"/>
          <w:u w:val="single"/>
          <w:lang w:val="en-US"/>
        </w:rPr>
        <w:t>Management Structure</w:t>
      </w:r>
    </w:p>
    <w:p w:rsidR="003136C5" w:rsidRPr="004D2953" w:rsidRDefault="003136C5" w:rsidP="003136C5">
      <w:pPr>
        <w:pStyle w:val="CommentText"/>
        <w:jc w:val="both"/>
        <w:rPr>
          <w:rFonts w:ascii="Arial" w:hAnsi="Arial" w:cs="Arial"/>
          <w:sz w:val="22"/>
          <w:szCs w:val="24"/>
        </w:rPr>
      </w:pPr>
      <w:r w:rsidRPr="004D2953">
        <w:rPr>
          <w:rFonts w:ascii="Arial" w:hAnsi="Arial" w:cs="Arial"/>
          <w:color w:val="000000"/>
          <w:sz w:val="22"/>
          <w:szCs w:val="24"/>
        </w:rPr>
        <w:t xml:space="preserve">The </w:t>
      </w:r>
      <w:r w:rsidR="005F3E65" w:rsidRPr="004D2953">
        <w:rPr>
          <w:rFonts w:ascii="Arial" w:hAnsi="Arial" w:cs="Arial"/>
          <w:color w:val="000000"/>
          <w:sz w:val="22"/>
          <w:szCs w:val="24"/>
        </w:rPr>
        <w:t xml:space="preserve">2019 </w:t>
      </w:r>
      <w:r w:rsidRPr="004D2953">
        <w:rPr>
          <w:rFonts w:ascii="Arial" w:hAnsi="Arial" w:cs="Arial"/>
          <w:color w:val="000000"/>
          <w:sz w:val="22"/>
          <w:szCs w:val="24"/>
        </w:rPr>
        <w:t>Annual Audit Plan of the Department for Internal Audit within the Ministry of Finance foresees one audit mission within NAO/MS over the system of internal controls of the process of controlling the correctness of the requests for funds and certification of expenditure to the EC.</w:t>
      </w:r>
    </w:p>
    <w:p w:rsidR="003136C5" w:rsidRPr="004D2953" w:rsidRDefault="003136C5" w:rsidP="003136C5">
      <w:pPr>
        <w:pStyle w:val="BodyText"/>
        <w:overflowPunct w:val="0"/>
        <w:autoSpaceDE w:val="0"/>
        <w:spacing w:after="0" w:line="100" w:lineRule="atLeast"/>
        <w:jc w:val="both"/>
        <w:textAlignment w:val="baseline"/>
        <w:rPr>
          <w:rFonts w:ascii="Arial" w:hAnsi="Arial" w:cs="Arial"/>
          <w:i/>
          <w:iCs/>
          <w:color w:val="000000"/>
          <w:sz w:val="22"/>
          <w:u w:val="single"/>
          <w:lang w:val="en-US"/>
        </w:rPr>
      </w:pPr>
      <w:r w:rsidRPr="004D2953">
        <w:rPr>
          <w:rFonts w:ascii="Arial" w:hAnsi="Arial" w:cs="Arial"/>
          <w:i/>
          <w:iCs/>
          <w:color w:val="000000"/>
          <w:sz w:val="22"/>
          <w:u w:val="single"/>
          <w:lang w:val="en-US"/>
        </w:rPr>
        <w:t>IPARD Agency</w:t>
      </w:r>
    </w:p>
    <w:p w:rsidR="003136C5" w:rsidRPr="004D2953" w:rsidRDefault="003136C5" w:rsidP="003136C5">
      <w:pPr>
        <w:pStyle w:val="CommentText"/>
        <w:jc w:val="both"/>
        <w:rPr>
          <w:rFonts w:ascii="Arial" w:hAnsi="Arial" w:cs="Arial"/>
          <w:color w:val="000000"/>
          <w:sz w:val="22"/>
          <w:szCs w:val="24"/>
        </w:rPr>
      </w:pPr>
      <w:r w:rsidRPr="004D2953">
        <w:rPr>
          <w:rFonts w:ascii="Arial" w:hAnsi="Arial" w:cs="Arial"/>
          <w:color w:val="000000"/>
          <w:sz w:val="22"/>
          <w:szCs w:val="24"/>
        </w:rPr>
        <w:t xml:space="preserve">The </w:t>
      </w:r>
      <w:r w:rsidR="005F3E65" w:rsidRPr="004D2953">
        <w:rPr>
          <w:rFonts w:ascii="Arial" w:hAnsi="Arial" w:cs="Arial"/>
          <w:color w:val="000000"/>
          <w:sz w:val="22"/>
          <w:szCs w:val="24"/>
        </w:rPr>
        <w:t xml:space="preserve">2019 </w:t>
      </w:r>
      <w:r w:rsidRPr="004D2953">
        <w:rPr>
          <w:rFonts w:ascii="Arial" w:hAnsi="Arial" w:cs="Arial"/>
          <w:color w:val="000000"/>
          <w:sz w:val="22"/>
          <w:szCs w:val="24"/>
        </w:rPr>
        <w:t xml:space="preserve">Annual Audit Plan in IPARD Agency is adopted. According </w:t>
      </w:r>
      <w:r w:rsidR="005F3E65" w:rsidRPr="004D2953">
        <w:rPr>
          <w:rFonts w:ascii="Arial" w:hAnsi="Arial" w:cs="Arial"/>
          <w:color w:val="000000"/>
          <w:sz w:val="22"/>
          <w:szCs w:val="24"/>
        </w:rPr>
        <w:t xml:space="preserve">to </w:t>
      </w:r>
      <w:r w:rsidRPr="004D2953">
        <w:rPr>
          <w:rFonts w:ascii="Arial" w:hAnsi="Arial" w:cs="Arial"/>
          <w:color w:val="000000"/>
          <w:sz w:val="22"/>
          <w:szCs w:val="24"/>
        </w:rPr>
        <w:t>the plan</w:t>
      </w:r>
      <w:r w:rsidR="005F3E65" w:rsidRPr="004D2953">
        <w:rPr>
          <w:rFonts w:ascii="Arial" w:hAnsi="Arial" w:cs="Arial"/>
          <w:color w:val="000000"/>
          <w:sz w:val="22"/>
          <w:szCs w:val="24"/>
        </w:rPr>
        <w:t>,</w:t>
      </w:r>
      <w:r w:rsidRPr="004D2953">
        <w:rPr>
          <w:rFonts w:ascii="Arial" w:hAnsi="Arial" w:cs="Arial"/>
          <w:color w:val="000000"/>
          <w:sz w:val="22"/>
          <w:szCs w:val="24"/>
        </w:rPr>
        <w:t xml:space="preserve"> 10 audit missions are planned, out of which 5 audits over processes concerning IPARD and one planned consulting engagement concerning activities related to entrustment of new measures </w:t>
      </w:r>
      <w:r w:rsidR="005F3E65" w:rsidRPr="004D2953">
        <w:rPr>
          <w:rFonts w:ascii="Arial" w:hAnsi="Arial" w:cs="Arial"/>
          <w:color w:val="000000"/>
          <w:sz w:val="22"/>
          <w:szCs w:val="24"/>
        </w:rPr>
        <w:t>–</w:t>
      </w:r>
      <w:r w:rsidRPr="004D2953">
        <w:rPr>
          <w:rFonts w:ascii="Arial" w:hAnsi="Arial" w:cs="Arial"/>
          <w:color w:val="000000"/>
          <w:sz w:val="22"/>
          <w:szCs w:val="24"/>
        </w:rPr>
        <w:t xml:space="preserve"> </w:t>
      </w:r>
      <w:r w:rsidR="005F3E65" w:rsidRPr="004D2953">
        <w:rPr>
          <w:rFonts w:ascii="Arial" w:hAnsi="Arial" w:cs="Arial"/>
          <w:color w:val="000000"/>
          <w:sz w:val="22"/>
          <w:szCs w:val="24"/>
        </w:rPr>
        <w:t xml:space="preserve">Measure </w:t>
      </w:r>
      <w:r w:rsidRPr="004D2953">
        <w:rPr>
          <w:rFonts w:ascii="Arial" w:hAnsi="Arial" w:cs="Arial"/>
          <w:color w:val="000000"/>
          <w:sz w:val="22"/>
          <w:szCs w:val="24"/>
        </w:rPr>
        <w:t xml:space="preserve">5 LEADER and </w:t>
      </w:r>
      <w:r w:rsidR="005F3E65" w:rsidRPr="004D2953">
        <w:rPr>
          <w:rFonts w:ascii="Arial" w:hAnsi="Arial" w:cs="Arial"/>
          <w:color w:val="000000"/>
          <w:sz w:val="22"/>
          <w:szCs w:val="24"/>
        </w:rPr>
        <w:t xml:space="preserve">Measure </w:t>
      </w:r>
      <w:r w:rsidRPr="004D2953">
        <w:rPr>
          <w:rFonts w:ascii="Arial" w:hAnsi="Arial" w:cs="Arial"/>
          <w:color w:val="000000"/>
          <w:sz w:val="22"/>
          <w:szCs w:val="24"/>
        </w:rPr>
        <w:t xml:space="preserve">10 Advisory </w:t>
      </w:r>
      <w:r w:rsidR="005F3E65" w:rsidRPr="004D2953">
        <w:rPr>
          <w:rFonts w:ascii="Arial" w:hAnsi="Arial" w:cs="Arial"/>
          <w:color w:val="000000"/>
          <w:sz w:val="22"/>
          <w:szCs w:val="24"/>
        </w:rPr>
        <w:t xml:space="preserve">Services </w:t>
      </w:r>
      <w:r w:rsidRPr="004D2953">
        <w:rPr>
          <w:rFonts w:ascii="Arial" w:hAnsi="Arial" w:cs="Arial"/>
          <w:color w:val="000000"/>
          <w:sz w:val="22"/>
          <w:szCs w:val="24"/>
        </w:rPr>
        <w:t>from IPARD Programme 2014-2020.</w:t>
      </w:r>
    </w:p>
    <w:p w:rsidR="003136C5" w:rsidRPr="004D2953" w:rsidRDefault="003136C5" w:rsidP="003136C5">
      <w:pPr>
        <w:pStyle w:val="BodyText"/>
        <w:overflowPunct w:val="0"/>
        <w:autoSpaceDE w:val="0"/>
        <w:spacing w:after="0" w:line="100" w:lineRule="atLeast"/>
        <w:jc w:val="both"/>
        <w:textAlignment w:val="baseline"/>
        <w:rPr>
          <w:rFonts w:ascii="Arial" w:hAnsi="Arial" w:cs="Arial"/>
          <w:i/>
          <w:iCs/>
          <w:color w:val="000000"/>
          <w:sz w:val="22"/>
          <w:u w:val="single"/>
          <w:lang w:val="en-US"/>
        </w:rPr>
      </w:pPr>
      <w:r w:rsidRPr="004D2953">
        <w:rPr>
          <w:rFonts w:ascii="Arial" w:hAnsi="Arial" w:cs="Arial"/>
          <w:i/>
          <w:iCs/>
          <w:color w:val="000000"/>
          <w:sz w:val="22"/>
          <w:u w:val="single"/>
          <w:lang w:val="en-US"/>
        </w:rPr>
        <w:t>Managing Authority</w:t>
      </w:r>
    </w:p>
    <w:p w:rsidR="003136C5" w:rsidRPr="004D2953" w:rsidRDefault="005F3E65" w:rsidP="003136C5">
      <w:pPr>
        <w:pStyle w:val="CommentText"/>
        <w:jc w:val="both"/>
        <w:rPr>
          <w:rFonts w:ascii="Arial" w:hAnsi="Arial" w:cs="Arial"/>
          <w:color w:val="000000"/>
          <w:sz w:val="22"/>
          <w:szCs w:val="24"/>
        </w:rPr>
      </w:pPr>
      <w:r w:rsidRPr="004D2953">
        <w:rPr>
          <w:rFonts w:ascii="Arial" w:hAnsi="Arial" w:cs="Arial"/>
          <w:color w:val="000000"/>
          <w:sz w:val="22"/>
          <w:szCs w:val="24"/>
        </w:rPr>
        <w:t xml:space="preserve">The </w:t>
      </w:r>
      <w:r w:rsidR="003136C5" w:rsidRPr="004D2953">
        <w:rPr>
          <w:rFonts w:ascii="Arial" w:hAnsi="Arial" w:cs="Arial"/>
          <w:color w:val="000000"/>
          <w:sz w:val="22"/>
          <w:szCs w:val="24"/>
        </w:rPr>
        <w:t>2019 Annual Audit Plan of the Ministry of Agriculture, Forestry and Water Economy foresees audit mission over the effectiveness of implemented and ongoing projects within the IPA structure in the MAFWE.</w:t>
      </w:r>
    </w:p>
    <w:p w:rsidR="003136C5" w:rsidRPr="003B72A1" w:rsidRDefault="003136C5" w:rsidP="003136C5">
      <w:pPr>
        <w:widowControl w:val="0"/>
        <w:suppressAutoHyphens/>
        <w:overflowPunct w:val="0"/>
        <w:autoSpaceDE w:val="0"/>
        <w:spacing w:after="240"/>
        <w:jc w:val="both"/>
        <w:textAlignment w:val="baseline"/>
        <w:rPr>
          <w:rFonts w:ascii="Arial" w:eastAsia="TimesNewRomanPS-BoldItalicMT" w:hAnsi="Arial" w:cs="Arial"/>
          <w:b/>
          <w:bCs/>
          <w:iCs/>
          <w:kern w:val="1"/>
        </w:rPr>
      </w:pPr>
      <w:r w:rsidRPr="003B72A1">
        <w:rPr>
          <w:rFonts w:ascii="Arial" w:eastAsia="TimesNewRomanPS-BoldItalicMT" w:hAnsi="Arial" w:cs="Arial"/>
          <w:b/>
          <w:bCs/>
          <w:iCs/>
          <w:kern w:val="1"/>
        </w:rPr>
        <w:t>(b) Audit Authority Reports</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The Audit Authority for IPA during 2018 issued the following Final Audit Reports:</w:t>
      </w:r>
    </w:p>
    <w:p w:rsidR="003136C5" w:rsidRPr="004D2953" w:rsidRDefault="003136C5" w:rsidP="009B411B">
      <w:pPr>
        <w:numPr>
          <w:ilvl w:val="0"/>
          <w:numId w:val="16"/>
        </w:num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Final Audit Report for the </w:t>
      </w:r>
      <w:r w:rsidR="009B411B" w:rsidRPr="004D2953">
        <w:rPr>
          <w:rFonts w:ascii="Arial" w:eastAsia="TimesNewRomanPS-BoldItalicMT" w:hAnsi="Arial" w:cs="Arial"/>
          <w:kern w:val="1"/>
          <w:sz w:val="22"/>
        </w:rPr>
        <w:t xml:space="preserve">2018 </w:t>
      </w:r>
      <w:r w:rsidRPr="004D2953">
        <w:rPr>
          <w:rFonts w:ascii="Arial" w:eastAsia="TimesNewRomanPS-BoldItalicMT" w:hAnsi="Arial" w:cs="Arial"/>
          <w:kern w:val="1"/>
          <w:sz w:val="22"/>
        </w:rPr>
        <w:t xml:space="preserve">system audit in NAO/MS for implementation of IPARD II Programme </w:t>
      </w:r>
      <w:r w:rsidR="009B411B" w:rsidRPr="004D2953">
        <w:rPr>
          <w:rFonts w:ascii="Arial" w:eastAsia="TimesNewRomanPS-BoldItalicMT" w:hAnsi="Arial" w:cs="Arial"/>
          <w:kern w:val="1"/>
          <w:sz w:val="22"/>
        </w:rPr>
        <w:t>–</w:t>
      </w:r>
      <w:r w:rsidRPr="004D2953">
        <w:rPr>
          <w:rFonts w:ascii="Arial" w:eastAsia="TimesNewRomanPS-BoldItalicMT" w:hAnsi="Arial" w:cs="Arial"/>
          <w:kern w:val="1"/>
          <w:sz w:val="22"/>
        </w:rPr>
        <w:t xml:space="preserve"> Policy area 4 </w:t>
      </w:r>
      <w:r w:rsidR="009B411B" w:rsidRPr="004D2953">
        <w:rPr>
          <w:rFonts w:ascii="Arial" w:eastAsia="TimesNewRomanPS-BoldItalicMT" w:hAnsi="Arial" w:cs="Arial"/>
          <w:kern w:val="1"/>
          <w:sz w:val="22"/>
        </w:rPr>
        <w:t>–</w:t>
      </w:r>
      <w:r w:rsidRPr="004D2953">
        <w:rPr>
          <w:rFonts w:ascii="Arial" w:eastAsia="TimesNewRomanPS-BoldItalicMT" w:hAnsi="Arial" w:cs="Arial"/>
          <w:kern w:val="1"/>
          <w:sz w:val="22"/>
        </w:rPr>
        <w:t xml:space="preserve"> Agriculture and Rural </w:t>
      </w:r>
      <w:r w:rsidR="009B411B" w:rsidRPr="004D2953">
        <w:rPr>
          <w:rFonts w:ascii="Arial" w:eastAsia="TimesNewRomanPS-BoldItalicMT" w:hAnsi="Arial" w:cs="Arial"/>
          <w:kern w:val="1"/>
          <w:sz w:val="22"/>
        </w:rPr>
        <w:t>D</w:t>
      </w:r>
      <w:r w:rsidRPr="004D2953">
        <w:rPr>
          <w:rFonts w:ascii="Arial" w:eastAsia="TimesNewRomanPS-BoldItalicMT" w:hAnsi="Arial" w:cs="Arial"/>
          <w:kern w:val="1"/>
          <w:sz w:val="22"/>
        </w:rPr>
        <w:t>evelopment as of 4</w:t>
      </w:r>
      <w:r w:rsidRPr="004D2953">
        <w:rPr>
          <w:rFonts w:ascii="Arial" w:eastAsia="TimesNewRomanPS-BoldItalicMT" w:hAnsi="Arial" w:cs="Arial"/>
          <w:kern w:val="1"/>
          <w:sz w:val="22"/>
          <w:vertAlign w:val="superscript"/>
        </w:rPr>
        <w:t>th</w:t>
      </w:r>
      <w:r w:rsidRPr="004D2953">
        <w:rPr>
          <w:rFonts w:ascii="Arial" w:eastAsia="TimesNewRomanPS-BoldItalicMT" w:hAnsi="Arial" w:cs="Arial"/>
          <w:kern w:val="1"/>
          <w:sz w:val="22"/>
        </w:rPr>
        <w:t xml:space="preserve"> of April 2018;</w:t>
      </w:r>
    </w:p>
    <w:p w:rsidR="003136C5" w:rsidRPr="004D2953" w:rsidRDefault="003136C5" w:rsidP="009B411B">
      <w:pPr>
        <w:numPr>
          <w:ilvl w:val="0"/>
          <w:numId w:val="16"/>
        </w:num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Final Audit Report for the </w:t>
      </w:r>
      <w:r w:rsidR="009B411B" w:rsidRPr="004D2953">
        <w:rPr>
          <w:rFonts w:ascii="Arial" w:eastAsia="TimesNewRomanPS-BoldItalicMT" w:hAnsi="Arial" w:cs="Arial"/>
          <w:kern w:val="1"/>
          <w:sz w:val="22"/>
        </w:rPr>
        <w:t xml:space="preserve">2018 </w:t>
      </w:r>
      <w:r w:rsidRPr="004D2953">
        <w:rPr>
          <w:rFonts w:ascii="Arial" w:eastAsia="TimesNewRomanPS-BoldItalicMT" w:hAnsi="Arial" w:cs="Arial"/>
          <w:kern w:val="1"/>
          <w:sz w:val="22"/>
        </w:rPr>
        <w:t xml:space="preserve">system audit in MA for the programmes financed from IPA II </w:t>
      </w:r>
      <w:r w:rsidR="009B411B" w:rsidRPr="004D2953">
        <w:rPr>
          <w:rFonts w:ascii="Arial" w:eastAsia="TimesNewRomanPS-BoldItalicMT" w:hAnsi="Arial" w:cs="Arial"/>
          <w:kern w:val="1"/>
          <w:sz w:val="22"/>
        </w:rPr>
        <w:t xml:space="preserve">– </w:t>
      </w:r>
      <w:r w:rsidRPr="004D2953">
        <w:rPr>
          <w:rFonts w:ascii="Arial" w:eastAsia="TimesNewRomanPS-BoldItalicMT" w:hAnsi="Arial" w:cs="Arial"/>
          <w:kern w:val="1"/>
          <w:sz w:val="22"/>
        </w:rPr>
        <w:t xml:space="preserve">Policy area 4 </w:t>
      </w:r>
      <w:r w:rsidR="009B411B" w:rsidRPr="004D2953">
        <w:rPr>
          <w:rFonts w:ascii="Arial" w:eastAsia="TimesNewRomanPS-BoldItalicMT" w:hAnsi="Arial" w:cs="Arial"/>
          <w:kern w:val="1"/>
          <w:sz w:val="22"/>
        </w:rPr>
        <w:t>–</w:t>
      </w:r>
      <w:r w:rsidRPr="004D2953">
        <w:rPr>
          <w:rFonts w:ascii="Arial" w:eastAsia="TimesNewRomanPS-BoldItalicMT" w:hAnsi="Arial" w:cs="Arial"/>
          <w:kern w:val="1"/>
          <w:sz w:val="22"/>
        </w:rPr>
        <w:t xml:space="preserve"> Agriculture and Rural </w:t>
      </w:r>
      <w:r w:rsidR="009B411B" w:rsidRPr="004D2953">
        <w:rPr>
          <w:rFonts w:ascii="Arial" w:eastAsia="TimesNewRomanPS-BoldItalicMT" w:hAnsi="Arial" w:cs="Arial"/>
          <w:kern w:val="1"/>
          <w:sz w:val="22"/>
        </w:rPr>
        <w:t>D</w:t>
      </w:r>
      <w:r w:rsidRPr="004D2953">
        <w:rPr>
          <w:rFonts w:ascii="Arial" w:eastAsia="TimesNewRomanPS-BoldItalicMT" w:hAnsi="Arial" w:cs="Arial"/>
          <w:kern w:val="1"/>
          <w:sz w:val="22"/>
        </w:rPr>
        <w:t>evelopment as of 4</w:t>
      </w:r>
      <w:r w:rsidRPr="004D2953">
        <w:rPr>
          <w:rFonts w:ascii="Arial" w:eastAsia="TimesNewRomanPS-BoldItalicMT" w:hAnsi="Arial" w:cs="Arial"/>
          <w:kern w:val="1"/>
          <w:sz w:val="22"/>
          <w:vertAlign w:val="superscript"/>
        </w:rPr>
        <w:t>th</w:t>
      </w:r>
      <w:r w:rsidRPr="004D2953">
        <w:rPr>
          <w:rFonts w:ascii="Arial" w:eastAsia="TimesNewRomanPS-BoldItalicMT" w:hAnsi="Arial" w:cs="Arial"/>
          <w:kern w:val="1"/>
          <w:sz w:val="22"/>
        </w:rPr>
        <w:t xml:space="preserve"> of April 2018;</w:t>
      </w:r>
    </w:p>
    <w:p w:rsidR="003136C5" w:rsidRPr="004D2953" w:rsidRDefault="003136C5" w:rsidP="009B411B">
      <w:pPr>
        <w:numPr>
          <w:ilvl w:val="0"/>
          <w:numId w:val="16"/>
        </w:num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Final Audit Report for the </w:t>
      </w:r>
      <w:r w:rsidR="009B411B" w:rsidRPr="004D2953">
        <w:rPr>
          <w:rFonts w:ascii="Arial" w:eastAsia="TimesNewRomanPS-BoldItalicMT" w:hAnsi="Arial" w:cs="Arial"/>
          <w:kern w:val="1"/>
          <w:sz w:val="22"/>
        </w:rPr>
        <w:t xml:space="preserve">2018 </w:t>
      </w:r>
      <w:r w:rsidRPr="004D2953">
        <w:rPr>
          <w:rFonts w:ascii="Arial" w:eastAsia="TimesNewRomanPS-BoldItalicMT" w:hAnsi="Arial" w:cs="Arial"/>
          <w:kern w:val="1"/>
          <w:sz w:val="22"/>
        </w:rPr>
        <w:t>system audit in AFSARD for implementation of IPARD II Programme</w:t>
      </w:r>
      <w:r w:rsidR="009B411B" w:rsidRPr="004D2953">
        <w:rPr>
          <w:rFonts w:ascii="Arial" w:eastAsia="TimesNewRomanPS-BoldItalicMT" w:hAnsi="Arial" w:cs="Arial"/>
          <w:kern w:val="1"/>
          <w:sz w:val="22"/>
        </w:rPr>
        <w:t xml:space="preserve"> –</w:t>
      </w:r>
      <w:r w:rsidRPr="004D2953">
        <w:rPr>
          <w:rFonts w:ascii="Arial" w:eastAsia="TimesNewRomanPS-BoldItalicMT" w:hAnsi="Arial" w:cs="Arial"/>
          <w:kern w:val="1"/>
          <w:sz w:val="22"/>
        </w:rPr>
        <w:t xml:space="preserve"> Policy area 4 </w:t>
      </w:r>
      <w:r w:rsidR="009B411B" w:rsidRPr="004D2953">
        <w:rPr>
          <w:rFonts w:ascii="Arial" w:eastAsia="TimesNewRomanPS-BoldItalicMT" w:hAnsi="Arial" w:cs="Arial"/>
          <w:kern w:val="1"/>
          <w:sz w:val="22"/>
        </w:rPr>
        <w:t>–</w:t>
      </w:r>
      <w:r w:rsidRPr="004D2953">
        <w:rPr>
          <w:rFonts w:ascii="Arial" w:eastAsia="TimesNewRomanPS-BoldItalicMT" w:hAnsi="Arial" w:cs="Arial"/>
          <w:kern w:val="1"/>
          <w:sz w:val="22"/>
        </w:rPr>
        <w:t xml:space="preserve"> Agriculture and Rural </w:t>
      </w:r>
      <w:r w:rsidR="009B411B" w:rsidRPr="004D2953">
        <w:rPr>
          <w:rFonts w:ascii="Arial" w:eastAsia="TimesNewRomanPS-BoldItalicMT" w:hAnsi="Arial" w:cs="Arial"/>
          <w:kern w:val="1"/>
          <w:sz w:val="22"/>
        </w:rPr>
        <w:t>D</w:t>
      </w:r>
      <w:r w:rsidRPr="004D2953">
        <w:rPr>
          <w:rFonts w:ascii="Arial" w:eastAsia="TimesNewRomanPS-BoldItalicMT" w:hAnsi="Arial" w:cs="Arial"/>
          <w:kern w:val="1"/>
          <w:sz w:val="22"/>
        </w:rPr>
        <w:t>evelopment as of 4</w:t>
      </w:r>
      <w:r w:rsidRPr="004D2953">
        <w:rPr>
          <w:rFonts w:ascii="Arial" w:eastAsia="TimesNewRomanPS-BoldItalicMT" w:hAnsi="Arial" w:cs="Arial"/>
          <w:kern w:val="1"/>
          <w:sz w:val="22"/>
          <w:vertAlign w:val="superscript"/>
        </w:rPr>
        <w:t>th</w:t>
      </w:r>
      <w:r w:rsidRPr="004D2953">
        <w:rPr>
          <w:rFonts w:ascii="Arial" w:eastAsia="TimesNewRomanPS-BoldItalicMT" w:hAnsi="Arial" w:cs="Arial"/>
          <w:kern w:val="1"/>
          <w:sz w:val="22"/>
        </w:rPr>
        <w:t xml:space="preserve"> of April 2018;</w:t>
      </w:r>
    </w:p>
    <w:p w:rsidR="003136C5" w:rsidRPr="004D2953" w:rsidRDefault="003136C5" w:rsidP="003136C5">
      <w:pPr>
        <w:numPr>
          <w:ilvl w:val="0"/>
          <w:numId w:val="16"/>
        </w:num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Final Audit Report for the </w:t>
      </w:r>
      <w:r w:rsidR="009B411B" w:rsidRPr="004D2953">
        <w:rPr>
          <w:rFonts w:ascii="Arial" w:eastAsia="TimesNewRomanPS-BoldItalicMT" w:hAnsi="Arial" w:cs="Arial"/>
          <w:kern w:val="1"/>
          <w:sz w:val="22"/>
        </w:rPr>
        <w:t xml:space="preserve">Audit </w:t>
      </w:r>
      <w:r w:rsidRPr="004D2953">
        <w:rPr>
          <w:rFonts w:ascii="Arial" w:eastAsia="TimesNewRomanPS-BoldItalicMT" w:hAnsi="Arial" w:cs="Arial"/>
          <w:kern w:val="1"/>
          <w:sz w:val="22"/>
        </w:rPr>
        <w:t xml:space="preserve">of </w:t>
      </w:r>
      <w:r w:rsidR="009B411B" w:rsidRPr="004D2953">
        <w:rPr>
          <w:rFonts w:ascii="Arial" w:eastAsia="TimesNewRomanPS-BoldItalicMT" w:hAnsi="Arial" w:cs="Arial"/>
          <w:kern w:val="1"/>
          <w:sz w:val="22"/>
        </w:rPr>
        <w:t xml:space="preserve">Accounts </w:t>
      </w:r>
      <w:r w:rsidRPr="004D2953">
        <w:rPr>
          <w:rFonts w:ascii="Arial" w:eastAsia="TimesNewRomanPS-BoldItalicMT" w:hAnsi="Arial" w:cs="Arial"/>
          <w:kern w:val="1"/>
          <w:sz w:val="22"/>
        </w:rPr>
        <w:t xml:space="preserve">and Statement of </w:t>
      </w:r>
      <w:r w:rsidR="009B411B" w:rsidRPr="004D2953">
        <w:rPr>
          <w:rFonts w:ascii="Arial" w:eastAsia="TimesNewRomanPS-BoldItalicMT" w:hAnsi="Arial" w:cs="Arial"/>
          <w:kern w:val="1"/>
          <w:sz w:val="22"/>
        </w:rPr>
        <w:t xml:space="preserve">Expenditure </w:t>
      </w:r>
      <w:r w:rsidRPr="004D2953">
        <w:rPr>
          <w:rFonts w:ascii="Arial" w:eastAsia="TimesNewRomanPS-BoldItalicMT" w:hAnsi="Arial" w:cs="Arial"/>
          <w:kern w:val="1"/>
          <w:sz w:val="22"/>
        </w:rPr>
        <w:t>for 2017 for IPARD I and IPARD II as of 27</w:t>
      </w:r>
      <w:r w:rsidRPr="004D2953">
        <w:rPr>
          <w:rFonts w:ascii="Arial" w:eastAsia="TimesNewRomanPS-BoldItalicMT" w:hAnsi="Arial" w:cs="Arial"/>
          <w:kern w:val="1"/>
          <w:sz w:val="22"/>
          <w:vertAlign w:val="superscript"/>
        </w:rPr>
        <w:t xml:space="preserve">th </w:t>
      </w:r>
      <w:r w:rsidRPr="004D2953">
        <w:rPr>
          <w:rFonts w:ascii="Arial" w:eastAsia="TimesNewRomanPS-BoldItalicMT" w:hAnsi="Arial" w:cs="Arial"/>
          <w:kern w:val="1"/>
          <w:sz w:val="22"/>
        </w:rPr>
        <w:t>of April 2018</w:t>
      </w:r>
    </w:p>
    <w:p w:rsidR="003136C5" w:rsidRPr="004D2953" w:rsidRDefault="003136C5" w:rsidP="003136C5">
      <w:pPr>
        <w:numPr>
          <w:ilvl w:val="0"/>
          <w:numId w:val="16"/>
        </w:num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Final Audit Report for the audit of operations.</w:t>
      </w:r>
    </w:p>
    <w:p w:rsidR="003136C5" w:rsidRPr="004D2953" w:rsidRDefault="003136C5" w:rsidP="003136C5">
      <w:pPr>
        <w:autoSpaceDE w:val="0"/>
        <w:autoSpaceDN w:val="0"/>
        <w:adjustRightInd w:val="0"/>
        <w:ind w:left="720"/>
        <w:jc w:val="both"/>
        <w:rPr>
          <w:rFonts w:ascii="Arial" w:eastAsia="TimesNewRomanPS-BoldItalicMT" w:hAnsi="Arial" w:cs="Arial"/>
          <w:kern w:val="1"/>
          <w:sz w:val="22"/>
        </w:rPr>
      </w:pP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For the year 2018 the NAO received the Annual Audit Report and Annual Audit Opinion for 2018 from the Audit Authority.</w:t>
      </w:r>
    </w:p>
    <w:p w:rsidR="003136C5" w:rsidRPr="004D2953" w:rsidRDefault="003136C5" w:rsidP="003136C5">
      <w:pPr>
        <w:autoSpaceDE w:val="0"/>
        <w:autoSpaceDN w:val="0"/>
        <w:adjustRightInd w:val="0"/>
        <w:jc w:val="both"/>
        <w:rPr>
          <w:rFonts w:ascii="Arial" w:eastAsia="TimesNewRomanPS-BoldItalicMT" w:hAnsi="Arial" w:cs="Arial"/>
          <w:kern w:val="1"/>
          <w:sz w:val="22"/>
          <w:szCs w:val="22"/>
        </w:rPr>
      </w:pPr>
      <w:r w:rsidRPr="004D2953">
        <w:rPr>
          <w:rFonts w:ascii="Arial" w:eastAsia="TimesNewRomanPS-BoldItalicMT" w:hAnsi="Arial" w:cs="Arial"/>
          <w:kern w:val="1"/>
          <w:sz w:val="22"/>
        </w:rPr>
        <w:t xml:space="preserve">With the Annual Audit Opinion auditors expressed an </w:t>
      </w:r>
      <w:r w:rsidR="005D6F1D" w:rsidRPr="004D2953">
        <w:rPr>
          <w:rFonts w:ascii="Arial" w:eastAsia="TimesNewRomanPS-BoldItalicMT" w:hAnsi="Arial" w:cs="Arial"/>
          <w:bCs/>
          <w:kern w:val="1"/>
          <w:sz w:val="22"/>
        </w:rPr>
        <w:t>unqualified opinion</w:t>
      </w:r>
      <w:r w:rsidR="005D6F1D" w:rsidRPr="004D2953">
        <w:rPr>
          <w:rFonts w:ascii="Arial" w:eastAsia="TimesNewRomanPS-BoldItalicMT" w:hAnsi="Arial" w:cs="Arial"/>
          <w:kern w:val="1"/>
          <w:sz w:val="22"/>
        </w:rPr>
        <w:t xml:space="preserve"> </w:t>
      </w:r>
      <w:r w:rsidRPr="004D2953">
        <w:rPr>
          <w:rFonts w:ascii="Arial" w:eastAsia="TimesNewRomanPS-BoldItalicMT" w:hAnsi="Arial" w:cs="Arial"/>
          <w:kern w:val="1"/>
          <w:sz w:val="22"/>
        </w:rPr>
        <w:t xml:space="preserve">regarding the </w:t>
      </w:r>
      <w:r w:rsidR="005D6F1D" w:rsidRPr="004D2953">
        <w:rPr>
          <w:rFonts w:ascii="Arial" w:eastAsia="TimesNewRomanPS-BoldItalicMT" w:hAnsi="Arial" w:cs="Arial"/>
          <w:kern w:val="1"/>
          <w:sz w:val="22"/>
        </w:rPr>
        <w:t xml:space="preserve">reliability </w:t>
      </w:r>
      <w:r w:rsidRPr="004D2953">
        <w:rPr>
          <w:rFonts w:ascii="Arial" w:eastAsia="TimesNewRomanPS-BoldItalicMT" w:hAnsi="Arial" w:cs="Arial"/>
          <w:kern w:val="1"/>
          <w:sz w:val="22"/>
        </w:rPr>
        <w:t>of the annual</w:t>
      </w:r>
      <w:r w:rsidR="005D6F1D" w:rsidRPr="004D2953">
        <w:rPr>
          <w:rFonts w:ascii="Arial" w:eastAsia="TimesNewRomanPS-BoldItalicMT" w:hAnsi="Arial" w:cs="Arial"/>
          <w:kern w:val="1"/>
          <w:sz w:val="22"/>
        </w:rPr>
        <w:t xml:space="preserve"> </w:t>
      </w:r>
      <w:r w:rsidRPr="004D2953">
        <w:rPr>
          <w:rFonts w:ascii="Arial" w:eastAsia="TimesNewRomanPS-BoldItalicMT" w:hAnsi="Arial" w:cs="Arial"/>
          <w:kern w:val="1"/>
          <w:sz w:val="22"/>
        </w:rPr>
        <w:t xml:space="preserve">financial reports or statements/annual accounts. </w:t>
      </w:r>
      <w:r w:rsidR="005D6F1D" w:rsidRPr="004D2953">
        <w:rPr>
          <w:rFonts w:ascii="Arial" w:eastAsia="TimesNewRomanPS-BoldItalicMT" w:hAnsi="Arial" w:cs="Arial"/>
          <w:kern w:val="1"/>
          <w:sz w:val="22"/>
        </w:rPr>
        <w:t>The au</w:t>
      </w:r>
      <w:r w:rsidRPr="004D2953">
        <w:rPr>
          <w:rFonts w:ascii="Arial" w:eastAsia="TimesNewRomanPS-BoldItalicMT" w:hAnsi="Arial" w:cs="Arial"/>
          <w:kern w:val="1"/>
          <w:sz w:val="22"/>
        </w:rPr>
        <w:t xml:space="preserve">ditors expressed </w:t>
      </w:r>
      <w:r w:rsidR="005D6F1D" w:rsidRPr="004D2953">
        <w:rPr>
          <w:rFonts w:ascii="Arial" w:eastAsia="TimesNewRomanPS-BoldItalicMT" w:hAnsi="Arial" w:cs="Arial"/>
          <w:kern w:val="1"/>
          <w:sz w:val="22"/>
        </w:rPr>
        <w:t>unqualified o</w:t>
      </w:r>
      <w:r w:rsidRPr="004D2953">
        <w:rPr>
          <w:rFonts w:ascii="Arial" w:eastAsia="TimesNewRomanPS-BoldItalicMT" w:hAnsi="Arial" w:cs="Arial"/>
          <w:kern w:val="1"/>
          <w:sz w:val="22"/>
        </w:rPr>
        <w:t xml:space="preserve">pinion with </w:t>
      </w:r>
      <w:r w:rsidRPr="004D2953">
        <w:rPr>
          <w:rFonts w:ascii="Arial" w:eastAsia="TimesNewRomanPS-BoldItalicMT" w:hAnsi="Arial" w:cs="Arial"/>
          <w:kern w:val="1"/>
          <w:sz w:val="22"/>
          <w:szCs w:val="22"/>
        </w:rPr>
        <w:t>emphasis o</w:t>
      </w:r>
      <w:r w:rsidR="005D6F1D" w:rsidRPr="004D2953">
        <w:rPr>
          <w:rFonts w:ascii="Arial" w:eastAsia="TimesNewRomanPS-BoldItalicMT" w:hAnsi="Arial" w:cs="Arial"/>
          <w:kern w:val="1"/>
          <w:sz w:val="22"/>
          <w:szCs w:val="22"/>
        </w:rPr>
        <w:t xml:space="preserve">n the </w:t>
      </w:r>
      <w:r w:rsidRPr="004D2953">
        <w:rPr>
          <w:rFonts w:ascii="Arial" w:eastAsia="TimesNewRomanPS-BoldItalicMT" w:hAnsi="Arial" w:cs="Arial"/>
          <w:kern w:val="1"/>
          <w:sz w:val="22"/>
          <w:szCs w:val="22"/>
        </w:rPr>
        <w:t xml:space="preserve">matter </w:t>
      </w:r>
      <w:r w:rsidR="005D6F1D" w:rsidRPr="004D2953">
        <w:rPr>
          <w:rFonts w:ascii="Arial" w:eastAsia="TimesNewRomanPS-BoldItalicMT" w:hAnsi="Arial" w:cs="Arial"/>
          <w:kern w:val="1"/>
          <w:sz w:val="22"/>
          <w:szCs w:val="22"/>
        </w:rPr>
        <w:t xml:space="preserve">of </w:t>
      </w:r>
      <w:r w:rsidRPr="004D2953">
        <w:rPr>
          <w:rFonts w:ascii="Arial" w:eastAsia="TimesNewRomanPS-BoldItalicMT" w:hAnsi="Arial" w:cs="Arial"/>
          <w:kern w:val="1"/>
          <w:sz w:val="22"/>
          <w:szCs w:val="22"/>
        </w:rPr>
        <w:t xml:space="preserve">legality and regularity of expenditures and </w:t>
      </w:r>
      <w:r w:rsidR="005D6F1D" w:rsidRPr="004D2953">
        <w:rPr>
          <w:rFonts w:ascii="Arial" w:eastAsia="TimesNewRomanPS-BoldItalicMT" w:hAnsi="Arial" w:cs="Arial"/>
          <w:kern w:val="1"/>
          <w:sz w:val="22"/>
          <w:szCs w:val="22"/>
        </w:rPr>
        <w:t xml:space="preserve">the </w:t>
      </w:r>
      <w:r w:rsidRPr="004D2953">
        <w:rPr>
          <w:rFonts w:ascii="Arial" w:eastAsia="TimesNewRomanPS-BoldItalicMT" w:hAnsi="Arial" w:cs="Arial"/>
          <w:kern w:val="1"/>
          <w:sz w:val="22"/>
          <w:szCs w:val="22"/>
        </w:rPr>
        <w:t xml:space="preserve">functioning of </w:t>
      </w:r>
      <w:r w:rsidR="005D6F1D" w:rsidRPr="004D2953">
        <w:rPr>
          <w:rFonts w:ascii="Arial" w:eastAsia="TimesNewRomanPS-BoldItalicMT" w:hAnsi="Arial" w:cs="Arial"/>
          <w:kern w:val="1"/>
          <w:sz w:val="22"/>
          <w:szCs w:val="22"/>
        </w:rPr>
        <w:t>the m</w:t>
      </w:r>
      <w:r w:rsidRPr="004D2953">
        <w:rPr>
          <w:rFonts w:ascii="Arial" w:eastAsia="TimesNewRomanPS-BoldItalicMT" w:hAnsi="Arial" w:cs="Arial"/>
          <w:kern w:val="1"/>
          <w:sz w:val="22"/>
          <w:szCs w:val="22"/>
        </w:rPr>
        <w:t>anagement and control systems</w:t>
      </w:r>
      <w:r w:rsidR="005D6F1D" w:rsidRPr="004D2953">
        <w:rPr>
          <w:rFonts w:ascii="Arial" w:eastAsia="TimesNewRomanPS-BoldItalicMT" w:hAnsi="Arial" w:cs="Arial"/>
          <w:kern w:val="1"/>
          <w:sz w:val="22"/>
          <w:szCs w:val="22"/>
        </w:rPr>
        <w:t xml:space="preserve">, </w:t>
      </w:r>
      <w:r w:rsidRPr="004D2953">
        <w:rPr>
          <w:rFonts w:ascii="Arial" w:eastAsia="TimesNewRomanPS-BoldItalicMT" w:hAnsi="Arial" w:cs="Arial"/>
          <w:kern w:val="1"/>
          <w:sz w:val="22"/>
          <w:szCs w:val="22"/>
        </w:rPr>
        <w:t>with attention regard</w:t>
      </w:r>
      <w:r w:rsidR="005D6F1D" w:rsidRPr="004D2953">
        <w:rPr>
          <w:rFonts w:ascii="Arial" w:eastAsia="TimesNewRomanPS-BoldItalicMT" w:hAnsi="Arial" w:cs="Arial"/>
          <w:kern w:val="1"/>
          <w:sz w:val="22"/>
          <w:szCs w:val="22"/>
        </w:rPr>
        <w:t>ing</w:t>
      </w:r>
      <w:r w:rsidRPr="004D2953">
        <w:rPr>
          <w:rFonts w:ascii="Arial" w:eastAsia="TimesNewRomanPS-BoldItalicMT" w:hAnsi="Arial" w:cs="Arial"/>
          <w:kern w:val="1"/>
          <w:sz w:val="22"/>
          <w:szCs w:val="22"/>
        </w:rPr>
        <w:t xml:space="preserve"> to: insufficient staff in the IPARD Agency, no retention policy, lack of professional </w:t>
      </w:r>
      <w:r w:rsidRPr="004D2953">
        <w:rPr>
          <w:rFonts w:ascii="Arial" w:eastAsia="TimesNewRomanPS-BoldItalicMT" w:hAnsi="Arial" w:cs="Arial"/>
          <w:kern w:val="1"/>
          <w:sz w:val="22"/>
          <w:szCs w:val="22"/>
        </w:rPr>
        <w:lastRenderedPageBreak/>
        <w:t xml:space="preserve">trainings, </w:t>
      </w:r>
      <w:r w:rsidR="005D6F1D" w:rsidRPr="004D2953">
        <w:rPr>
          <w:rFonts w:ascii="Arial" w:eastAsia="TimesNewRomanPS-BoldItalicMT" w:hAnsi="Arial" w:cs="Arial"/>
          <w:kern w:val="1"/>
          <w:sz w:val="22"/>
          <w:szCs w:val="22"/>
        </w:rPr>
        <w:t>un</w:t>
      </w:r>
      <w:r w:rsidRPr="004D2953">
        <w:rPr>
          <w:rFonts w:ascii="Arial" w:eastAsia="TimesNewRomanPS-BoldItalicMT" w:hAnsi="Arial" w:cs="Arial"/>
          <w:kern w:val="1"/>
          <w:sz w:val="22"/>
          <w:szCs w:val="22"/>
        </w:rPr>
        <w:t>harmonize</w:t>
      </w:r>
      <w:r w:rsidR="005D6F1D" w:rsidRPr="004D2953">
        <w:rPr>
          <w:rFonts w:ascii="Arial" w:eastAsia="TimesNewRomanPS-BoldItalicMT" w:hAnsi="Arial" w:cs="Arial"/>
          <w:kern w:val="1"/>
          <w:sz w:val="22"/>
          <w:szCs w:val="22"/>
        </w:rPr>
        <w:t>d</w:t>
      </w:r>
      <w:r w:rsidRPr="004D2953">
        <w:rPr>
          <w:rFonts w:ascii="Arial" w:eastAsia="TimesNewRomanPS-BoldItalicMT" w:hAnsi="Arial" w:cs="Arial"/>
          <w:kern w:val="1"/>
          <w:sz w:val="22"/>
          <w:szCs w:val="22"/>
        </w:rPr>
        <w:t xml:space="preserve"> Law on Establishing the IPARD Agency, lack of supervision in the process of </w:t>
      </w:r>
      <w:r w:rsidR="005D6F1D" w:rsidRPr="004D2953">
        <w:rPr>
          <w:rFonts w:ascii="Arial" w:eastAsia="TimesNewRomanPS-BoldItalicMT" w:hAnsi="Arial" w:cs="Arial"/>
          <w:kern w:val="1"/>
          <w:sz w:val="22"/>
          <w:szCs w:val="22"/>
        </w:rPr>
        <w:t>payment authorization</w:t>
      </w:r>
      <w:r w:rsidRPr="004D2953">
        <w:rPr>
          <w:rFonts w:ascii="Arial" w:eastAsia="TimesNewRomanPS-BoldItalicMT" w:hAnsi="Arial" w:cs="Arial"/>
          <w:kern w:val="1"/>
          <w:sz w:val="22"/>
          <w:szCs w:val="22"/>
        </w:rPr>
        <w:t xml:space="preserve"> and wrongly calculated reference price.</w:t>
      </w:r>
    </w:p>
    <w:p w:rsidR="003136C5" w:rsidRPr="004D2953" w:rsidRDefault="005D6F1D" w:rsidP="003136C5">
      <w:pPr>
        <w:autoSpaceDE w:val="0"/>
        <w:autoSpaceDN w:val="0"/>
        <w:adjustRightInd w:val="0"/>
        <w:jc w:val="both"/>
        <w:rPr>
          <w:rFonts w:ascii="Arial" w:eastAsia="TimesNewRomanPS-BoldItalicMT" w:hAnsi="Arial" w:cs="Arial"/>
          <w:kern w:val="1"/>
          <w:sz w:val="22"/>
          <w:szCs w:val="22"/>
        </w:rPr>
      </w:pPr>
      <w:r w:rsidRPr="004D2953">
        <w:rPr>
          <w:rFonts w:ascii="Arial" w:eastAsia="TimesNewRomanPS-BoldItalicMT" w:hAnsi="Arial" w:cs="Arial"/>
          <w:kern w:val="1"/>
          <w:sz w:val="22"/>
          <w:szCs w:val="22"/>
        </w:rPr>
        <w:t>T</w:t>
      </w:r>
      <w:r w:rsidR="003136C5" w:rsidRPr="004D2953">
        <w:rPr>
          <w:rFonts w:ascii="Arial" w:eastAsia="TimesNewRomanPS-BoldItalicMT" w:hAnsi="Arial" w:cs="Arial"/>
          <w:kern w:val="1"/>
          <w:sz w:val="22"/>
          <w:szCs w:val="22"/>
        </w:rPr>
        <w:t>he table below present</w:t>
      </w:r>
      <w:r w:rsidRPr="004D2953">
        <w:rPr>
          <w:rFonts w:ascii="Arial" w:eastAsia="TimesNewRomanPS-BoldItalicMT" w:hAnsi="Arial" w:cs="Arial"/>
          <w:kern w:val="1"/>
          <w:sz w:val="22"/>
          <w:szCs w:val="22"/>
        </w:rPr>
        <w:t xml:space="preserve">s </w:t>
      </w:r>
      <w:r w:rsidR="003136C5" w:rsidRPr="004D2953">
        <w:rPr>
          <w:rFonts w:ascii="Arial" w:eastAsia="TimesNewRomanPS-BoldItalicMT" w:hAnsi="Arial" w:cs="Arial"/>
          <w:kern w:val="1"/>
          <w:sz w:val="22"/>
          <w:szCs w:val="22"/>
        </w:rPr>
        <w:t xml:space="preserve">findings from the </w:t>
      </w:r>
      <w:r w:rsidRPr="004D2953">
        <w:rPr>
          <w:rFonts w:ascii="Arial" w:eastAsia="TimesNewRomanPS-BoldItalicMT" w:hAnsi="Arial" w:cs="Arial"/>
          <w:kern w:val="1"/>
          <w:sz w:val="22"/>
          <w:szCs w:val="22"/>
        </w:rPr>
        <w:t xml:space="preserve">2018 </w:t>
      </w:r>
      <w:r w:rsidR="003136C5" w:rsidRPr="004D2953">
        <w:rPr>
          <w:rFonts w:ascii="Arial" w:eastAsia="TimesNewRomanPS-BoldItalicMT" w:hAnsi="Arial" w:cs="Arial"/>
          <w:kern w:val="1"/>
          <w:sz w:val="22"/>
          <w:szCs w:val="22"/>
        </w:rPr>
        <w:t>Annual Audit Report for implementation of IPARD II Programme:</w:t>
      </w:r>
    </w:p>
    <w:p w:rsidR="003136C5" w:rsidRPr="009C5096" w:rsidRDefault="003136C5" w:rsidP="003136C5">
      <w:pPr>
        <w:autoSpaceDE w:val="0"/>
        <w:autoSpaceDN w:val="0"/>
        <w:adjustRightInd w:val="0"/>
        <w:ind w:firstLine="360"/>
        <w:jc w:val="both"/>
        <w:rPr>
          <w:rFonts w:ascii="Arial" w:eastAsia="TimesNewRomanPS-BoldItalicMT" w:hAnsi="Arial" w:cs="Arial"/>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701"/>
        <w:gridCol w:w="1559"/>
        <w:gridCol w:w="1621"/>
      </w:tblGrid>
      <w:tr w:rsidR="003136C5" w:rsidRPr="009C5096" w:rsidTr="00612896">
        <w:tc>
          <w:tcPr>
            <w:tcW w:w="2660"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p>
        </w:tc>
        <w:tc>
          <w:tcPr>
            <w:tcW w:w="1701"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Major</w:t>
            </w:r>
          </w:p>
        </w:tc>
        <w:tc>
          <w:tcPr>
            <w:tcW w:w="1701" w:type="dxa"/>
            <w:shd w:val="clear" w:color="auto" w:fill="auto"/>
          </w:tcPr>
          <w:p w:rsidR="003136C5" w:rsidRPr="009C5096" w:rsidRDefault="003136C5" w:rsidP="00612896">
            <w:pPr>
              <w:autoSpaceDE w:val="0"/>
              <w:autoSpaceDN w:val="0"/>
              <w:adjustRightInd w:val="0"/>
              <w:jc w:val="both"/>
              <w:rPr>
                <w:rFonts w:ascii="Arial" w:eastAsia="TimesNewRomanPS-BoldItalicMT" w:hAnsi="Arial" w:cs="Arial"/>
                <w:kern w:val="1"/>
              </w:rPr>
            </w:pPr>
            <w:r w:rsidRPr="009C5096">
              <w:rPr>
                <w:rFonts w:ascii="Arial" w:eastAsia="TimesNewRomanPS-BoldItalicMT" w:hAnsi="Arial" w:cs="Arial"/>
                <w:kern w:val="1"/>
              </w:rPr>
              <w:t>Intermediate</w:t>
            </w:r>
          </w:p>
        </w:tc>
        <w:tc>
          <w:tcPr>
            <w:tcW w:w="1559"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Minor</w:t>
            </w:r>
          </w:p>
        </w:tc>
        <w:tc>
          <w:tcPr>
            <w:tcW w:w="1621"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Total</w:t>
            </w:r>
          </w:p>
        </w:tc>
      </w:tr>
      <w:tr w:rsidR="003136C5" w:rsidRPr="009C5096" w:rsidTr="00612896">
        <w:tc>
          <w:tcPr>
            <w:tcW w:w="2660"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NAO/MS</w:t>
            </w:r>
          </w:p>
        </w:tc>
        <w:tc>
          <w:tcPr>
            <w:tcW w:w="1701"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w:t>
            </w:r>
          </w:p>
        </w:tc>
        <w:tc>
          <w:tcPr>
            <w:tcW w:w="1701"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2</w:t>
            </w:r>
          </w:p>
        </w:tc>
        <w:tc>
          <w:tcPr>
            <w:tcW w:w="1559"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w:t>
            </w:r>
          </w:p>
        </w:tc>
        <w:tc>
          <w:tcPr>
            <w:tcW w:w="1621"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2</w:t>
            </w:r>
          </w:p>
        </w:tc>
      </w:tr>
      <w:tr w:rsidR="003136C5" w:rsidRPr="009C5096" w:rsidTr="00612896">
        <w:tc>
          <w:tcPr>
            <w:tcW w:w="2660"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MA</w:t>
            </w:r>
          </w:p>
        </w:tc>
        <w:tc>
          <w:tcPr>
            <w:tcW w:w="1701"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2</w:t>
            </w:r>
          </w:p>
        </w:tc>
        <w:tc>
          <w:tcPr>
            <w:tcW w:w="1701"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6</w:t>
            </w:r>
          </w:p>
        </w:tc>
        <w:tc>
          <w:tcPr>
            <w:tcW w:w="1559"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w:t>
            </w:r>
          </w:p>
        </w:tc>
        <w:tc>
          <w:tcPr>
            <w:tcW w:w="1621"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8</w:t>
            </w:r>
          </w:p>
        </w:tc>
      </w:tr>
      <w:tr w:rsidR="003136C5" w:rsidRPr="009C5096" w:rsidTr="00612896">
        <w:tc>
          <w:tcPr>
            <w:tcW w:w="2660"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IPARD Agency</w:t>
            </w:r>
          </w:p>
        </w:tc>
        <w:tc>
          <w:tcPr>
            <w:tcW w:w="1701"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6</w:t>
            </w:r>
          </w:p>
        </w:tc>
        <w:tc>
          <w:tcPr>
            <w:tcW w:w="1701"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4</w:t>
            </w:r>
          </w:p>
        </w:tc>
        <w:tc>
          <w:tcPr>
            <w:tcW w:w="1559"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3</w:t>
            </w:r>
          </w:p>
        </w:tc>
        <w:tc>
          <w:tcPr>
            <w:tcW w:w="1621"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13</w:t>
            </w:r>
          </w:p>
        </w:tc>
      </w:tr>
      <w:tr w:rsidR="003136C5" w:rsidRPr="009C5096" w:rsidTr="00612896">
        <w:trPr>
          <w:trHeight w:val="320"/>
        </w:trPr>
        <w:tc>
          <w:tcPr>
            <w:tcW w:w="7621" w:type="dxa"/>
            <w:gridSpan w:val="4"/>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Total:</w:t>
            </w:r>
          </w:p>
        </w:tc>
        <w:tc>
          <w:tcPr>
            <w:tcW w:w="1621" w:type="dxa"/>
            <w:shd w:val="clear" w:color="auto" w:fill="auto"/>
          </w:tcPr>
          <w:p w:rsidR="003136C5" w:rsidRPr="009C5096" w:rsidRDefault="003136C5" w:rsidP="00612896">
            <w:pPr>
              <w:autoSpaceDE w:val="0"/>
              <w:autoSpaceDN w:val="0"/>
              <w:adjustRightInd w:val="0"/>
              <w:ind w:firstLine="360"/>
              <w:jc w:val="both"/>
              <w:rPr>
                <w:rFonts w:ascii="Arial" w:eastAsia="TimesNewRomanPS-BoldItalicMT" w:hAnsi="Arial" w:cs="Arial"/>
                <w:kern w:val="1"/>
              </w:rPr>
            </w:pPr>
            <w:r w:rsidRPr="009C5096">
              <w:rPr>
                <w:rFonts w:ascii="Arial" w:eastAsia="TimesNewRomanPS-BoldItalicMT" w:hAnsi="Arial" w:cs="Arial"/>
                <w:kern w:val="1"/>
              </w:rPr>
              <w:t>23</w:t>
            </w:r>
          </w:p>
        </w:tc>
      </w:tr>
    </w:tbl>
    <w:p w:rsidR="003136C5" w:rsidRPr="009C5096" w:rsidRDefault="003136C5" w:rsidP="003136C5">
      <w:pPr>
        <w:autoSpaceDE w:val="0"/>
        <w:autoSpaceDN w:val="0"/>
        <w:adjustRightInd w:val="0"/>
        <w:ind w:firstLine="360"/>
        <w:jc w:val="both"/>
        <w:rPr>
          <w:rFonts w:ascii="Arial" w:eastAsia="TimesNewRomanPS-BoldItalicMT" w:hAnsi="Arial" w:cs="Arial"/>
          <w:kern w:val="1"/>
        </w:rPr>
      </w:pP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Regarding the open findings from </w:t>
      </w:r>
      <w:r w:rsidR="008D4F94" w:rsidRPr="004D2953">
        <w:rPr>
          <w:rFonts w:ascii="Arial" w:eastAsia="TimesNewRomanPS-BoldItalicMT" w:hAnsi="Arial" w:cs="Arial"/>
          <w:kern w:val="1"/>
          <w:sz w:val="22"/>
        </w:rPr>
        <w:t xml:space="preserve">the </w:t>
      </w:r>
      <w:r w:rsidRPr="004D2953">
        <w:rPr>
          <w:rFonts w:ascii="Arial" w:eastAsia="TimesNewRomanPS-BoldItalicMT" w:hAnsi="Arial" w:cs="Arial"/>
          <w:kern w:val="1"/>
          <w:sz w:val="22"/>
        </w:rPr>
        <w:t xml:space="preserve">AA reports, NAO in coordination with the operating structure drafted </w:t>
      </w:r>
      <w:r w:rsidR="008D4F94" w:rsidRPr="004D2953">
        <w:rPr>
          <w:rFonts w:ascii="Arial" w:eastAsia="TimesNewRomanPS-BoldItalicMT" w:hAnsi="Arial" w:cs="Arial"/>
          <w:kern w:val="1"/>
          <w:sz w:val="22"/>
        </w:rPr>
        <w:t xml:space="preserve">an </w:t>
      </w:r>
      <w:r w:rsidRPr="004D2953">
        <w:rPr>
          <w:rFonts w:ascii="Arial" w:eastAsia="TimesNewRomanPS-BoldItalicMT" w:hAnsi="Arial" w:cs="Arial"/>
          <w:kern w:val="1"/>
          <w:sz w:val="22"/>
        </w:rPr>
        <w:t>Action Plan with deadlines and responsibilities for implementation of recommendations and overcoming the findings.</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NAO continuously monitor</w:t>
      </w:r>
      <w:r w:rsidR="008D4F94" w:rsidRPr="004D2953">
        <w:rPr>
          <w:rFonts w:ascii="Arial" w:eastAsia="TimesNewRomanPS-BoldItalicMT" w:hAnsi="Arial" w:cs="Arial"/>
          <w:kern w:val="1"/>
          <w:sz w:val="22"/>
        </w:rPr>
        <w:t xml:space="preserve">s </w:t>
      </w:r>
      <w:r w:rsidRPr="004D2953">
        <w:rPr>
          <w:rFonts w:ascii="Arial" w:eastAsia="TimesNewRomanPS-BoldItalicMT" w:hAnsi="Arial" w:cs="Arial"/>
          <w:kern w:val="1"/>
          <w:sz w:val="22"/>
        </w:rPr>
        <w:t xml:space="preserve">the implementation of the actions agreed for overcoming the findings. On quarterly basis, the IPARD Agency and </w:t>
      </w:r>
      <w:r w:rsidR="008D4F94" w:rsidRPr="004D2953">
        <w:rPr>
          <w:rFonts w:ascii="Arial" w:eastAsia="TimesNewRomanPS-BoldItalicMT" w:hAnsi="Arial" w:cs="Arial"/>
          <w:kern w:val="1"/>
          <w:sz w:val="22"/>
        </w:rPr>
        <w:t xml:space="preserve">the </w:t>
      </w:r>
      <w:r w:rsidRPr="004D2953">
        <w:rPr>
          <w:rFonts w:ascii="Arial" w:eastAsia="TimesNewRomanPS-BoldItalicMT" w:hAnsi="Arial" w:cs="Arial"/>
          <w:kern w:val="1"/>
          <w:sz w:val="22"/>
        </w:rPr>
        <w:t>Managing Authority submit</w:t>
      </w:r>
      <w:r w:rsidR="008D4F94" w:rsidRPr="004D2953">
        <w:rPr>
          <w:rFonts w:ascii="Arial" w:eastAsia="TimesNewRomanPS-BoldItalicMT" w:hAnsi="Arial" w:cs="Arial"/>
          <w:kern w:val="1"/>
          <w:sz w:val="22"/>
        </w:rPr>
        <w:t xml:space="preserve"> </w:t>
      </w:r>
      <w:r w:rsidRPr="004D2953">
        <w:rPr>
          <w:rFonts w:ascii="Arial" w:eastAsia="TimesNewRomanPS-BoldItalicMT" w:hAnsi="Arial" w:cs="Arial"/>
          <w:kern w:val="1"/>
          <w:sz w:val="22"/>
        </w:rPr>
        <w:t>to NAO Table for implementation of audit recommendation, where the latest status of undertaken activities is given. The NAO support structures perform analysis on the dynamic</w:t>
      </w:r>
      <w:r w:rsidR="008D4F94" w:rsidRPr="004D2953">
        <w:rPr>
          <w:rFonts w:ascii="Arial" w:eastAsia="TimesNewRomanPS-BoldItalicMT" w:hAnsi="Arial" w:cs="Arial"/>
          <w:kern w:val="1"/>
          <w:sz w:val="22"/>
        </w:rPr>
        <w:t>s</w:t>
      </w:r>
      <w:r w:rsidRPr="004D2953">
        <w:rPr>
          <w:rFonts w:ascii="Arial" w:eastAsia="TimesNewRomanPS-BoldItalicMT" w:hAnsi="Arial" w:cs="Arial"/>
          <w:kern w:val="1"/>
          <w:sz w:val="22"/>
        </w:rPr>
        <w:t xml:space="preserve"> of </w:t>
      </w:r>
      <w:r w:rsidR="008D4F94" w:rsidRPr="004D2953">
        <w:rPr>
          <w:rFonts w:ascii="Arial" w:eastAsia="TimesNewRomanPS-BoldItalicMT" w:hAnsi="Arial" w:cs="Arial"/>
          <w:kern w:val="1"/>
          <w:sz w:val="22"/>
        </w:rPr>
        <w:t xml:space="preserve">activities </w:t>
      </w:r>
      <w:r w:rsidRPr="004D2953">
        <w:rPr>
          <w:rFonts w:ascii="Arial" w:eastAsia="TimesNewRomanPS-BoldItalicMT" w:hAnsi="Arial" w:cs="Arial"/>
          <w:kern w:val="1"/>
          <w:sz w:val="22"/>
        </w:rPr>
        <w:t xml:space="preserve">implementation and inform NAO regarding the status of implementation. </w:t>
      </w:r>
    </w:p>
    <w:p w:rsidR="003136C5" w:rsidRPr="009C5096" w:rsidRDefault="003136C5" w:rsidP="003136C5">
      <w:pPr>
        <w:widowControl w:val="0"/>
        <w:suppressAutoHyphens/>
        <w:autoSpaceDE w:val="0"/>
        <w:autoSpaceDN w:val="0"/>
        <w:adjustRightInd w:val="0"/>
        <w:ind w:firstLine="360"/>
        <w:jc w:val="both"/>
        <w:rPr>
          <w:rFonts w:ascii="Arial" w:hAnsi="Arial" w:cs="Arial"/>
          <w:color w:val="000000"/>
          <w:lang w:eastAsia="mk-MK"/>
        </w:rPr>
      </w:pPr>
    </w:p>
    <w:p w:rsidR="003136C5" w:rsidRPr="009C5096" w:rsidRDefault="003136C5" w:rsidP="003136C5">
      <w:pPr>
        <w:pStyle w:val="BodyText"/>
        <w:overflowPunct w:val="0"/>
        <w:autoSpaceDE w:val="0"/>
        <w:spacing w:after="0" w:line="100" w:lineRule="atLeast"/>
        <w:jc w:val="both"/>
        <w:textAlignment w:val="baseline"/>
        <w:rPr>
          <w:rFonts w:ascii="Arial" w:hAnsi="Arial" w:cs="Arial"/>
          <w:lang w:val="en-US"/>
        </w:rPr>
      </w:pPr>
      <w:r w:rsidRPr="009C5096">
        <w:rPr>
          <w:rFonts w:ascii="Arial" w:eastAsia="TimesNewRomanPS-BoldItalicMT" w:hAnsi="Arial" w:cs="Arial"/>
          <w:b/>
          <w:bCs/>
          <w:iCs/>
          <w:lang w:val="en-US"/>
        </w:rPr>
        <w:t>Monitoring of the Administrative Capacities of the Operating Structure</w:t>
      </w:r>
    </w:p>
    <w:p w:rsidR="003136C5" w:rsidRPr="009C5096" w:rsidRDefault="003136C5" w:rsidP="003136C5">
      <w:pPr>
        <w:pStyle w:val="BodyText"/>
        <w:overflowPunct w:val="0"/>
        <w:autoSpaceDE w:val="0"/>
        <w:spacing w:after="0" w:line="100" w:lineRule="atLeast"/>
        <w:ind w:left="720"/>
        <w:jc w:val="both"/>
        <w:textAlignment w:val="baseline"/>
        <w:rPr>
          <w:rFonts w:ascii="Arial" w:hAnsi="Arial" w:cs="Arial"/>
          <w:lang w:val="en-US"/>
        </w:rPr>
      </w:pPr>
    </w:p>
    <w:p w:rsidR="003136C5" w:rsidRPr="009C5096" w:rsidRDefault="003136C5" w:rsidP="003136C5">
      <w:pPr>
        <w:autoSpaceDE w:val="0"/>
        <w:autoSpaceDN w:val="0"/>
        <w:adjustRightInd w:val="0"/>
        <w:spacing w:after="120"/>
        <w:jc w:val="both"/>
        <w:rPr>
          <w:rFonts w:ascii="Arial" w:eastAsia="TimesNewRomanPS-BoldItalicMT" w:hAnsi="Arial" w:cs="Arial"/>
          <w:b/>
          <w:kern w:val="1"/>
        </w:rPr>
      </w:pPr>
      <w:r w:rsidRPr="009C5096">
        <w:rPr>
          <w:rFonts w:ascii="Arial" w:eastAsia="TimesNewRomanPS-BoldItalicMT" w:hAnsi="Arial" w:cs="Arial"/>
          <w:b/>
          <w:kern w:val="1"/>
        </w:rPr>
        <w:t>Management Structure</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According to </w:t>
      </w:r>
      <w:r w:rsidR="004536D0" w:rsidRPr="004D2953">
        <w:rPr>
          <w:rFonts w:ascii="Arial" w:eastAsia="TimesNewRomanPS-BoldItalicMT" w:hAnsi="Arial" w:cs="Arial"/>
          <w:kern w:val="1"/>
          <w:sz w:val="22"/>
        </w:rPr>
        <w:t xml:space="preserve">the </w:t>
      </w:r>
      <w:r w:rsidRPr="004D2953">
        <w:rPr>
          <w:rFonts w:ascii="Arial" w:eastAsia="TimesNewRomanPS-BoldItalicMT" w:hAnsi="Arial" w:cs="Arial"/>
          <w:kern w:val="1"/>
          <w:sz w:val="22"/>
        </w:rPr>
        <w:t xml:space="preserve">Workload Analysis of the Management Structure for 2018, it was identified that </w:t>
      </w:r>
      <w:r w:rsidR="004536D0" w:rsidRPr="004D2953">
        <w:rPr>
          <w:rFonts w:ascii="Arial" w:eastAsia="TimesNewRomanPS-BoldItalicMT" w:hAnsi="Arial" w:cs="Arial"/>
          <w:kern w:val="1"/>
          <w:sz w:val="22"/>
        </w:rPr>
        <w:t xml:space="preserve">the </w:t>
      </w:r>
      <w:r w:rsidRPr="004D2953">
        <w:rPr>
          <w:rFonts w:ascii="Arial" w:eastAsia="TimesNewRomanPS-BoldItalicMT" w:hAnsi="Arial" w:cs="Arial"/>
          <w:kern w:val="1"/>
          <w:sz w:val="22"/>
        </w:rPr>
        <w:t xml:space="preserve">optimal number of employees for 2018 is 21 (including NAO). At the beginning of 2018 the number of employees in MS was 17 (seventeen), including NAO. </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During 2018, one employee was engaged with temporary employment contract in the IPA Funds Management Department. The contract expired in July 2018 and the employee left the MS. In addition, the other temporary contract for the Junior Associate that was engaged in MS in December 2017 was renewed and the person was engaged until December 2019 in MS. </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Therefore, the number of employees in the Management Structure is 17 (seventeen), including NAO</w:t>
      </w:r>
      <w:r w:rsidR="004536D0" w:rsidRPr="004D2953">
        <w:rPr>
          <w:rFonts w:ascii="Arial" w:eastAsia="TimesNewRomanPS-BoldItalicMT" w:hAnsi="Arial" w:cs="Arial"/>
          <w:kern w:val="1"/>
          <w:sz w:val="22"/>
        </w:rPr>
        <w:t>,</w:t>
      </w:r>
      <w:r w:rsidRPr="004D2953">
        <w:rPr>
          <w:rFonts w:ascii="Arial" w:eastAsia="TimesNewRomanPS-BoldItalicMT" w:hAnsi="Arial" w:cs="Arial"/>
          <w:kern w:val="1"/>
          <w:sz w:val="22"/>
        </w:rPr>
        <w:t xml:space="preserve"> </w:t>
      </w:r>
      <w:r w:rsidR="004536D0" w:rsidRPr="004D2953">
        <w:rPr>
          <w:rFonts w:ascii="Arial" w:eastAsia="TimesNewRomanPS-BoldItalicMT" w:hAnsi="Arial" w:cs="Arial"/>
          <w:kern w:val="1"/>
          <w:sz w:val="22"/>
        </w:rPr>
        <w:t xml:space="preserve">as </w:t>
      </w:r>
      <w:r w:rsidRPr="004D2953">
        <w:rPr>
          <w:rFonts w:ascii="Arial" w:eastAsia="TimesNewRomanPS-BoldItalicMT" w:hAnsi="Arial" w:cs="Arial"/>
          <w:kern w:val="1"/>
          <w:sz w:val="22"/>
        </w:rPr>
        <w:t>of 31.12.2018.</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According to the situation at the end of 2018, the </w:t>
      </w:r>
      <w:r w:rsidR="004536D0" w:rsidRPr="004D2953">
        <w:rPr>
          <w:rFonts w:ascii="Arial" w:eastAsia="TimesNewRomanPS-BoldItalicMT" w:hAnsi="Arial" w:cs="Arial"/>
          <w:kern w:val="1"/>
          <w:sz w:val="22"/>
        </w:rPr>
        <w:t xml:space="preserve">working posts </w:t>
      </w:r>
      <w:r w:rsidRPr="004D2953">
        <w:rPr>
          <w:rFonts w:ascii="Arial" w:eastAsia="TimesNewRomanPS-BoldItalicMT" w:hAnsi="Arial" w:cs="Arial"/>
          <w:kern w:val="1"/>
          <w:sz w:val="22"/>
        </w:rPr>
        <w:t xml:space="preserve">occupancy rate in the IPA Funds Management Department is 81%, having in mind that the </w:t>
      </w:r>
      <w:r w:rsidR="004536D0" w:rsidRPr="004D2953">
        <w:rPr>
          <w:rFonts w:ascii="Arial" w:eastAsia="TimesNewRomanPS-BoldItalicMT" w:hAnsi="Arial" w:cs="Arial"/>
          <w:kern w:val="1"/>
          <w:sz w:val="22"/>
        </w:rPr>
        <w:t xml:space="preserve">2018 </w:t>
      </w:r>
      <w:r w:rsidRPr="004D2953">
        <w:rPr>
          <w:rFonts w:ascii="Arial" w:eastAsia="TimesNewRomanPS-BoldItalicMT" w:hAnsi="Arial" w:cs="Arial"/>
          <w:kern w:val="1"/>
          <w:sz w:val="22"/>
        </w:rPr>
        <w:t>WLA show</w:t>
      </w:r>
      <w:r w:rsidR="004536D0" w:rsidRPr="004D2953">
        <w:rPr>
          <w:rFonts w:ascii="Arial" w:eastAsia="TimesNewRomanPS-BoldItalicMT" w:hAnsi="Arial" w:cs="Arial"/>
          <w:kern w:val="1"/>
          <w:sz w:val="22"/>
        </w:rPr>
        <w:t xml:space="preserve">s a </w:t>
      </w:r>
      <w:r w:rsidRPr="004D2953">
        <w:rPr>
          <w:rFonts w:ascii="Arial" w:eastAsia="TimesNewRomanPS-BoldItalicMT" w:hAnsi="Arial" w:cs="Arial"/>
          <w:kern w:val="1"/>
          <w:sz w:val="22"/>
        </w:rPr>
        <w:t>need for optimal number of 21 employees.</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In addition, concerning retention, internal announcement 01/2018 for promotion of 5 administrative officers </w:t>
      </w:r>
      <w:r w:rsidR="004536D0" w:rsidRPr="004D2953">
        <w:rPr>
          <w:rFonts w:ascii="Arial" w:eastAsia="TimesNewRomanPS-BoldItalicMT" w:hAnsi="Arial" w:cs="Arial"/>
          <w:kern w:val="1"/>
          <w:sz w:val="22"/>
        </w:rPr>
        <w:t>–</w:t>
      </w:r>
      <w:r w:rsidRPr="004D2953">
        <w:rPr>
          <w:rFonts w:ascii="Arial" w:eastAsia="TimesNewRomanPS-BoldItalicMT" w:hAnsi="Arial" w:cs="Arial"/>
          <w:kern w:val="1"/>
          <w:sz w:val="22"/>
        </w:rPr>
        <w:t xml:space="preserve"> junior associates from both units within the MS </w:t>
      </w:r>
      <w:r w:rsidR="004536D0" w:rsidRPr="004D2953">
        <w:rPr>
          <w:rFonts w:ascii="Arial" w:eastAsia="TimesNewRomanPS-BoldItalicMT" w:hAnsi="Arial" w:cs="Arial"/>
          <w:kern w:val="1"/>
          <w:sz w:val="22"/>
        </w:rPr>
        <w:t xml:space="preserve">was </w:t>
      </w:r>
      <w:r w:rsidRPr="004D2953">
        <w:rPr>
          <w:rFonts w:ascii="Arial" w:eastAsia="TimesNewRomanPS-BoldItalicMT" w:hAnsi="Arial" w:cs="Arial"/>
          <w:kern w:val="1"/>
          <w:sz w:val="22"/>
        </w:rPr>
        <w:t xml:space="preserve">published in October 2018 and by December 2018, 3 civil servants were promoted from junior associates </w:t>
      </w:r>
      <w:r w:rsidR="004536D0" w:rsidRPr="004D2953">
        <w:rPr>
          <w:rFonts w:ascii="Arial" w:eastAsia="TimesNewRomanPS-BoldItalicMT" w:hAnsi="Arial" w:cs="Arial"/>
          <w:kern w:val="1"/>
          <w:sz w:val="22"/>
        </w:rPr>
        <w:t xml:space="preserve">to </w:t>
      </w:r>
      <w:r w:rsidRPr="004D2953">
        <w:rPr>
          <w:rFonts w:ascii="Arial" w:eastAsia="TimesNewRomanPS-BoldItalicMT" w:hAnsi="Arial" w:cs="Arial"/>
          <w:kern w:val="1"/>
          <w:sz w:val="22"/>
        </w:rPr>
        <w:t xml:space="preserve">advisors and one into associate. </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According to the </w:t>
      </w:r>
      <w:r w:rsidR="004536D0" w:rsidRPr="004D2953">
        <w:rPr>
          <w:rFonts w:ascii="Arial" w:eastAsia="TimesNewRomanPS-BoldItalicMT" w:hAnsi="Arial" w:cs="Arial"/>
          <w:kern w:val="1"/>
          <w:sz w:val="22"/>
        </w:rPr>
        <w:t xml:space="preserve">2019 </w:t>
      </w:r>
      <w:r w:rsidRPr="004D2953">
        <w:rPr>
          <w:rFonts w:ascii="Arial" w:eastAsia="TimesNewRomanPS-BoldItalicMT" w:hAnsi="Arial" w:cs="Arial"/>
          <w:kern w:val="1"/>
          <w:sz w:val="22"/>
        </w:rPr>
        <w:t>WLA the optimal number of employees in the Management Structure is 20 (including NAO).</w:t>
      </w:r>
    </w:p>
    <w:p w:rsidR="003136C5" w:rsidRPr="004D2953" w:rsidRDefault="003136C5" w:rsidP="003136C5">
      <w:pPr>
        <w:autoSpaceDE w:val="0"/>
        <w:autoSpaceDN w:val="0"/>
        <w:adjustRightInd w:val="0"/>
        <w:spacing w:after="120"/>
        <w:jc w:val="both"/>
        <w:rPr>
          <w:rFonts w:ascii="Arial" w:eastAsia="TimesNewRomanPS-BoldItalicMT" w:hAnsi="Arial" w:cs="Arial"/>
          <w:b/>
          <w:kern w:val="1"/>
          <w:sz w:val="22"/>
          <w:u w:val="single"/>
        </w:rPr>
      </w:pPr>
    </w:p>
    <w:p w:rsidR="003136C5" w:rsidRPr="009C5096" w:rsidRDefault="003136C5" w:rsidP="003136C5">
      <w:pPr>
        <w:autoSpaceDE w:val="0"/>
        <w:autoSpaceDN w:val="0"/>
        <w:adjustRightInd w:val="0"/>
        <w:spacing w:after="120"/>
        <w:jc w:val="both"/>
        <w:rPr>
          <w:rFonts w:ascii="Arial" w:eastAsia="TimesNewRomanPS-BoldItalicMT" w:hAnsi="Arial" w:cs="Arial"/>
          <w:b/>
          <w:kern w:val="1"/>
        </w:rPr>
      </w:pPr>
      <w:r w:rsidRPr="009C5096">
        <w:rPr>
          <w:rFonts w:ascii="Arial" w:eastAsia="TimesNewRomanPS-BoldItalicMT" w:hAnsi="Arial" w:cs="Arial"/>
          <w:b/>
          <w:kern w:val="1"/>
        </w:rPr>
        <w:t>IPARD Agency</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According to the </w:t>
      </w:r>
      <w:r w:rsidR="004536D0" w:rsidRPr="004D2953">
        <w:rPr>
          <w:rFonts w:ascii="Arial" w:eastAsia="TimesNewRomanPS-BoldItalicMT" w:hAnsi="Arial" w:cs="Arial"/>
          <w:kern w:val="1"/>
          <w:sz w:val="22"/>
        </w:rPr>
        <w:t xml:space="preserve">2018 </w:t>
      </w:r>
      <w:r w:rsidRPr="004D2953">
        <w:rPr>
          <w:rFonts w:ascii="Arial" w:eastAsia="TimesNewRomanPS-BoldItalicMT" w:hAnsi="Arial" w:cs="Arial"/>
          <w:kern w:val="1"/>
          <w:sz w:val="22"/>
        </w:rPr>
        <w:t>Workload Analysis (WLA)</w:t>
      </w:r>
      <w:r w:rsidR="004536D0" w:rsidRPr="004D2953">
        <w:rPr>
          <w:rFonts w:ascii="Arial" w:eastAsia="TimesNewRomanPS-BoldItalicMT" w:hAnsi="Arial" w:cs="Arial"/>
          <w:kern w:val="1"/>
          <w:sz w:val="22"/>
        </w:rPr>
        <w:t>,</w:t>
      </w:r>
      <w:r w:rsidRPr="004D2953">
        <w:rPr>
          <w:rFonts w:ascii="Arial" w:eastAsia="TimesNewRomanPS-BoldItalicMT" w:hAnsi="Arial" w:cs="Arial"/>
          <w:kern w:val="1"/>
          <w:sz w:val="22"/>
        </w:rPr>
        <w:t xml:space="preserve"> the optimal number of employees needed in </w:t>
      </w:r>
      <w:r w:rsidR="004536D0" w:rsidRPr="004D2953">
        <w:rPr>
          <w:rFonts w:ascii="Arial" w:eastAsia="TimesNewRomanPS-BoldItalicMT" w:hAnsi="Arial" w:cs="Arial"/>
          <w:kern w:val="1"/>
          <w:sz w:val="22"/>
        </w:rPr>
        <w:t xml:space="preserve">the </w:t>
      </w:r>
      <w:r w:rsidRPr="004D2953">
        <w:rPr>
          <w:rFonts w:ascii="Arial" w:eastAsia="TimesNewRomanPS-BoldItalicMT" w:hAnsi="Arial" w:cs="Arial"/>
          <w:kern w:val="1"/>
          <w:sz w:val="22"/>
        </w:rPr>
        <w:t xml:space="preserve">IPARD Agency for implementation of the accredited measures, as well as the Rural Infrastructure measure is 170 employees. At the beginning of 2018, </w:t>
      </w:r>
      <w:r w:rsidR="004536D0" w:rsidRPr="004D2953">
        <w:rPr>
          <w:rFonts w:ascii="Arial" w:eastAsia="TimesNewRomanPS-BoldItalicMT" w:hAnsi="Arial" w:cs="Arial"/>
          <w:kern w:val="1"/>
          <w:sz w:val="22"/>
        </w:rPr>
        <w:t xml:space="preserve">the </w:t>
      </w:r>
      <w:r w:rsidRPr="004D2953">
        <w:rPr>
          <w:rFonts w:ascii="Arial" w:eastAsia="TimesNewRomanPS-BoldItalicMT" w:hAnsi="Arial" w:cs="Arial"/>
          <w:kern w:val="1"/>
          <w:sz w:val="22"/>
        </w:rPr>
        <w:t>IPARD Agency numbered 87 employees designated to work on IPARD related issues.</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As already informed, the strengthening of the </w:t>
      </w:r>
      <w:r w:rsidR="004536D0" w:rsidRPr="004D2953">
        <w:rPr>
          <w:rFonts w:ascii="Arial" w:eastAsia="TimesNewRomanPS-BoldItalicMT" w:hAnsi="Arial" w:cs="Arial"/>
          <w:kern w:val="1"/>
          <w:sz w:val="22"/>
        </w:rPr>
        <w:t xml:space="preserve">Agency’s </w:t>
      </w:r>
      <w:r w:rsidRPr="004D2953">
        <w:rPr>
          <w:rFonts w:ascii="Arial" w:eastAsia="TimesNewRomanPS-BoldItalicMT" w:hAnsi="Arial" w:cs="Arial"/>
          <w:kern w:val="1"/>
          <w:sz w:val="22"/>
        </w:rPr>
        <w:t xml:space="preserve">human resources capacity was considered a priority, and strong commitment for </w:t>
      </w:r>
      <w:r w:rsidR="004536D0" w:rsidRPr="004D2953">
        <w:rPr>
          <w:rFonts w:ascii="Arial" w:eastAsia="TimesNewRomanPS-BoldItalicMT" w:hAnsi="Arial" w:cs="Arial"/>
          <w:kern w:val="1"/>
          <w:sz w:val="22"/>
        </w:rPr>
        <w:t xml:space="preserve">realizing </w:t>
      </w:r>
      <w:r w:rsidRPr="004D2953">
        <w:rPr>
          <w:rFonts w:ascii="Arial" w:eastAsia="TimesNewRomanPS-BoldItalicMT" w:hAnsi="Arial" w:cs="Arial"/>
          <w:kern w:val="1"/>
          <w:sz w:val="22"/>
        </w:rPr>
        <w:t>the necessary employments can be noted during 2018.</w:t>
      </w:r>
    </w:p>
    <w:p w:rsidR="003136C5" w:rsidRPr="004D2953" w:rsidRDefault="003136C5" w:rsidP="003136C5">
      <w:pPr>
        <w:autoSpaceDE w:val="0"/>
        <w:autoSpaceDN w:val="0"/>
        <w:adjustRightInd w:val="0"/>
        <w:spacing w:after="120"/>
        <w:jc w:val="both"/>
        <w:rPr>
          <w:rFonts w:ascii="Arial" w:eastAsia="TimesNewRomanPS-BoldItalicMT" w:hAnsi="Arial" w:cs="Arial"/>
          <w:kern w:val="1"/>
          <w:sz w:val="22"/>
        </w:rPr>
      </w:pPr>
      <w:r w:rsidRPr="004D2953">
        <w:rPr>
          <w:rFonts w:ascii="Arial" w:eastAsia="TimesNewRomanPS-BoldItalicMT" w:hAnsi="Arial" w:cs="Arial"/>
          <w:kern w:val="1"/>
          <w:sz w:val="22"/>
        </w:rPr>
        <w:lastRenderedPageBreak/>
        <w:t xml:space="preserve">Namely, the </w:t>
      </w:r>
      <w:r w:rsidR="004536D0" w:rsidRPr="004D2953">
        <w:rPr>
          <w:rFonts w:ascii="Arial" w:eastAsia="TimesNewRomanPS-BoldItalicMT" w:hAnsi="Arial" w:cs="Arial"/>
          <w:kern w:val="1"/>
          <w:sz w:val="22"/>
        </w:rPr>
        <w:t xml:space="preserve">IPARD Agency employments </w:t>
      </w:r>
      <w:r w:rsidRPr="004D2953">
        <w:rPr>
          <w:rFonts w:ascii="Arial" w:eastAsia="TimesNewRomanPS-BoldItalicMT" w:hAnsi="Arial" w:cs="Arial"/>
          <w:kern w:val="1"/>
          <w:sz w:val="22"/>
        </w:rPr>
        <w:t>procedure</w:t>
      </w:r>
      <w:r w:rsidR="004536D0" w:rsidRPr="004D2953">
        <w:rPr>
          <w:rFonts w:ascii="Arial" w:eastAsia="TimesNewRomanPS-BoldItalicMT" w:hAnsi="Arial" w:cs="Arial"/>
          <w:kern w:val="1"/>
          <w:sz w:val="22"/>
        </w:rPr>
        <w:t>,</w:t>
      </w:r>
      <w:r w:rsidRPr="004D2953">
        <w:rPr>
          <w:rFonts w:ascii="Arial" w:eastAsia="TimesNewRomanPS-BoldItalicMT" w:hAnsi="Arial" w:cs="Arial"/>
          <w:kern w:val="1"/>
          <w:sz w:val="22"/>
        </w:rPr>
        <w:t xml:space="preserve"> according to the Government conclusions</w:t>
      </w:r>
      <w:r w:rsidR="004536D0" w:rsidRPr="004D2953">
        <w:rPr>
          <w:rFonts w:ascii="Arial" w:eastAsia="TimesNewRomanPS-BoldItalicMT" w:hAnsi="Arial" w:cs="Arial"/>
          <w:kern w:val="1"/>
          <w:sz w:val="22"/>
        </w:rPr>
        <w:t>,</w:t>
      </w:r>
      <w:r w:rsidRPr="004D2953">
        <w:rPr>
          <w:rFonts w:ascii="Arial" w:eastAsia="TimesNewRomanPS-BoldItalicMT" w:hAnsi="Arial" w:cs="Arial"/>
          <w:kern w:val="1"/>
          <w:sz w:val="22"/>
        </w:rPr>
        <w:t xml:space="preserve"> was decided to be carried out in the following three phases:</w:t>
      </w:r>
    </w:p>
    <w:p w:rsidR="003136C5" w:rsidRPr="004D2953" w:rsidRDefault="004536D0"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F</w:t>
      </w:r>
      <w:r w:rsidR="003136C5" w:rsidRPr="004D2953">
        <w:rPr>
          <w:rFonts w:ascii="Arial" w:eastAsia="TimesNewRomanPS-BoldItalicMT" w:hAnsi="Arial" w:cs="Arial"/>
          <w:kern w:val="1"/>
          <w:sz w:val="22"/>
        </w:rPr>
        <w:t xml:space="preserve">irst phase </w:t>
      </w:r>
      <w:r w:rsidRPr="004D2953">
        <w:rPr>
          <w:rFonts w:ascii="Arial" w:eastAsia="TimesNewRomanPS-BoldItalicMT" w:hAnsi="Arial" w:cs="Arial"/>
          <w:kern w:val="1"/>
          <w:sz w:val="22"/>
        </w:rPr>
        <w:t>–</w:t>
      </w:r>
      <w:r w:rsidR="003136C5" w:rsidRPr="004D2953">
        <w:rPr>
          <w:rFonts w:ascii="Arial" w:eastAsia="TimesNewRomanPS-BoldItalicMT" w:hAnsi="Arial" w:cs="Arial"/>
          <w:kern w:val="1"/>
          <w:sz w:val="22"/>
        </w:rPr>
        <w:t xml:space="preserve"> 28 new employments;</w:t>
      </w:r>
    </w:p>
    <w:p w:rsidR="003136C5" w:rsidRPr="004D2953" w:rsidRDefault="004536D0"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S</w:t>
      </w:r>
      <w:r w:rsidR="003136C5" w:rsidRPr="004D2953">
        <w:rPr>
          <w:rFonts w:ascii="Arial" w:eastAsia="TimesNewRomanPS-BoldItalicMT" w:hAnsi="Arial" w:cs="Arial"/>
          <w:kern w:val="1"/>
          <w:sz w:val="22"/>
        </w:rPr>
        <w:t xml:space="preserve">econd phase </w:t>
      </w:r>
      <w:r w:rsidRPr="004D2953">
        <w:rPr>
          <w:rFonts w:ascii="Arial" w:eastAsia="TimesNewRomanPS-BoldItalicMT" w:hAnsi="Arial" w:cs="Arial"/>
          <w:kern w:val="1"/>
          <w:sz w:val="22"/>
        </w:rPr>
        <w:t>–</w:t>
      </w:r>
      <w:r w:rsidR="003136C5" w:rsidRPr="004D2953">
        <w:rPr>
          <w:rFonts w:ascii="Arial" w:eastAsia="TimesNewRomanPS-BoldItalicMT" w:hAnsi="Arial" w:cs="Arial"/>
          <w:kern w:val="1"/>
          <w:sz w:val="22"/>
        </w:rPr>
        <w:t xml:space="preserve"> 20 new employments and </w:t>
      </w:r>
    </w:p>
    <w:p w:rsidR="003136C5" w:rsidRPr="004D2953" w:rsidRDefault="004536D0" w:rsidP="003136C5">
      <w:pPr>
        <w:autoSpaceDE w:val="0"/>
        <w:autoSpaceDN w:val="0"/>
        <w:adjustRightInd w:val="0"/>
        <w:spacing w:after="120"/>
        <w:jc w:val="both"/>
        <w:rPr>
          <w:rFonts w:ascii="Arial" w:eastAsia="TimesNewRomanPS-BoldItalicMT" w:hAnsi="Arial" w:cs="Arial"/>
          <w:kern w:val="1"/>
          <w:sz w:val="22"/>
        </w:rPr>
      </w:pPr>
      <w:r w:rsidRPr="004D2953">
        <w:rPr>
          <w:rFonts w:ascii="Arial" w:eastAsia="TimesNewRomanPS-BoldItalicMT" w:hAnsi="Arial" w:cs="Arial"/>
          <w:kern w:val="1"/>
          <w:sz w:val="22"/>
        </w:rPr>
        <w:t>T</w:t>
      </w:r>
      <w:r w:rsidR="003136C5" w:rsidRPr="004D2953">
        <w:rPr>
          <w:rFonts w:ascii="Arial" w:eastAsia="TimesNewRomanPS-BoldItalicMT" w:hAnsi="Arial" w:cs="Arial"/>
          <w:kern w:val="1"/>
          <w:sz w:val="22"/>
        </w:rPr>
        <w:t xml:space="preserve">hird phase </w:t>
      </w:r>
      <w:r w:rsidRPr="004D2953">
        <w:rPr>
          <w:rFonts w:ascii="Arial" w:eastAsia="TimesNewRomanPS-BoldItalicMT" w:hAnsi="Arial" w:cs="Arial"/>
          <w:kern w:val="1"/>
          <w:sz w:val="22"/>
        </w:rPr>
        <w:t>–</w:t>
      </w:r>
      <w:r w:rsidR="003136C5" w:rsidRPr="004D2953">
        <w:rPr>
          <w:rFonts w:ascii="Arial" w:eastAsia="TimesNewRomanPS-BoldItalicMT" w:hAnsi="Arial" w:cs="Arial"/>
          <w:kern w:val="1"/>
          <w:sz w:val="22"/>
        </w:rPr>
        <w:t xml:space="preserve"> 20 new employments.</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The first phase was completed in April 2018 and starting from the first week of May, the selected candidates were </w:t>
      </w:r>
      <w:r w:rsidR="004536D0" w:rsidRPr="004D2953">
        <w:rPr>
          <w:rFonts w:ascii="Arial" w:eastAsia="TimesNewRomanPS-BoldItalicMT" w:hAnsi="Arial" w:cs="Arial"/>
          <w:kern w:val="1"/>
          <w:sz w:val="22"/>
        </w:rPr>
        <w:t xml:space="preserve">hired </w:t>
      </w:r>
      <w:r w:rsidRPr="004D2953">
        <w:rPr>
          <w:rFonts w:ascii="Arial" w:eastAsia="TimesNewRomanPS-BoldItalicMT" w:hAnsi="Arial" w:cs="Arial"/>
          <w:kern w:val="1"/>
          <w:sz w:val="22"/>
        </w:rPr>
        <w:t xml:space="preserve">in </w:t>
      </w:r>
      <w:r w:rsidR="004536D0" w:rsidRPr="004D2953">
        <w:rPr>
          <w:rFonts w:ascii="Arial" w:eastAsia="TimesNewRomanPS-BoldItalicMT" w:hAnsi="Arial" w:cs="Arial"/>
          <w:kern w:val="1"/>
          <w:sz w:val="22"/>
        </w:rPr>
        <w:t xml:space="preserve">the </w:t>
      </w:r>
      <w:r w:rsidRPr="004D2953">
        <w:rPr>
          <w:rFonts w:ascii="Arial" w:eastAsia="TimesNewRomanPS-BoldItalicMT" w:hAnsi="Arial" w:cs="Arial"/>
          <w:kern w:val="1"/>
          <w:sz w:val="22"/>
        </w:rPr>
        <w:t xml:space="preserve">Agency on temporary basis until 31.12.2018. Out of the aforementioned 28 people, 22 work in the IPARD structure of the Agency, and 6 people are indirectly involved in the implementation of the IPARD Program 2014-2020. Having in mind that these employees are on </w:t>
      </w:r>
      <w:r w:rsidR="004536D0" w:rsidRPr="004D2953">
        <w:rPr>
          <w:rFonts w:ascii="Arial" w:eastAsia="TimesNewRomanPS-BoldItalicMT" w:hAnsi="Arial" w:cs="Arial"/>
          <w:kern w:val="1"/>
          <w:sz w:val="22"/>
        </w:rPr>
        <w:t xml:space="preserve">a </w:t>
      </w:r>
      <w:r w:rsidRPr="004D2953">
        <w:rPr>
          <w:rFonts w:ascii="Arial" w:eastAsia="TimesNewRomanPS-BoldItalicMT" w:hAnsi="Arial" w:cs="Arial"/>
          <w:kern w:val="1"/>
          <w:sz w:val="22"/>
        </w:rPr>
        <w:t>temporary basis</w:t>
      </w:r>
      <w:r w:rsidR="004536D0" w:rsidRPr="004D2953">
        <w:rPr>
          <w:rFonts w:ascii="Arial" w:eastAsia="TimesNewRomanPS-BoldItalicMT" w:hAnsi="Arial" w:cs="Arial"/>
          <w:kern w:val="1"/>
          <w:sz w:val="22"/>
        </w:rPr>
        <w:t xml:space="preserve"> contract</w:t>
      </w:r>
      <w:r w:rsidRPr="004D2953">
        <w:rPr>
          <w:rFonts w:ascii="Arial" w:eastAsia="TimesNewRomanPS-BoldItalicMT" w:hAnsi="Arial" w:cs="Arial"/>
          <w:kern w:val="1"/>
          <w:sz w:val="22"/>
        </w:rPr>
        <w:t>, the</w:t>
      </w:r>
      <w:r w:rsidR="004536D0" w:rsidRPr="004D2953">
        <w:rPr>
          <w:rFonts w:ascii="Arial" w:eastAsia="TimesNewRomanPS-BoldItalicMT" w:hAnsi="Arial" w:cs="Arial"/>
          <w:kern w:val="1"/>
          <w:sz w:val="22"/>
        </w:rPr>
        <w:t xml:space="preserve">ir </w:t>
      </w:r>
      <w:r w:rsidRPr="004D2953">
        <w:rPr>
          <w:rFonts w:ascii="Arial" w:eastAsia="TimesNewRomanPS-BoldItalicMT" w:hAnsi="Arial" w:cs="Arial"/>
          <w:kern w:val="1"/>
          <w:sz w:val="22"/>
        </w:rPr>
        <w:t xml:space="preserve">contracts were extended until 30th of April, 2019. </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In addition, during 2018, 1 (one) employee (junior associate) left his position in the Agency and 1 (one) employee was transferred to work from non</w:t>
      </w:r>
      <w:r w:rsidR="004536D0" w:rsidRPr="004D2953">
        <w:rPr>
          <w:rFonts w:ascii="Arial" w:eastAsia="TimesNewRomanPS-BoldItalicMT" w:hAnsi="Arial" w:cs="Arial"/>
          <w:kern w:val="1"/>
          <w:sz w:val="22"/>
        </w:rPr>
        <w:t>-</w:t>
      </w:r>
      <w:r w:rsidRPr="004D2953">
        <w:rPr>
          <w:rFonts w:ascii="Arial" w:eastAsia="TimesNewRomanPS-BoldItalicMT" w:hAnsi="Arial" w:cs="Arial"/>
          <w:kern w:val="1"/>
          <w:sz w:val="22"/>
        </w:rPr>
        <w:t xml:space="preserve">IPARD to IPARD related work. </w:t>
      </w:r>
    </w:p>
    <w:p w:rsidR="003136C5" w:rsidRPr="004D2953" w:rsidRDefault="003136C5" w:rsidP="003136C5">
      <w:pPr>
        <w:autoSpaceDE w:val="0"/>
        <w:autoSpaceDN w:val="0"/>
        <w:adjustRightInd w:val="0"/>
        <w:jc w:val="both"/>
        <w:rPr>
          <w:rFonts w:ascii="Arial" w:eastAsia="TimesNewRomanPS-BoldItalicMT" w:hAnsi="Arial" w:cs="Arial"/>
          <w:kern w:val="1"/>
          <w:sz w:val="22"/>
        </w:rPr>
      </w:pP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Accordingly, at the end of 2018 (cut-off date 31.12.2018) the number of employees in the IPARD Agency was 109 (one hundred and nine) employees designated to work on IPARD related issues. </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The implementation of </w:t>
      </w:r>
      <w:r w:rsidR="004536D0" w:rsidRPr="004D2953">
        <w:rPr>
          <w:rFonts w:ascii="Arial" w:eastAsia="TimesNewRomanPS-BoldItalicMT" w:hAnsi="Arial" w:cs="Arial"/>
          <w:kern w:val="1"/>
          <w:sz w:val="22"/>
        </w:rPr>
        <w:t xml:space="preserve">the </w:t>
      </w:r>
      <w:r w:rsidRPr="004D2953">
        <w:rPr>
          <w:rFonts w:ascii="Arial" w:eastAsia="TimesNewRomanPS-BoldItalicMT" w:hAnsi="Arial" w:cs="Arial"/>
          <w:kern w:val="1"/>
          <w:sz w:val="22"/>
        </w:rPr>
        <w:t xml:space="preserve">second phase started with </w:t>
      </w:r>
      <w:r w:rsidR="004536D0" w:rsidRPr="004D2953">
        <w:rPr>
          <w:rFonts w:ascii="Arial" w:eastAsia="TimesNewRomanPS-BoldItalicMT" w:hAnsi="Arial" w:cs="Arial"/>
          <w:kern w:val="1"/>
          <w:sz w:val="22"/>
        </w:rPr>
        <w:t xml:space="preserve">public vacancy </w:t>
      </w:r>
      <w:r w:rsidRPr="004D2953">
        <w:rPr>
          <w:rFonts w:ascii="Arial" w:eastAsia="TimesNewRomanPS-BoldItalicMT" w:hAnsi="Arial" w:cs="Arial"/>
          <w:kern w:val="1"/>
          <w:sz w:val="22"/>
        </w:rPr>
        <w:t xml:space="preserve">announcement at the end of October 2018. The second phase was completed in January 2019 and from 11.01.2019 the selected candidates were </w:t>
      </w:r>
      <w:r w:rsidR="004536D0" w:rsidRPr="004D2953">
        <w:rPr>
          <w:rFonts w:ascii="Arial" w:eastAsia="TimesNewRomanPS-BoldItalicMT" w:hAnsi="Arial" w:cs="Arial"/>
          <w:kern w:val="1"/>
          <w:sz w:val="22"/>
        </w:rPr>
        <w:t xml:space="preserve">hired </w:t>
      </w:r>
      <w:r w:rsidRPr="004D2953">
        <w:rPr>
          <w:rFonts w:ascii="Arial" w:eastAsia="TimesNewRomanPS-BoldItalicMT" w:hAnsi="Arial" w:cs="Arial"/>
          <w:kern w:val="1"/>
          <w:sz w:val="22"/>
        </w:rPr>
        <w:t xml:space="preserve">in Agency as permanent employees. Within this procedure, </w:t>
      </w:r>
      <w:r w:rsidR="004536D0" w:rsidRPr="004D2953">
        <w:rPr>
          <w:rFonts w:ascii="Arial" w:eastAsia="TimesNewRomanPS-BoldItalicMT" w:hAnsi="Arial" w:cs="Arial"/>
          <w:kern w:val="1"/>
          <w:sz w:val="22"/>
        </w:rPr>
        <w:t xml:space="preserve">of the </w:t>
      </w:r>
      <w:r w:rsidRPr="004D2953">
        <w:rPr>
          <w:rFonts w:ascii="Arial" w:eastAsia="TimesNewRomanPS-BoldItalicMT" w:hAnsi="Arial" w:cs="Arial"/>
          <w:kern w:val="1"/>
          <w:sz w:val="22"/>
        </w:rPr>
        <w:t xml:space="preserve">20 new </w:t>
      </w:r>
      <w:r w:rsidR="004536D0" w:rsidRPr="004D2953">
        <w:rPr>
          <w:rFonts w:ascii="Arial" w:eastAsia="TimesNewRomanPS-BoldItalicMT" w:hAnsi="Arial" w:cs="Arial"/>
          <w:kern w:val="1"/>
          <w:sz w:val="22"/>
        </w:rPr>
        <w:t xml:space="preserve">announced </w:t>
      </w:r>
      <w:r w:rsidRPr="004D2953">
        <w:rPr>
          <w:rFonts w:ascii="Arial" w:eastAsia="TimesNewRomanPS-BoldItalicMT" w:hAnsi="Arial" w:cs="Arial"/>
          <w:kern w:val="1"/>
          <w:sz w:val="22"/>
        </w:rPr>
        <w:t>employments 12 employees</w:t>
      </w:r>
      <w:r w:rsidR="004536D0" w:rsidRPr="004D2953">
        <w:rPr>
          <w:rFonts w:ascii="Arial" w:eastAsia="TimesNewRomanPS-BoldItalicMT" w:hAnsi="Arial" w:cs="Arial"/>
          <w:kern w:val="1"/>
          <w:sz w:val="22"/>
        </w:rPr>
        <w:t xml:space="preserve"> were hired</w:t>
      </w:r>
      <w:r w:rsidRPr="004D2953">
        <w:rPr>
          <w:rFonts w:ascii="Arial" w:eastAsia="TimesNewRomanPS-BoldItalicMT" w:hAnsi="Arial" w:cs="Arial"/>
          <w:kern w:val="1"/>
          <w:sz w:val="22"/>
        </w:rPr>
        <w:t>, out of which 11 were designated to work on IPARD, and 1 employee is indirectly involved in the IPARD Programme 2014-2020</w:t>
      </w:r>
      <w:r w:rsidR="004536D0" w:rsidRPr="004D2953">
        <w:rPr>
          <w:rFonts w:ascii="Arial" w:eastAsia="TimesNewRomanPS-BoldItalicMT" w:hAnsi="Arial" w:cs="Arial"/>
          <w:kern w:val="1"/>
          <w:sz w:val="22"/>
        </w:rPr>
        <w:t xml:space="preserve"> implementation</w:t>
      </w:r>
      <w:r w:rsidRPr="004D2953">
        <w:rPr>
          <w:rFonts w:ascii="Arial" w:eastAsia="TimesNewRomanPS-BoldItalicMT" w:hAnsi="Arial" w:cs="Arial"/>
          <w:kern w:val="1"/>
          <w:sz w:val="22"/>
        </w:rPr>
        <w:t>.</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According to the </w:t>
      </w:r>
      <w:r w:rsidR="004536D0" w:rsidRPr="004D2953">
        <w:rPr>
          <w:rFonts w:ascii="Arial" w:eastAsia="TimesNewRomanPS-BoldItalicMT" w:hAnsi="Arial" w:cs="Arial"/>
          <w:kern w:val="1"/>
          <w:sz w:val="22"/>
        </w:rPr>
        <w:t xml:space="preserve">2019 </w:t>
      </w:r>
      <w:r w:rsidRPr="004D2953">
        <w:rPr>
          <w:rFonts w:ascii="Arial" w:eastAsia="TimesNewRomanPS-BoldItalicMT" w:hAnsi="Arial" w:cs="Arial"/>
          <w:kern w:val="1"/>
          <w:sz w:val="22"/>
        </w:rPr>
        <w:t>Workload Analysis (WLA)</w:t>
      </w:r>
      <w:r w:rsidR="004536D0" w:rsidRPr="004D2953">
        <w:rPr>
          <w:rFonts w:ascii="Arial" w:eastAsia="TimesNewRomanPS-BoldItalicMT" w:hAnsi="Arial" w:cs="Arial"/>
          <w:kern w:val="1"/>
          <w:sz w:val="22"/>
        </w:rPr>
        <w:t xml:space="preserve">, </w:t>
      </w:r>
      <w:r w:rsidRPr="004D2953">
        <w:rPr>
          <w:rFonts w:ascii="Arial" w:eastAsia="TimesNewRomanPS-BoldItalicMT" w:hAnsi="Arial" w:cs="Arial"/>
          <w:kern w:val="1"/>
          <w:sz w:val="22"/>
        </w:rPr>
        <w:t>IPARD Agency has set optimal level of staff o</w:t>
      </w:r>
      <w:r w:rsidR="004536D0" w:rsidRPr="004D2953">
        <w:rPr>
          <w:rFonts w:ascii="Arial" w:eastAsia="TimesNewRomanPS-BoldItalicMT" w:hAnsi="Arial" w:cs="Arial"/>
          <w:kern w:val="1"/>
          <w:sz w:val="22"/>
        </w:rPr>
        <w:t>f</w:t>
      </w:r>
      <w:r w:rsidRPr="004D2953">
        <w:rPr>
          <w:rFonts w:ascii="Arial" w:eastAsia="TimesNewRomanPS-BoldItalicMT" w:hAnsi="Arial" w:cs="Arial"/>
          <w:kern w:val="1"/>
          <w:sz w:val="22"/>
        </w:rPr>
        <w:t xml:space="preserve"> 150 employees</w:t>
      </w:r>
      <w:r w:rsidR="004536D0" w:rsidRPr="004D2953">
        <w:rPr>
          <w:rFonts w:ascii="Arial" w:eastAsia="TimesNewRomanPS-BoldItalicMT" w:hAnsi="Arial" w:cs="Arial"/>
          <w:kern w:val="1"/>
          <w:sz w:val="22"/>
        </w:rPr>
        <w:t>,</w:t>
      </w:r>
      <w:r w:rsidRPr="004D2953">
        <w:rPr>
          <w:rFonts w:ascii="Arial" w:eastAsia="TimesNewRomanPS-BoldItalicMT" w:hAnsi="Arial" w:cs="Arial"/>
          <w:kern w:val="1"/>
          <w:sz w:val="22"/>
        </w:rPr>
        <w:t xml:space="preserve"> including 22 employees for the measure Investments in Rural Infrastructure</w:t>
      </w:r>
      <w:r w:rsidR="004536D0" w:rsidRPr="004D2953">
        <w:rPr>
          <w:rFonts w:ascii="Arial" w:eastAsia="TimesNewRomanPS-BoldItalicMT" w:hAnsi="Arial" w:cs="Arial"/>
          <w:kern w:val="1"/>
          <w:sz w:val="22"/>
        </w:rPr>
        <w:t>,</w:t>
      </w:r>
      <w:r w:rsidRPr="004D2953">
        <w:rPr>
          <w:rFonts w:ascii="Arial" w:eastAsia="TimesNewRomanPS-BoldItalicMT" w:hAnsi="Arial" w:cs="Arial"/>
          <w:kern w:val="1"/>
          <w:sz w:val="22"/>
        </w:rPr>
        <w:t xml:space="preserve"> which is not yet accredited/entrusted. </w:t>
      </w:r>
    </w:p>
    <w:p w:rsidR="003136C5" w:rsidRPr="004D2953" w:rsidRDefault="00604BCE"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The </w:t>
      </w:r>
      <w:r w:rsidR="003136C5" w:rsidRPr="004D2953">
        <w:rPr>
          <w:rFonts w:ascii="Arial" w:eastAsia="TimesNewRomanPS-BoldItalicMT" w:hAnsi="Arial" w:cs="Arial"/>
          <w:kern w:val="1"/>
          <w:sz w:val="22"/>
        </w:rPr>
        <w:t>IPARD Agency republished the public vacancy for employment of 8</w:t>
      </w:r>
      <w:r w:rsidRPr="004D2953">
        <w:rPr>
          <w:rFonts w:ascii="Arial" w:eastAsia="TimesNewRomanPS-BoldItalicMT" w:hAnsi="Arial" w:cs="Arial"/>
          <w:kern w:val="1"/>
          <w:sz w:val="22"/>
        </w:rPr>
        <w:t xml:space="preserve"> other</w:t>
      </w:r>
      <w:r w:rsidR="003136C5" w:rsidRPr="004D2953">
        <w:rPr>
          <w:rFonts w:ascii="Arial" w:eastAsia="TimesNewRomanPS-BoldItalicMT" w:hAnsi="Arial" w:cs="Arial"/>
          <w:kern w:val="1"/>
          <w:sz w:val="22"/>
        </w:rPr>
        <w:t xml:space="preserve"> administrative servants and 4 promotion</w:t>
      </w:r>
      <w:r w:rsidRPr="004D2953">
        <w:rPr>
          <w:rFonts w:ascii="Arial" w:eastAsia="TimesNewRomanPS-BoldItalicMT" w:hAnsi="Arial" w:cs="Arial"/>
          <w:kern w:val="1"/>
          <w:sz w:val="22"/>
        </w:rPr>
        <w:t>s</w:t>
      </w:r>
      <w:r w:rsidR="003136C5" w:rsidRPr="004D2953">
        <w:rPr>
          <w:rFonts w:ascii="Arial" w:eastAsia="TimesNewRomanPS-BoldItalicMT" w:hAnsi="Arial" w:cs="Arial"/>
          <w:kern w:val="1"/>
          <w:sz w:val="22"/>
        </w:rPr>
        <w:t xml:space="preserve"> of current staff on 03.01.2019. The procedure is still ongoing.</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In parallel, having in mind the retention and motivation policy, </w:t>
      </w:r>
      <w:r w:rsidR="00604BCE" w:rsidRPr="004D2953">
        <w:rPr>
          <w:rFonts w:ascii="Arial" w:eastAsia="TimesNewRomanPS-BoldItalicMT" w:hAnsi="Arial" w:cs="Arial"/>
          <w:kern w:val="1"/>
          <w:sz w:val="22"/>
        </w:rPr>
        <w:t xml:space="preserve">a </w:t>
      </w:r>
      <w:r w:rsidRPr="004D2953">
        <w:rPr>
          <w:rFonts w:ascii="Arial" w:eastAsia="TimesNewRomanPS-BoldItalicMT" w:hAnsi="Arial" w:cs="Arial"/>
          <w:kern w:val="1"/>
          <w:sz w:val="22"/>
        </w:rPr>
        <w:t xml:space="preserve">procedure for promotion of 28 existing administrative civil servants started on 17.10.2018 with </w:t>
      </w:r>
      <w:r w:rsidR="00604BCE" w:rsidRPr="004D2953">
        <w:rPr>
          <w:rFonts w:ascii="Arial" w:eastAsia="TimesNewRomanPS-BoldItalicMT" w:hAnsi="Arial" w:cs="Arial"/>
          <w:kern w:val="1"/>
          <w:sz w:val="22"/>
        </w:rPr>
        <w:t xml:space="preserve">20 </w:t>
      </w:r>
      <w:r w:rsidRPr="004D2953">
        <w:rPr>
          <w:rFonts w:ascii="Arial" w:eastAsia="TimesNewRomanPS-BoldItalicMT" w:hAnsi="Arial" w:cs="Arial"/>
          <w:kern w:val="1"/>
          <w:sz w:val="22"/>
        </w:rPr>
        <w:t>announced internal vacanc</w:t>
      </w:r>
      <w:r w:rsidR="00604BCE" w:rsidRPr="004D2953">
        <w:rPr>
          <w:rFonts w:ascii="Arial" w:eastAsia="TimesNewRomanPS-BoldItalicMT" w:hAnsi="Arial" w:cs="Arial"/>
          <w:kern w:val="1"/>
          <w:sz w:val="22"/>
        </w:rPr>
        <w:t xml:space="preserve">ies, </w:t>
      </w:r>
      <w:r w:rsidRPr="004D2953">
        <w:rPr>
          <w:rFonts w:ascii="Arial" w:eastAsia="TimesNewRomanPS-BoldItalicMT" w:hAnsi="Arial" w:cs="Arial"/>
          <w:kern w:val="1"/>
          <w:sz w:val="22"/>
        </w:rPr>
        <w:t>and public vacanc</w:t>
      </w:r>
      <w:r w:rsidR="00604BCE" w:rsidRPr="004D2953">
        <w:rPr>
          <w:rFonts w:ascii="Arial" w:eastAsia="TimesNewRomanPS-BoldItalicMT" w:hAnsi="Arial" w:cs="Arial"/>
          <w:kern w:val="1"/>
          <w:sz w:val="22"/>
        </w:rPr>
        <w:t xml:space="preserve">ies </w:t>
      </w:r>
      <w:r w:rsidRPr="004D2953">
        <w:rPr>
          <w:rFonts w:ascii="Arial" w:eastAsia="TimesNewRomanPS-BoldItalicMT" w:hAnsi="Arial" w:cs="Arial"/>
          <w:kern w:val="1"/>
          <w:sz w:val="22"/>
        </w:rPr>
        <w:t>for 8 employees. Th</w:t>
      </w:r>
      <w:r w:rsidR="00604BCE" w:rsidRPr="004D2953">
        <w:rPr>
          <w:rFonts w:ascii="Arial" w:eastAsia="TimesNewRomanPS-BoldItalicMT" w:hAnsi="Arial" w:cs="Arial"/>
          <w:kern w:val="1"/>
          <w:sz w:val="22"/>
        </w:rPr>
        <w:t xml:space="preserve">ese </w:t>
      </w:r>
      <w:r w:rsidRPr="004D2953">
        <w:rPr>
          <w:rFonts w:ascii="Arial" w:eastAsia="TimesNewRomanPS-BoldItalicMT" w:hAnsi="Arial" w:cs="Arial"/>
          <w:kern w:val="1"/>
          <w:sz w:val="22"/>
        </w:rPr>
        <w:t>procedures for promotion were completed in January 2019. Within th</w:t>
      </w:r>
      <w:r w:rsidR="00604BCE" w:rsidRPr="004D2953">
        <w:rPr>
          <w:rFonts w:ascii="Arial" w:eastAsia="TimesNewRomanPS-BoldItalicMT" w:hAnsi="Arial" w:cs="Arial"/>
          <w:kern w:val="1"/>
          <w:sz w:val="22"/>
        </w:rPr>
        <w:t xml:space="preserve">ese </w:t>
      </w:r>
      <w:r w:rsidRPr="004D2953">
        <w:rPr>
          <w:rFonts w:ascii="Arial" w:eastAsia="TimesNewRomanPS-BoldItalicMT" w:hAnsi="Arial" w:cs="Arial"/>
          <w:kern w:val="1"/>
          <w:sz w:val="22"/>
        </w:rPr>
        <w:t>procedures</w:t>
      </w:r>
      <w:r w:rsidR="00604BCE" w:rsidRPr="004D2953">
        <w:rPr>
          <w:rFonts w:ascii="Arial" w:eastAsia="TimesNewRomanPS-BoldItalicMT" w:hAnsi="Arial" w:cs="Arial"/>
          <w:kern w:val="1"/>
          <w:sz w:val="22"/>
        </w:rPr>
        <w:t xml:space="preserve">, a total of </w:t>
      </w:r>
      <w:r w:rsidRPr="004D2953">
        <w:rPr>
          <w:rFonts w:ascii="Arial" w:eastAsia="TimesNewRomanPS-BoldItalicMT" w:hAnsi="Arial" w:cs="Arial"/>
          <w:kern w:val="1"/>
          <w:sz w:val="22"/>
        </w:rPr>
        <w:t xml:space="preserve">21 civil servants were promoted in the Agency, of which 15 civil servants </w:t>
      </w:r>
      <w:r w:rsidR="005F36F5" w:rsidRPr="004D2953">
        <w:rPr>
          <w:rFonts w:ascii="Arial" w:eastAsia="TimesNewRomanPS-BoldItalicMT" w:hAnsi="Arial" w:cs="Arial"/>
          <w:kern w:val="1"/>
          <w:sz w:val="22"/>
        </w:rPr>
        <w:t xml:space="preserve">are </w:t>
      </w:r>
      <w:r w:rsidRPr="004D2953">
        <w:rPr>
          <w:rFonts w:ascii="Arial" w:eastAsia="TimesNewRomanPS-BoldItalicMT" w:hAnsi="Arial" w:cs="Arial"/>
          <w:kern w:val="1"/>
          <w:sz w:val="22"/>
        </w:rPr>
        <w:t>involved in the IPARD structure of the Agency.</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A</w:t>
      </w:r>
      <w:r w:rsidR="005F36F5" w:rsidRPr="004D2953">
        <w:rPr>
          <w:rFonts w:ascii="Arial" w:eastAsia="TimesNewRomanPS-BoldItalicMT" w:hAnsi="Arial" w:cs="Arial"/>
          <w:kern w:val="1"/>
          <w:sz w:val="22"/>
        </w:rPr>
        <w:t xml:space="preserve"> </w:t>
      </w:r>
      <w:r w:rsidRPr="004D2953">
        <w:rPr>
          <w:rFonts w:ascii="Arial" w:eastAsia="TimesNewRomanPS-BoldItalicMT" w:hAnsi="Arial" w:cs="Arial"/>
          <w:kern w:val="1"/>
          <w:sz w:val="22"/>
        </w:rPr>
        <w:t xml:space="preserve">third phase </w:t>
      </w:r>
      <w:r w:rsidR="005F36F5" w:rsidRPr="004D2953">
        <w:rPr>
          <w:rFonts w:ascii="Arial" w:eastAsia="TimesNewRomanPS-BoldItalicMT" w:hAnsi="Arial" w:cs="Arial"/>
          <w:kern w:val="1"/>
          <w:sz w:val="22"/>
        </w:rPr>
        <w:t>is also planned –</w:t>
      </w:r>
      <w:r w:rsidRPr="004D2953">
        <w:rPr>
          <w:rFonts w:ascii="Arial" w:eastAsia="TimesNewRomanPS-BoldItalicMT" w:hAnsi="Arial" w:cs="Arial"/>
          <w:kern w:val="1"/>
          <w:sz w:val="22"/>
        </w:rPr>
        <w:t xml:space="preserve"> procedure for employment of additional 20 new administrative civil servants</w:t>
      </w:r>
      <w:r w:rsidR="005F36F5" w:rsidRPr="004D2953">
        <w:rPr>
          <w:rFonts w:ascii="Arial" w:eastAsia="TimesNewRomanPS-BoldItalicMT" w:hAnsi="Arial" w:cs="Arial"/>
          <w:kern w:val="1"/>
          <w:sz w:val="22"/>
        </w:rPr>
        <w:t xml:space="preserve">, </w:t>
      </w:r>
      <w:r w:rsidRPr="004D2953">
        <w:rPr>
          <w:rFonts w:ascii="Arial" w:eastAsia="TimesNewRomanPS-BoldItalicMT" w:hAnsi="Arial" w:cs="Arial"/>
          <w:kern w:val="1"/>
          <w:sz w:val="22"/>
        </w:rPr>
        <w:t xml:space="preserve">i.e. the Vacancy call should be published during </w:t>
      </w:r>
      <w:r w:rsidR="005F36F5" w:rsidRPr="004D2953">
        <w:rPr>
          <w:rFonts w:ascii="Arial" w:eastAsia="TimesNewRomanPS-BoldItalicMT" w:hAnsi="Arial" w:cs="Arial"/>
          <w:kern w:val="1"/>
          <w:sz w:val="22"/>
        </w:rPr>
        <w:t xml:space="preserve">the </w:t>
      </w:r>
      <w:r w:rsidRPr="004D2953">
        <w:rPr>
          <w:rFonts w:ascii="Arial" w:eastAsia="TimesNewRomanPS-BoldItalicMT" w:hAnsi="Arial" w:cs="Arial"/>
          <w:kern w:val="1"/>
          <w:sz w:val="22"/>
        </w:rPr>
        <w:t xml:space="preserve">second quarter of 2019 due to </w:t>
      </w:r>
      <w:r w:rsidR="005F36F5" w:rsidRPr="004D2953">
        <w:rPr>
          <w:rFonts w:ascii="Arial" w:eastAsia="TimesNewRomanPS-BoldItalicMT" w:hAnsi="Arial" w:cs="Arial"/>
          <w:kern w:val="1"/>
          <w:sz w:val="22"/>
        </w:rPr>
        <w:t xml:space="preserve">the </w:t>
      </w:r>
      <w:r w:rsidRPr="004D2953">
        <w:rPr>
          <w:rFonts w:ascii="Arial" w:eastAsia="TimesNewRomanPS-BoldItalicMT" w:hAnsi="Arial" w:cs="Arial"/>
          <w:kern w:val="1"/>
          <w:sz w:val="22"/>
        </w:rPr>
        <w:t>announced presidential elections.</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With the </w:t>
      </w:r>
      <w:r w:rsidR="005F36F5" w:rsidRPr="004D2953">
        <w:rPr>
          <w:rFonts w:ascii="Arial" w:eastAsia="TimesNewRomanPS-BoldItalicMT" w:hAnsi="Arial" w:cs="Arial"/>
          <w:kern w:val="1"/>
          <w:sz w:val="22"/>
        </w:rPr>
        <w:t>realization</w:t>
      </w:r>
      <w:r w:rsidRPr="004D2953">
        <w:rPr>
          <w:rFonts w:ascii="Arial" w:eastAsia="TimesNewRomanPS-BoldItalicMT" w:hAnsi="Arial" w:cs="Arial"/>
          <w:kern w:val="1"/>
          <w:sz w:val="22"/>
        </w:rPr>
        <w:t xml:space="preserve"> of the </w:t>
      </w:r>
      <w:r w:rsidR="005F36F5" w:rsidRPr="004D2953">
        <w:rPr>
          <w:rFonts w:ascii="Arial" w:eastAsia="TimesNewRomanPS-BoldItalicMT" w:hAnsi="Arial" w:cs="Arial"/>
          <w:kern w:val="1"/>
          <w:sz w:val="22"/>
        </w:rPr>
        <w:t xml:space="preserve">2019 </w:t>
      </w:r>
      <w:r w:rsidRPr="004D2953">
        <w:rPr>
          <w:rFonts w:ascii="Arial" w:eastAsia="TimesNewRomanPS-BoldItalicMT" w:hAnsi="Arial" w:cs="Arial"/>
          <w:kern w:val="1"/>
          <w:sz w:val="22"/>
        </w:rPr>
        <w:t>recruitment plan as stated above</w:t>
      </w:r>
      <w:r w:rsidR="005F36F5" w:rsidRPr="004D2953">
        <w:rPr>
          <w:rFonts w:ascii="Arial" w:eastAsia="TimesNewRomanPS-BoldItalicMT" w:hAnsi="Arial" w:cs="Arial"/>
          <w:kern w:val="1"/>
          <w:sz w:val="22"/>
        </w:rPr>
        <w:t>,</w:t>
      </w:r>
      <w:r w:rsidRPr="004D2953">
        <w:rPr>
          <w:rFonts w:ascii="Arial" w:eastAsia="TimesNewRomanPS-BoldItalicMT" w:hAnsi="Arial" w:cs="Arial"/>
          <w:kern w:val="1"/>
          <w:sz w:val="22"/>
        </w:rPr>
        <w:t xml:space="preserve"> the IPARD Agency shall reach </w:t>
      </w:r>
      <w:r w:rsidR="005F36F5" w:rsidRPr="004D2953">
        <w:rPr>
          <w:rFonts w:ascii="Arial" w:eastAsia="TimesNewRomanPS-BoldItalicMT" w:hAnsi="Arial" w:cs="Arial"/>
          <w:kern w:val="1"/>
          <w:sz w:val="22"/>
        </w:rPr>
        <w:t xml:space="preserve">an </w:t>
      </w:r>
      <w:r w:rsidRPr="004D2953">
        <w:rPr>
          <w:rFonts w:ascii="Arial" w:eastAsia="TimesNewRomanPS-BoldItalicMT" w:hAnsi="Arial" w:cs="Arial"/>
          <w:kern w:val="1"/>
          <w:sz w:val="22"/>
        </w:rPr>
        <w:t xml:space="preserve">optimal number of employees as per </w:t>
      </w:r>
      <w:r w:rsidR="005F36F5" w:rsidRPr="004D2953">
        <w:rPr>
          <w:rFonts w:ascii="Arial" w:eastAsia="TimesNewRomanPS-BoldItalicMT" w:hAnsi="Arial" w:cs="Arial"/>
          <w:kern w:val="1"/>
          <w:sz w:val="22"/>
        </w:rPr>
        <w:t xml:space="preserve">the </w:t>
      </w:r>
      <w:r w:rsidRPr="004D2953">
        <w:rPr>
          <w:rFonts w:ascii="Arial" w:eastAsia="TimesNewRomanPS-BoldItalicMT" w:hAnsi="Arial" w:cs="Arial"/>
          <w:kern w:val="1"/>
          <w:sz w:val="22"/>
        </w:rPr>
        <w:t>2019 WLA.</w:t>
      </w:r>
    </w:p>
    <w:p w:rsidR="003136C5" w:rsidRPr="009C5096" w:rsidRDefault="003136C5" w:rsidP="003136C5">
      <w:pPr>
        <w:autoSpaceDE w:val="0"/>
        <w:autoSpaceDN w:val="0"/>
        <w:adjustRightInd w:val="0"/>
        <w:spacing w:after="120"/>
        <w:jc w:val="both"/>
        <w:rPr>
          <w:rFonts w:ascii="Arial" w:eastAsia="TimesNewRomanPS-BoldItalicMT" w:hAnsi="Arial" w:cs="Arial"/>
          <w:b/>
          <w:kern w:val="1"/>
        </w:rPr>
      </w:pPr>
    </w:p>
    <w:p w:rsidR="003136C5" w:rsidRPr="009C5096" w:rsidRDefault="003136C5" w:rsidP="003136C5">
      <w:pPr>
        <w:autoSpaceDE w:val="0"/>
        <w:autoSpaceDN w:val="0"/>
        <w:adjustRightInd w:val="0"/>
        <w:spacing w:after="120"/>
        <w:jc w:val="both"/>
        <w:rPr>
          <w:rFonts w:ascii="Arial" w:eastAsia="TimesNewRomanPS-BoldItalicMT" w:hAnsi="Arial" w:cs="Arial"/>
          <w:b/>
          <w:kern w:val="1"/>
        </w:rPr>
      </w:pPr>
      <w:r w:rsidRPr="009C5096">
        <w:rPr>
          <w:rFonts w:ascii="Arial" w:eastAsia="TimesNewRomanPS-BoldItalicMT" w:hAnsi="Arial" w:cs="Arial"/>
          <w:b/>
          <w:kern w:val="1"/>
        </w:rPr>
        <w:t>Managing Authority</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According to the </w:t>
      </w:r>
      <w:r w:rsidR="007429D7" w:rsidRPr="004D2953">
        <w:rPr>
          <w:rFonts w:ascii="Arial" w:eastAsia="TimesNewRomanPS-BoldItalicMT" w:hAnsi="Arial" w:cs="Arial"/>
          <w:kern w:val="1"/>
          <w:sz w:val="22"/>
        </w:rPr>
        <w:t xml:space="preserve">2018 </w:t>
      </w:r>
      <w:r w:rsidRPr="004D2953">
        <w:rPr>
          <w:rFonts w:ascii="Arial" w:eastAsia="TimesNewRomanPS-BoldItalicMT" w:hAnsi="Arial" w:cs="Arial"/>
          <w:kern w:val="1"/>
          <w:sz w:val="22"/>
        </w:rPr>
        <w:t>Workload Analysis (WLA)</w:t>
      </w:r>
      <w:r w:rsidR="007429D7" w:rsidRPr="004D2953">
        <w:rPr>
          <w:rFonts w:ascii="Arial" w:eastAsia="TimesNewRomanPS-BoldItalicMT" w:hAnsi="Arial" w:cs="Arial"/>
          <w:kern w:val="1"/>
          <w:sz w:val="22"/>
        </w:rPr>
        <w:t xml:space="preserve">, </w:t>
      </w:r>
      <w:r w:rsidRPr="004D2953">
        <w:rPr>
          <w:rFonts w:ascii="Arial" w:eastAsia="TimesNewRomanPS-BoldItalicMT" w:hAnsi="Arial" w:cs="Arial"/>
          <w:kern w:val="1"/>
          <w:sz w:val="22"/>
        </w:rPr>
        <w:t xml:space="preserve">the optimal number of employees needed in </w:t>
      </w:r>
      <w:r w:rsidR="007429D7" w:rsidRPr="004D2953">
        <w:rPr>
          <w:rFonts w:ascii="Arial" w:eastAsia="TimesNewRomanPS-BoldItalicMT" w:hAnsi="Arial" w:cs="Arial"/>
          <w:kern w:val="1"/>
          <w:sz w:val="22"/>
        </w:rPr>
        <w:t xml:space="preserve">the </w:t>
      </w:r>
      <w:r w:rsidRPr="004D2953">
        <w:rPr>
          <w:rFonts w:ascii="Arial" w:eastAsia="TimesNewRomanPS-BoldItalicMT" w:hAnsi="Arial" w:cs="Arial"/>
          <w:kern w:val="1"/>
          <w:sz w:val="22"/>
        </w:rPr>
        <w:t>Managing Authority was 19. At the beginning of 2018, MA counted 13 employees including HoMA. During 2018, 8 (eight) new employees were engaged within MA</w:t>
      </w:r>
      <w:r w:rsidR="007429D7" w:rsidRPr="004D2953">
        <w:rPr>
          <w:rFonts w:ascii="Arial" w:eastAsia="TimesNewRomanPS-BoldItalicMT" w:hAnsi="Arial" w:cs="Arial"/>
          <w:kern w:val="1"/>
          <w:sz w:val="22"/>
        </w:rPr>
        <w:t xml:space="preserve">, while </w:t>
      </w:r>
      <w:r w:rsidRPr="004D2953">
        <w:rPr>
          <w:rFonts w:ascii="Arial" w:eastAsia="TimesNewRomanPS-BoldItalicMT" w:hAnsi="Arial" w:cs="Arial"/>
          <w:kern w:val="1"/>
          <w:sz w:val="22"/>
        </w:rPr>
        <w:t xml:space="preserve">4 (four) employees left/were reallocated from their working post in MA. </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In addition, on 30.11.2018 </w:t>
      </w:r>
      <w:r w:rsidR="007429D7" w:rsidRPr="004D2953">
        <w:rPr>
          <w:rFonts w:ascii="Arial" w:eastAsia="TimesNewRomanPS-BoldItalicMT" w:hAnsi="Arial" w:cs="Arial"/>
          <w:kern w:val="1"/>
          <w:sz w:val="22"/>
        </w:rPr>
        <w:t xml:space="preserve">the </w:t>
      </w:r>
      <w:r w:rsidRPr="004D2953">
        <w:rPr>
          <w:rFonts w:ascii="Arial" w:eastAsia="TimesNewRomanPS-BoldItalicMT" w:hAnsi="Arial" w:cs="Arial"/>
          <w:kern w:val="1"/>
          <w:sz w:val="22"/>
        </w:rPr>
        <w:t xml:space="preserve">Minister of </w:t>
      </w:r>
      <w:r w:rsidR="007429D7" w:rsidRPr="004D2953">
        <w:rPr>
          <w:rFonts w:ascii="Arial" w:eastAsia="TimesNewRomanPS-BoldItalicMT" w:hAnsi="Arial" w:cs="Arial"/>
          <w:kern w:val="1"/>
          <w:sz w:val="22"/>
        </w:rPr>
        <w:t>A</w:t>
      </w:r>
      <w:r w:rsidRPr="004D2953">
        <w:rPr>
          <w:rFonts w:ascii="Arial" w:eastAsia="TimesNewRomanPS-BoldItalicMT" w:hAnsi="Arial" w:cs="Arial"/>
          <w:kern w:val="1"/>
          <w:sz w:val="22"/>
        </w:rPr>
        <w:t>griculture</w:t>
      </w:r>
      <w:r w:rsidR="007429D7" w:rsidRPr="004D2953">
        <w:rPr>
          <w:rFonts w:ascii="Arial" w:eastAsia="TimesNewRomanPS-BoldItalicMT" w:hAnsi="Arial" w:cs="Arial"/>
          <w:kern w:val="1"/>
          <w:sz w:val="22"/>
        </w:rPr>
        <w:t>, F</w:t>
      </w:r>
      <w:r w:rsidRPr="004D2953">
        <w:rPr>
          <w:rFonts w:ascii="Arial" w:eastAsia="TimesNewRomanPS-BoldItalicMT" w:hAnsi="Arial" w:cs="Arial"/>
          <w:kern w:val="1"/>
          <w:sz w:val="22"/>
        </w:rPr>
        <w:t xml:space="preserve">orestry and </w:t>
      </w:r>
      <w:r w:rsidR="007429D7" w:rsidRPr="004D2953">
        <w:rPr>
          <w:rFonts w:ascii="Arial" w:eastAsia="TimesNewRomanPS-BoldItalicMT" w:hAnsi="Arial" w:cs="Arial"/>
          <w:kern w:val="1"/>
          <w:sz w:val="22"/>
        </w:rPr>
        <w:t>W</w:t>
      </w:r>
      <w:r w:rsidRPr="004D2953">
        <w:rPr>
          <w:rFonts w:ascii="Arial" w:eastAsia="TimesNewRomanPS-BoldItalicMT" w:hAnsi="Arial" w:cs="Arial"/>
          <w:kern w:val="1"/>
          <w:sz w:val="22"/>
        </w:rPr>
        <w:t xml:space="preserve">ater </w:t>
      </w:r>
      <w:r w:rsidR="007429D7" w:rsidRPr="004D2953">
        <w:rPr>
          <w:rFonts w:ascii="Arial" w:eastAsia="TimesNewRomanPS-BoldItalicMT" w:hAnsi="Arial" w:cs="Arial"/>
          <w:kern w:val="1"/>
          <w:sz w:val="22"/>
        </w:rPr>
        <w:t>E</w:t>
      </w:r>
      <w:r w:rsidRPr="004D2953">
        <w:rPr>
          <w:rFonts w:ascii="Arial" w:eastAsia="TimesNewRomanPS-BoldItalicMT" w:hAnsi="Arial" w:cs="Arial"/>
          <w:kern w:val="1"/>
          <w:sz w:val="22"/>
        </w:rPr>
        <w:t xml:space="preserve">conomy adopted two decisions for </w:t>
      </w:r>
      <w:r w:rsidR="00DA409C" w:rsidRPr="004D2953">
        <w:rPr>
          <w:rFonts w:ascii="Arial" w:eastAsia="TimesNewRomanPS-BoldItalicMT" w:hAnsi="Arial" w:cs="Arial"/>
          <w:kern w:val="1"/>
          <w:sz w:val="22"/>
        </w:rPr>
        <w:t>authorization</w:t>
      </w:r>
      <w:r w:rsidRPr="004D2953">
        <w:rPr>
          <w:rFonts w:ascii="Arial" w:eastAsia="TimesNewRomanPS-BoldItalicMT" w:hAnsi="Arial" w:cs="Arial"/>
          <w:kern w:val="1"/>
          <w:sz w:val="22"/>
        </w:rPr>
        <w:t xml:space="preserve"> to </w:t>
      </w:r>
      <w:r w:rsidR="007429D7" w:rsidRPr="004D2953">
        <w:rPr>
          <w:rFonts w:ascii="Arial" w:eastAsia="TimesNewRomanPS-BoldItalicMT" w:hAnsi="Arial" w:cs="Arial"/>
          <w:kern w:val="1"/>
          <w:sz w:val="22"/>
        </w:rPr>
        <w:t xml:space="preserve">act in the </w:t>
      </w:r>
      <w:r w:rsidRPr="004D2953">
        <w:rPr>
          <w:rFonts w:ascii="Arial" w:eastAsia="TimesNewRomanPS-BoldItalicMT" w:hAnsi="Arial" w:cs="Arial"/>
          <w:kern w:val="1"/>
          <w:sz w:val="22"/>
        </w:rPr>
        <w:t xml:space="preserve">position </w:t>
      </w:r>
      <w:r w:rsidR="007429D7" w:rsidRPr="004D2953">
        <w:rPr>
          <w:rFonts w:ascii="Arial" w:eastAsia="TimesNewRomanPS-BoldItalicMT" w:hAnsi="Arial" w:cs="Arial"/>
          <w:kern w:val="1"/>
          <w:sz w:val="22"/>
        </w:rPr>
        <w:t xml:space="preserve">of </w:t>
      </w:r>
      <w:r w:rsidRPr="004D2953">
        <w:rPr>
          <w:rFonts w:ascii="Arial" w:eastAsia="TimesNewRomanPS-BoldItalicMT" w:hAnsi="Arial" w:cs="Arial"/>
          <w:kern w:val="1"/>
          <w:sz w:val="22"/>
        </w:rPr>
        <w:t xml:space="preserve">Head of Unit for IPARD Monitoring and Reporting and </w:t>
      </w:r>
      <w:r w:rsidR="007429D7" w:rsidRPr="004D2953">
        <w:rPr>
          <w:rFonts w:ascii="Arial" w:eastAsia="TimesNewRomanPS-BoldItalicMT" w:hAnsi="Arial" w:cs="Arial"/>
          <w:kern w:val="1"/>
          <w:sz w:val="22"/>
        </w:rPr>
        <w:t xml:space="preserve">in the </w:t>
      </w:r>
      <w:r w:rsidRPr="004D2953">
        <w:rPr>
          <w:rFonts w:ascii="Arial" w:eastAsia="TimesNewRomanPS-BoldItalicMT" w:hAnsi="Arial" w:cs="Arial"/>
          <w:kern w:val="1"/>
          <w:sz w:val="22"/>
        </w:rPr>
        <w:t>position Head of Unit for TA.</w:t>
      </w:r>
    </w:p>
    <w:p w:rsidR="003136C5" w:rsidRPr="004D2953" w:rsidRDefault="003136C5"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 xml:space="preserve">According to the </w:t>
      </w:r>
      <w:r w:rsidR="007429D7" w:rsidRPr="004D2953">
        <w:rPr>
          <w:rFonts w:ascii="Arial" w:eastAsia="TimesNewRomanPS-BoldItalicMT" w:hAnsi="Arial" w:cs="Arial"/>
          <w:kern w:val="1"/>
          <w:sz w:val="22"/>
        </w:rPr>
        <w:t>2019</w:t>
      </w:r>
      <w:r w:rsidR="00C44398">
        <w:rPr>
          <w:rFonts w:ascii="Arial" w:eastAsia="TimesNewRomanPS-BoldItalicMT" w:hAnsi="Arial" w:cs="Arial"/>
          <w:kern w:val="1"/>
          <w:sz w:val="22"/>
          <w:lang w:val="mk-MK"/>
        </w:rPr>
        <w:t xml:space="preserve"> </w:t>
      </w:r>
      <w:r w:rsidRPr="004D2953">
        <w:rPr>
          <w:rFonts w:ascii="Arial" w:eastAsia="TimesNewRomanPS-BoldItalicMT" w:hAnsi="Arial" w:cs="Arial"/>
          <w:kern w:val="1"/>
          <w:sz w:val="22"/>
        </w:rPr>
        <w:t>Workload Analysis (WLA)</w:t>
      </w:r>
      <w:r w:rsidR="007429D7" w:rsidRPr="004D2953">
        <w:rPr>
          <w:rFonts w:ascii="Arial" w:eastAsia="TimesNewRomanPS-BoldItalicMT" w:hAnsi="Arial" w:cs="Arial"/>
          <w:kern w:val="1"/>
          <w:sz w:val="22"/>
        </w:rPr>
        <w:t xml:space="preserve">, the </w:t>
      </w:r>
      <w:r w:rsidRPr="004D2953">
        <w:rPr>
          <w:rFonts w:ascii="Arial" w:eastAsia="TimesNewRomanPS-BoldItalicMT" w:hAnsi="Arial" w:cs="Arial"/>
          <w:kern w:val="1"/>
          <w:sz w:val="22"/>
        </w:rPr>
        <w:t xml:space="preserve">Managing Authority has set </w:t>
      </w:r>
      <w:r w:rsidR="007429D7" w:rsidRPr="004D2953">
        <w:rPr>
          <w:rFonts w:ascii="Arial" w:eastAsia="TimesNewRomanPS-BoldItalicMT" w:hAnsi="Arial" w:cs="Arial"/>
          <w:kern w:val="1"/>
          <w:sz w:val="22"/>
        </w:rPr>
        <w:t xml:space="preserve">an </w:t>
      </w:r>
      <w:r w:rsidRPr="004D2953">
        <w:rPr>
          <w:rFonts w:ascii="Arial" w:eastAsia="TimesNewRomanPS-BoldItalicMT" w:hAnsi="Arial" w:cs="Arial"/>
          <w:kern w:val="1"/>
          <w:sz w:val="22"/>
        </w:rPr>
        <w:t>optimal level of staff o</w:t>
      </w:r>
      <w:r w:rsidR="007429D7" w:rsidRPr="004D2953">
        <w:rPr>
          <w:rFonts w:ascii="Arial" w:eastAsia="TimesNewRomanPS-BoldItalicMT" w:hAnsi="Arial" w:cs="Arial"/>
          <w:kern w:val="1"/>
          <w:sz w:val="22"/>
        </w:rPr>
        <w:t>f</w:t>
      </w:r>
      <w:r w:rsidRPr="004D2953">
        <w:rPr>
          <w:rFonts w:ascii="Arial" w:eastAsia="TimesNewRomanPS-BoldItalicMT" w:hAnsi="Arial" w:cs="Arial"/>
          <w:kern w:val="1"/>
          <w:sz w:val="22"/>
        </w:rPr>
        <w:t xml:space="preserve"> 19 employees for 2019, and </w:t>
      </w:r>
      <w:r w:rsidR="007429D7" w:rsidRPr="004D2953">
        <w:rPr>
          <w:rFonts w:ascii="Arial" w:eastAsia="TimesNewRomanPS-BoldItalicMT" w:hAnsi="Arial" w:cs="Arial"/>
          <w:kern w:val="1"/>
          <w:sz w:val="22"/>
        </w:rPr>
        <w:t xml:space="preserve">an </w:t>
      </w:r>
      <w:r w:rsidRPr="004D2953">
        <w:rPr>
          <w:rFonts w:ascii="Arial" w:eastAsia="TimesNewRomanPS-BoldItalicMT" w:hAnsi="Arial" w:cs="Arial"/>
          <w:kern w:val="1"/>
          <w:sz w:val="22"/>
        </w:rPr>
        <w:t>optim</w:t>
      </w:r>
      <w:r w:rsidR="007429D7" w:rsidRPr="004D2953">
        <w:rPr>
          <w:rFonts w:ascii="Arial" w:eastAsia="TimesNewRomanPS-BoldItalicMT" w:hAnsi="Arial" w:cs="Arial"/>
          <w:kern w:val="1"/>
          <w:sz w:val="22"/>
        </w:rPr>
        <w:t xml:space="preserve">um of </w:t>
      </w:r>
      <w:r w:rsidRPr="004D2953">
        <w:rPr>
          <w:rFonts w:ascii="Arial" w:eastAsia="TimesNewRomanPS-BoldItalicMT" w:hAnsi="Arial" w:cs="Arial"/>
          <w:kern w:val="1"/>
          <w:sz w:val="22"/>
        </w:rPr>
        <w:t xml:space="preserve">20 for 2020. </w:t>
      </w:r>
    </w:p>
    <w:p w:rsidR="003136C5" w:rsidRPr="009C5096" w:rsidRDefault="003136C5" w:rsidP="003136C5">
      <w:pPr>
        <w:autoSpaceDE w:val="0"/>
        <w:autoSpaceDN w:val="0"/>
        <w:adjustRightInd w:val="0"/>
        <w:spacing w:after="120"/>
        <w:jc w:val="both"/>
        <w:rPr>
          <w:rFonts w:ascii="Arial" w:eastAsia="TimesNewRomanPS-BoldItalicMT" w:hAnsi="Arial" w:cs="Arial"/>
          <w:b/>
          <w:kern w:val="1"/>
        </w:rPr>
      </w:pPr>
    </w:p>
    <w:p w:rsidR="00895617" w:rsidRDefault="00895617" w:rsidP="003136C5">
      <w:pPr>
        <w:autoSpaceDE w:val="0"/>
        <w:autoSpaceDN w:val="0"/>
        <w:adjustRightInd w:val="0"/>
        <w:spacing w:after="120"/>
        <w:jc w:val="both"/>
        <w:rPr>
          <w:rFonts w:ascii="Arial" w:eastAsia="TimesNewRomanPS-BoldItalicMT" w:hAnsi="Arial" w:cs="Arial"/>
          <w:b/>
          <w:kern w:val="1"/>
        </w:rPr>
      </w:pPr>
    </w:p>
    <w:p w:rsidR="00895617" w:rsidRDefault="00895617" w:rsidP="003136C5">
      <w:pPr>
        <w:autoSpaceDE w:val="0"/>
        <w:autoSpaceDN w:val="0"/>
        <w:adjustRightInd w:val="0"/>
        <w:spacing w:after="120"/>
        <w:jc w:val="both"/>
        <w:rPr>
          <w:rFonts w:ascii="Arial" w:eastAsia="TimesNewRomanPS-BoldItalicMT" w:hAnsi="Arial" w:cs="Arial"/>
          <w:b/>
          <w:kern w:val="1"/>
        </w:rPr>
      </w:pPr>
    </w:p>
    <w:p w:rsidR="003136C5" w:rsidRPr="009C5096" w:rsidRDefault="003136C5" w:rsidP="003136C5">
      <w:pPr>
        <w:autoSpaceDE w:val="0"/>
        <w:autoSpaceDN w:val="0"/>
        <w:adjustRightInd w:val="0"/>
        <w:spacing w:after="120"/>
        <w:jc w:val="both"/>
        <w:rPr>
          <w:rFonts w:ascii="Arial" w:eastAsia="TimesNewRomanPS-BoldItalicMT" w:hAnsi="Arial" w:cs="Arial"/>
          <w:b/>
          <w:kern w:val="1"/>
        </w:rPr>
      </w:pPr>
      <w:r w:rsidRPr="009C5096">
        <w:rPr>
          <w:rFonts w:ascii="Arial" w:eastAsia="TimesNewRomanPS-BoldItalicMT" w:hAnsi="Arial" w:cs="Arial"/>
          <w:b/>
          <w:kern w:val="1"/>
        </w:rPr>
        <w:t>IPARD Structure capacities</w:t>
      </w:r>
    </w:p>
    <w:p w:rsidR="003136C5" w:rsidRPr="004D2953" w:rsidRDefault="007429D7" w:rsidP="003136C5">
      <w:pPr>
        <w:autoSpaceDE w:val="0"/>
        <w:autoSpaceDN w:val="0"/>
        <w:adjustRightInd w:val="0"/>
        <w:jc w:val="both"/>
        <w:rPr>
          <w:rFonts w:ascii="Arial" w:eastAsia="TimesNewRomanPS-BoldItalicMT" w:hAnsi="Arial" w:cs="Arial"/>
          <w:kern w:val="1"/>
          <w:sz w:val="22"/>
        </w:rPr>
      </w:pPr>
      <w:r w:rsidRPr="004D2953">
        <w:rPr>
          <w:rFonts w:ascii="Arial" w:eastAsia="TimesNewRomanPS-BoldItalicMT" w:hAnsi="Arial" w:cs="Arial"/>
          <w:kern w:val="1"/>
          <w:sz w:val="22"/>
        </w:rPr>
        <w:t>T</w:t>
      </w:r>
      <w:r w:rsidR="003136C5" w:rsidRPr="004D2953">
        <w:rPr>
          <w:rFonts w:ascii="Arial" w:eastAsia="TimesNewRomanPS-BoldItalicMT" w:hAnsi="Arial" w:cs="Arial"/>
          <w:kern w:val="1"/>
          <w:sz w:val="22"/>
        </w:rPr>
        <w:t>he table below present</w:t>
      </w:r>
      <w:r w:rsidRPr="004D2953">
        <w:rPr>
          <w:rFonts w:ascii="Arial" w:eastAsia="TimesNewRomanPS-BoldItalicMT" w:hAnsi="Arial" w:cs="Arial"/>
          <w:kern w:val="1"/>
          <w:sz w:val="22"/>
        </w:rPr>
        <w:t xml:space="preserve">s </w:t>
      </w:r>
      <w:r w:rsidR="003136C5" w:rsidRPr="004D2953">
        <w:rPr>
          <w:rFonts w:ascii="Arial" w:eastAsia="TimesNewRomanPS-BoldItalicMT" w:hAnsi="Arial" w:cs="Arial"/>
          <w:kern w:val="1"/>
          <w:sz w:val="22"/>
        </w:rPr>
        <w:t>the data regarding the human capacities in the IPARD structure for the year 2018:</w:t>
      </w:r>
    </w:p>
    <w:p w:rsidR="003136C5" w:rsidRPr="009C5096" w:rsidRDefault="003136C5" w:rsidP="003136C5">
      <w:pPr>
        <w:spacing w:after="120"/>
        <w:jc w:val="both"/>
        <w:rPr>
          <w:rFonts w:ascii="Arial" w:hAnsi="Arial" w:cs="Arial"/>
          <w:lang w:eastAsia="mk-MK"/>
        </w:rPr>
      </w:pPr>
    </w:p>
    <w:tbl>
      <w:tblPr>
        <w:tblW w:w="10490" w:type="dxa"/>
        <w:tblCellSpacing w:w="0" w:type="dxa"/>
        <w:tblInd w:w="-518" w:type="dxa"/>
        <w:tblLayout w:type="fixed"/>
        <w:tblCellMar>
          <w:top w:w="30" w:type="dxa"/>
          <w:left w:w="30" w:type="dxa"/>
          <w:bottom w:w="30" w:type="dxa"/>
          <w:right w:w="30" w:type="dxa"/>
        </w:tblCellMar>
        <w:tblLook w:val="04A0" w:firstRow="1" w:lastRow="0" w:firstColumn="1" w:lastColumn="0" w:noHBand="0" w:noVBand="1"/>
      </w:tblPr>
      <w:tblGrid>
        <w:gridCol w:w="1276"/>
        <w:gridCol w:w="1276"/>
        <w:gridCol w:w="1276"/>
        <w:gridCol w:w="1075"/>
        <w:gridCol w:w="1334"/>
        <w:gridCol w:w="851"/>
        <w:gridCol w:w="1276"/>
        <w:gridCol w:w="992"/>
        <w:gridCol w:w="1134"/>
      </w:tblGrid>
      <w:tr w:rsidR="003136C5" w:rsidRPr="00DF0834" w:rsidTr="00612896">
        <w:trPr>
          <w:tblCellSpacing w:w="0" w:type="dxa"/>
        </w:trPr>
        <w:tc>
          <w:tcPr>
            <w:tcW w:w="1276"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b/>
                <w:bCs/>
                <w:color w:val="000000"/>
                <w:sz w:val="22"/>
                <w:szCs w:val="18"/>
                <w:lang w:eastAsia="mk-MK"/>
              </w:rPr>
              <w:t>Institution</w:t>
            </w:r>
          </w:p>
        </w:tc>
        <w:tc>
          <w:tcPr>
            <w:tcW w:w="1276"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b/>
                <w:bCs/>
                <w:color w:val="000000"/>
                <w:sz w:val="22"/>
                <w:szCs w:val="18"/>
                <w:lang w:eastAsia="mk-MK"/>
              </w:rPr>
              <w:t>Number of staff on 31.12.2017</w:t>
            </w:r>
          </w:p>
        </w:tc>
        <w:tc>
          <w:tcPr>
            <w:tcW w:w="1276"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b/>
                <w:bCs/>
                <w:color w:val="000000"/>
                <w:sz w:val="22"/>
                <w:szCs w:val="18"/>
                <w:lang w:eastAsia="mk-MK"/>
              </w:rPr>
              <w:t>Number of staff needed as per WLA 2018</w:t>
            </w:r>
          </w:p>
        </w:tc>
        <w:tc>
          <w:tcPr>
            <w:tcW w:w="1075"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b/>
                <w:bCs/>
                <w:color w:val="000000"/>
                <w:sz w:val="22"/>
                <w:szCs w:val="18"/>
                <w:lang w:eastAsia="mk-MK"/>
              </w:rPr>
              <w:t>Realized new recruitments 2018</w:t>
            </w:r>
          </w:p>
        </w:tc>
        <w:tc>
          <w:tcPr>
            <w:tcW w:w="1334"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b/>
                <w:bCs/>
                <w:color w:val="000000"/>
                <w:sz w:val="22"/>
                <w:szCs w:val="18"/>
                <w:lang w:eastAsia="mk-MK"/>
              </w:rPr>
              <w:t>Promotion of the staff 2018</w:t>
            </w:r>
          </w:p>
        </w:tc>
        <w:tc>
          <w:tcPr>
            <w:tcW w:w="851"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b/>
                <w:bCs/>
                <w:color w:val="000000"/>
                <w:sz w:val="22"/>
                <w:szCs w:val="18"/>
                <w:lang w:eastAsia="mk-MK"/>
              </w:rPr>
              <w:t>Left the position</w:t>
            </w:r>
            <w:r w:rsidRPr="00DF0834">
              <w:rPr>
                <w:rFonts w:ascii="Arial" w:hAnsi="Arial" w:cs="Arial"/>
                <w:color w:val="000000"/>
                <w:sz w:val="22"/>
                <w:lang w:eastAsia="mk-MK"/>
              </w:rPr>
              <w:t xml:space="preserve"> </w:t>
            </w:r>
            <w:r w:rsidRPr="00DF0834">
              <w:rPr>
                <w:rFonts w:ascii="Arial" w:hAnsi="Arial" w:cs="Arial"/>
                <w:b/>
                <w:bCs/>
                <w:color w:val="000000"/>
                <w:sz w:val="22"/>
                <w:szCs w:val="18"/>
                <w:lang w:eastAsia="mk-MK"/>
              </w:rPr>
              <w:t>2018</w:t>
            </w:r>
          </w:p>
        </w:tc>
        <w:tc>
          <w:tcPr>
            <w:tcW w:w="1276"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b/>
                <w:bCs/>
                <w:color w:val="000000"/>
                <w:sz w:val="22"/>
                <w:szCs w:val="18"/>
                <w:lang w:eastAsia="mk-MK"/>
              </w:rPr>
            </w:pPr>
            <w:r w:rsidRPr="00DF0834">
              <w:rPr>
                <w:rFonts w:ascii="Arial" w:hAnsi="Arial" w:cs="Arial"/>
                <w:b/>
                <w:bCs/>
                <w:color w:val="000000"/>
                <w:sz w:val="22"/>
                <w:szCs w:val="18"/>
                <w:lang w:eastAsia="mk-MK"/>
              </w:rPr>
              <w:t>Number of staff 31.12.2018</w:t>
            </w:r>
          </w:p>
        </w:tc>
        <w:tc>
          <w:tcPr>
            <w:tcW w:w="992" w:type="dxa"/>
            <w:tcBorders>
              <w:top w:val="single" w:sz="8" w:space="0" w:color="000000"/>
              <w:left w:val="single" w:sz="8" w:space="0" w:color="000000"/>
              <w:bottom w:val="single" w:sz="8" w:space="0" w:color="000000"/>
              <w:right w:val="nil"/>
            </w:tcBorders>
            <w:shd w:val="clear" w:color="auto" w:fill="BFBFBF"/>
            <w:tcMar>
              <w:top w:w="29" w:type="dxa"/>
              <w:left w:w="29" w:type="dxa"/>
              <w:bottom w:w="29" w:type="dxa"/>
              <w:right w:w="0" w:type="dxa"/>
            </w:tcMar>
            <w:vAlign w:val="center"/>
          </w:tcPr>
          <w:p w:rsidR="00DF0834" w:rsidRDefault="003136C5" w:rsidP="00612896">
            <w:pPr>
              <w:spacing w:before="100" w:beforeAutospacing="1"/>
              <w:jc w:val="center"/>
              <w:rPr>
                <w:rFonts w:ascii="Arial" w:hAnsi="Arial" w:cs="Arial"/>
                <w:b/>
                <w:bCs/>
                <w:color w:val="000000"/>
                <w:sz w:val="22"/>
                <w:szCs w:val="18"/>
                <w:lang w:eastAsia="mk-MK"/>
              </w:rPr>
            </w:pPr>
            <w:r w:rsidRPr="00DF0834">
              <w:rPr>
                <w:rFonts w:ascii="Arial" w:hAnsi="Arial" w:cs="Arial"/>
                <w:b/>
                <w:bCs/>
                <w:color w:val="000000"/>
                <w:sz w:val="22"/>
                <w:szCs w:val="18"/>
                <w:lang w:eastAsia="mk-MK"/>
              </w:rPr>
              <w:t xml:space="preserve">Occupancy </w:t>
            </w:r>
          </w:p>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b/>
                <w:bCs/>
                <w:color w:val="000000"/>
                <w:sz w:val="22"/>
                <w:szCs w:val="18"/>
                <w:lang w:eastAsia="mk-MK"/>
              </w:rPr>
              <w:t>rate</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Mar>
              <w:top w:w="29" w:type="dxa"/>
              <w:left w:w="29" w:type="dxa"/>
              <w:bottom w:w="29" w:type="dxa"/>
              <w:right w:w="29" w:type="dxa"/>
            </w:tcMar>
            <w:vAlign w:val="center"/>
          </w:tcPr>
          <w:p w:rsidR="003136C5" w:rsidRPr="00DF0834" w:rsidRDefault="003136C5" w:rsidP="00DA409C">
            <w:pPr>
              <w:spacing w:before="100" w:beforeAutospacing="1"/>
              <w:ind w:hanging="29"/>
              <w:jc w:val="center"/>
              <w:rPr>
                <w:rFonts w:ascii="Arial" w:hAnsi="Arial" w:cs="Arial"/>
                <w:sz w:val="22"/>
                <w:lang w:eastAsia="mk-MK"/>
              </w:rPr>
            </w:pPr>
            <w:r w:rsidRPr="00DF0834">
              <w:rPr>
                <w:rFonts w:ascii="Arial" w:hAnsi="Arial" w:cs="Arial"/>
                <w:b/>
                <w:bCs/>
                <w:color w:val="000000"/>
                <w:sz w:val="22"/>
                <w:szCs w:val="18"/>
                <w:lang w:eastAsia="mk-MK"/>
              </w:rPr>
              <w:t>Turnover</w:t>
            </w:r>
            <w:r w:rsidR="00DF0834">
              <w:rPr>
                <w:rFonts w:ascii="Arial" w:hAnsi="Arial" w:cs="Arial"/>
                <w:b/>
                <w:bCs/>
                <w:color w:val="000000"/>
                <w:sz w:val="22"/>
                <w:szCs w:val="18"/>
                <w:lang w:val="mk-MK" w:eastAsia="mk-MK"/>
              </w:rPr>
              <w:t xml:space="preserve"> </w:t>
            </w:r>
            <w:r w:rsidRPr="00DF0834">
              <w:rPr>
                <w:rFonts w:ascii="Arial" w:hAnsi="Arial" w:cs="Arial"/>
                <w:b/>
                <w:bCs/>
                <w:color w:val="000000"/>
                <w:sz w:val="22"/>
                <w:szCs w:val="18"/>
                <w:lang w:eastAsia="mk-MK"/>
              </w:rPr>
              <w:t>rate</w:t>
            </w:r>
          </w:p>
        </w:tc>
      </w:tr>
      <w:tr w:rsidR="003136C5" w:rsidRPr="00DF0834" w:rsidTr="00612896">
        <w:trPr>
          <w:trHeight w:val="415"/>
          <w:tblCellSpacing w:w="0" w:type="dxa"/>
        </w:trPr>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NAO/NF</w:t>
            </w:r>
          </w:p>
        </w:tc>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17</w:t>
            </w:r>
          </w:p>
        </w:tc>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21</w:t>
            </w:r>
          </w:p>
        </w:tc>
        <w:tc>
          <w:tcPr>
            <w:tcW w:w="1075"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w:t>
            </w:r>
          </w:p>
        </w:tc>
        <w:tc>
          <w:tcPr>
            <w:tcW w:w="1334"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4</w:t>
            </w:r>
          </w:p>
        </w:tc>
        <w:tc>
          <w:tcPr>
            <w:tcW w:w="851"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w:t>
            </w:r>
          </w:p>
        </w:tc>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17</w:t>
            </w:r>
          </w:p>
        </w:tc>
        <w:tc>
          <w:tcPr>
            <w:tcW w:w="992"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81%</w:t>
            </w:r>
          </w:p>
        </w:tc>
        <w:tc>
          <w:tcPr>
            <w:tcW w:w="1134"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5.9%</w:t>
            </w:r>
          </w:p>
        </w:tc>
      </w:tr>
      <w:tr w:rsidR="003136C5" w:rsidRPr="00DF0834" w:rsidTr="00612896">
        <w:trPr>
          <w:tblCellSpacing w:w="0" w:type="dxa"/>
        </w:trPr>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IPARD Agency</w:t>
            </w:r>
          </w:p>
        </w:tc>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87</w:t>
            </w:r>
          </w:p>
        </w:tc>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170</w:t>
            </w:r>
          </w:p>
        </w:tc>
        <w:tc>
          <w:tcPr>
            <w:tcW w:w="1075"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23</w:t>
            </w:r>
          </w:p>
        </w:tc>
        <w:tc>
          <w:tcPr>
            <w:tcW w:w="1334"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15</w:t>
            </w:r>
          </w:p>
        </w:tc>
        <w:tc>
          <w:tcPr>
            <w:tcW w:w="851"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w:t>
            </w:r>
          </w:p>
        </w:tc>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109</w:t>
            </w:r>
          </w:p>
        </w:tc>
        <w:tc>
          <w:tcPr>
            <w:tcW w:w="992"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64%</w:t>
            </w:r>
          </w:p>
        </w:tc>
        <w:tc>
          <w:tcPr>
            <w:tcW w:w="1134"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1.2%</w:t>
            </w:r>
          </w:p>
        </w:tc>
      </w:tr>
      <w:tr w:rsidR="003136C5" w:rsidRPr="00DF0834" w:rsidTr="00612896">
        <w:trPr>
          <w:tblCellSpacing w:w="0" w:type="dxa"/>
        </w:trPr>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Managing Authority</w:t>
            </w:r>
          </w:p>
        </w:tc>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13</w:t>
            </w:r>
          </w:p>
        </w:tc>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19</w:t>
            </w:r>
          </w:p>
        </w:tc>
        <w:tc>
          <w:tcPr>
            <w:tcW w:w="1075"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8</w:t>
            </w:r>
          </w:p>
        </w:tc>
        <w:tc>
          <w:tcPr>
            <w:tcW w:w="1334"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w:t>
            </w:r>
          </w:p>
        </w:tc>
        <w:tc>
          <w:tcPr>
            <w:tcW w:w="851"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4</w:t>
            </w:r>
          </w:p>
        </w:tc>
        <w:tc>
          <w:tcPr>
            <w:tcW w:w="1276"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17</w:t>
            </w:r>
          </w:p>
        </w:tc>
        <w:tc>
          <w:tcPr>
            <w:tcW w:w="992" w:type="dxa"/>
            <w:tcBorders>
              <w:top w:val="nil"/>
              <w:left w:val="single" w:sz="8" w:space="0" w:color="000000"/>
              <w:bottom w:val="single" w:sz="8" w:space="0" w:color="000000"/>
              <w:right w:val="nil"/>
            </w:tcBorders>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90%</w:t>
            </w:r>
          </w:p>
        </w:tc>
        <w:tc>
          <w:tcPr>
            <w:tcW w:w="1134" w:type="dxa"/>
            <w:tcBorders>
              <w:top w:val="nil"/>
              <w:left w:val="single" w:sz="8" w:space="0" w:color="000000"/>
              <w:bottom w:val="single" w:sz="8" w:space="0" w:color="000000"/>
              <w:right w:val="single" w:sz="8" w:space="0" w:color="000000"/>
            </w:tcBorders>
            <w:tcMar>
              <w:top w:w="0" w:type="dxa"/>
              <w:left w:w="29" w:type="dxa"/>
              <w:bottom w:w="29" w:type="dxa"/>
              <w:right w:w="29"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30.8%</w:t>
            </w:r>
          </w:p>
        </w:tc>
      </w:tr>
      <w:tr w:rsidR="003136C5" w:rsidRPr="00DF0834" w:rsidTr="00612896">
        <w:trPr>
          <w:trHeight w:val="458"/>
          <w:tblCellSpacing w:w="0" w:type="dxa"/>
        </w:trPr>
        <w:tc>
          <w:tcPr>
            <w:tcW w:w="1276"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Total</w:t>
            </w:r>
          </w:p>
        </w:tc>
        <w:tc>
          <w:tcPr>
            <w:tcW w:w="1276"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117</w:t>
            </w:r>
          </w:p>
        </w:tc>
        <w:tc>
          <w:tcPr>
            <w:tcW w:w="1276"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210</w:t>
            </w:r>
          </w:p>
        </w:tc>
        <w:tc>
          <w:tcPr>
            <w:tcW w:w="1075"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32</w:t>
            </w:r>
          </w:p>
        </w:tc>
        <w:tc>
          <w:tcPr>
            <w:tcW w:w="1334"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19</w:t>
            </w:r>
          </w:p>
        </w:tc>
        <w:tc>
          <w:tcPr>
            <w:tcW w:w="851"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6</w:t>
            </w:r>
          </w:p>
        </w:tc>
        <w:tc>
          <w:tcPr>
            <w:tcW w:w="1276"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143</w:t>
            </w:r>
          </w:p>
        </w:tc>
        <w:tc>
          <w:tcPr>
            <w:tcW w:w="992" w:type="dxa"/>
            <w:tcBorders>
              <w:top w:val="nil"/>
              <w:left w:val="single" w:sz="8" w:space="0" w:color="000000"/>
              <w:bottom w:val="single" w:sz="8" w:space="0" w:color="000000"/>
              <w:right w:val="nil"/>
            </w:tcBorders>
            <w:shd w:val="clear" w:color="auto" w:fill="BFBFBF"/>
            <w:tcMar>
              <w:top w:w="0" w:type="dxa"/>
              <w:left w:w="29" w:type="dxa"/>
              <w:bottom w:w="29" w:type="dxa"/>
              <w:right w:w="0"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68%</w:t>
            </w:r>
          </w:p>
        </w:tc>
        <w:tc>
          <w:tcPr>
            <w:tcW w:w="1134" w:type="dxa"/>
            <w:tcBorders>
              <w:top w:val="nil"/>
              <w:left w:val="single" w:sz="8" w:space="0" w:color="000000"/>
              <w:bottom w:val="single" w:sz="8" w:space="0" w:color="000000"/>
              <w:right w:val="single" w:sz="8" w:space="0" w:color="000000"/>
            </w:tcBorders>
            <w:shd w:val="clear" w:color="auto" w:fill="BFBFBF"/>
            <w:tcMar>
              <w:top w:w="0" w:type="dxa"/>
              <w:left w:w="29" w:type="dxa"/>
              <w:bottom w:w="29" w:type="dxa"/>
              <w:right w:w="29" w:type="dxa"/>
            </w:tcMar>
            <w:vAlign w:val="center"/>
          </w:tcPr>
          <w:p w:rsidR="003136C5" w:rsidRPr="00DF0834" w:rsidRDefault="003136C5" w:rsidP="00612896">
            <w:pPr>
              <w:spacing w:before="100" w:beforeAutospacing="1"/>
              <w:jc w:val="center"/>
              <w:rPr>
                <w:rFonts w:ascii="Arial" w:hAnsi="Arial" w:cs="Arial"/>
                <w:sz w:val="22"/>
                <w:lang w:eastAsia="mk-MK"/>
              </w:rPr>
            </w:pPr>
            <w:r w:rsidRPr="00DF0834">
              <w:rPr>
                <w:rFonts w:ascii="Arial" w:hAnsi="Arial" w:cs="Arial"/>
                <w:color w:val="000000"/>
                <w:sz w:val="22"/>
                <w:szCs w:val="18"/>
                <w:lang w:eastAsia="mk-MK"/>
              </w:rPr>
              <w:t>5.1%</w:t>
            </w:r>
          </w:p>
        </w:tc>
      </w:tr>
    </w:tbl>
    <w:p w:rsidR="003136C5" w:rsidRPr="009C5096" w:rsidRDefault="003136C5" w:rsidP="003136C5">
      <w:pPr>
        <w:pStyle w:val="BodyText"/>
        <w:overflowPunct w:val="0"/>
        <w:autoSpaceDE w:val="0"/>
        <w:spacing w:before="120" w:line="100" w:lineRule="atLeast"/>
        <w:jc w:val="both"/>
        <w:textAlignment w:val="baseline"/>
        <w:rPr>
          <w:rFonts w:ascii="Arial" w:eastAsia="TimesNewRomanPS-BoldItalicMT" w:hAnsi="Arial" w:cs="Arial"/>
          <w:b/>
          <w:bCs/>
          <w:iCs/>
          <w:sz w:val="22"/>
          <w:szCs w:val="22"/>
          <w:lang w:val="en-US"/>
        </w:rPr>
      </w:pPr>
      <w:r w:rsidRPr="009C5096">
        <w:rPr>
          <w:rFonts w:ascii="Arial" w:eastAsia="TimesNewRomanPS-BoldItalicMT" w:hAnsi="Arial" w:cs="Arial"/>
          <w:b/>
          <w:bCs/>
          <w:iCs/>
          <w:sz w:val="22"/>
          <w:szCs w:val="22"/>
          <w:lang w:val="en-US"/>
        </w:rPr>
        <w:t>Accreditation of new measures within the IPARD Programme</w:t>
      </w:r>
      <w:r w:rsidR="007429D7" w:rsidRPr="007429D7">
        <w:rPr>
          <w:rFonts w:ascii="Arial" w:eastAsia="TimesNewRomanPS-BoldItalicMT" w:hAnsi="Arial" w:cs="Arial"/>
          <w:b/>
          <w:bCs/>
          <w:iCs/>
          <w:sz w:val="22"/>
          <w:szCs w:val="22"/>
          <w:lang w:val="en-US"/>
        </w:rPr>
        <w:t xml:space="preserve"> </w:t>
      </w:r>
      <w:r w:rsidR="007429D7" w:rsidRPr="009C5096">
        <w:rPr>
          <w:rFonts w:ascii="Arial" w:eastAsia="TimesNewRomanPS-BoldItalicMT" w:hAnsi="Arial" w:cs="Arial"/>
          <w:b/>
          <w:bCs/>
          <w:iCs/>
          <w:sz w:val="22"/>
          <w:szCs w:val="22"/>
          <w:lang w:val="en-US"/>
        </w:rPr>
        <w:t>frame</w:t>
      </w:r>
    </w:p>
    <w:p w:rsidR="003136C5" w:rsidRPr="004D2953" w:rsidRDefault="003136C5" w:rsidP="003136C5">
      <w:pPr>
        <w:autoSpaceDE w:val="0"/>
        <w:autoSpaceDN w:val="0"/>
        <w:adjustRightInd w:val="0"/>
        <w:jc w:val="both"/>
        <w:rPr>
          <w:rFonts w:ascii="Arial" w:hAnsi="Arial" w:cs="Arial"/>
          <w:sz w:val="22"/>
        </w:rPr>
      </w:pPr>
      <w:r w:rsidRPr="004D2953">
        <w:rPr>
          <w:rFonts w:ascii="Arial" w:hAnsi="Arial" w:cs="Arial"/>
          <w:sz w:val="22"/>
        </w:rPr>
        <w:t xml:space="preserve">The preparatory activities for accreditation of the measure </w:t>
      </w:r>
      <w:r w:rsidR="007429D7" w:rsidRPr="004D2953">
        <w:rPr>
          <w:rFonts w:ascii="Arial" w:hAnsi="Arial" w:cs="Arial"/>
          <w:sz w:val="22"/>
        </w:rPr>
        <w:t>Rural I</w:t>
      </w:r>
      <w:r w:rsidRPr="004D2953">
        <w:rPr>
          <w:rFonts w:ascii="Arial" w:hAnsi="Arial" w:cs="Arial"/>
          <w:sz w:val="22"/>
        </w:rPr>
        <w:t xml:space="preserve">nfrastructure </w:t>
      </w:r>
      <w:r w:rsidR="007429D7" w:rsidRPr="004D2953">
        <w:rPr>
          <w:rFonts w:ascii="Arial" w:hAnsi="Arial" w:cs="Arial"/>
          <w:sz w:val="22"/>
        </w:rPr>
        <w:t xml:space="preserve">began </w:t>
      </w:r>
      <w:r w:rsidRPr="004D2953">
        <w:rPr>
          <w:rFonts w:ascii="Arial" w:hAnsi="Arial" w:cs="Arial"/>
          <w:sz w:val="22"/>
        </w:rPr>
        <w:t xml:space="preserve">in 2015/2016. After the compliance assessment report (January 2018) and the DG AGRI observations on the submitted draft working arrangements for the rural infrastructure </w:t>
      </w:r>
      <w:r w:rsidR="007429D7" w:rsidRPr="004D2953">
        <w:rPr>
          <w:rFonts w:ascii="Arial" w:hAnsi="Arial" w:cs="Arial"/>
          <w:sz w:val="22"/>
        </w:rPr>
        <w:t xml:space="preserve">implementation </w:t>
      </w:r>
      <w:r w:rsidRPr="004D2953">
        <w:rPr>
          <w:rFonts w:ascii="Arial" w:hAnsi="Arial" w:cs="Arial"/>
          <w:sz w:val="22"/>
        </w:rPr>
        <w:t>(June 2018), the activities for completion of the accreditation package incorporating the observations from both reports were undertaken.</w:t>
      </w:r>
    </w:p>
    <w:p w:rsidR="003136C5" w:rsidRPr="004D2953" w:rsidRDefault="003136C5" w:rsidP="003136C5">
      <w:pPr>
        <w:autoSpaceDE w:val="0"/>
        <w:autoSpaceDN w:val="0"/>
        <w:adjustRightInd w:val="0"/>
        <w:jc w:val="both"/>
        <w:rPr>
          <w:rFonts w:ascii="Arial" w:hAnsi="Arial" w:cs="Arial"/>
          <w:sz w:val="22"/>
        </w:rPr>
      </w:pPr>
      <w:r w:rsidRPr="004D2953">
        <w:rPr>
          <w:rFonts w:ascii="Arial" w:hAnsi="Arial" w:cs="Arial"/>
          <w:sz w:val="22"/>
        </w:rPr>
        <w:t xml:space="preserve">The Request for </w:t>
      </w:r>
      <w:r w:rsidRPr="004D2953">
        <w:rPr>
          <w:rFonts w:ascii="Arial" w:hAnsi="Arial" w:cs="Arial"/>
          <w:bCs/>
          <w:sz w:val="22"/>
        </w:rPr>
        <w:t>entrust</w:t>
      </w:r>
      <w:r w:rsidR="007429D7" w:rsidRPr="004D2953">
        <w:rPr>
          <w:rFonts w:ascii="Arial" w:hAnsi="Arial" w:cs="Arial"/>
          <w:bCs/>
          <w:sz w:val="22"/>
        </w:rPr>
        <w:t xml:space="preserve">ing </w:t>
      </w:r>
      <w:r w:rsidRPr="004D2953">
        <w:rPr>
          <w:rFonts w:ascii="Arial" w:hAnsi="Arial" w:cs="Arial"/>
          <w:bCs/>
          <w:sz w:val="22"/>
        </w:rPr>
        <w:t xml:space="preserve">with budget implementation tasks for the measure Rural Public Infrastructure from </w:t>
      </w:r>
      <w:r w:rsidR="007429D7" w:rsidRPr="004D2953">
        <w:rPr>
          <w:rFonts w:ascii="Arial" w:hAnsi="Arial" w:cs="Arial"/>
          <w:bCs/>
          <w:sz w:val="22"/>
        </w:rPr>
        <w:t xml:space="preserve">the </w:t>
      </w:r>
      <w:r w:rsidRPr="004D2953">
        <w:rPr>
          <w:rFonts w:ascii="Arial" w:hAnsi="Arial" w:cs="Arial"/>
          <w:bCs/>
          <w:sz w:val="22"/>
        </w:rPr>
        <w:t xml:space="preserve">IPARD Programme 2014-2020 </w:t>
      </w:r>
      <w:r w:rsidRPr="004D2953">
        <w:rPr>
          <w:rFonts w:ascii="Arial" w:hAnsi="Arial" w:cs="Arial"/>
          <w:sz w:val="22"/>
        </w:rPr>
        <w:t>was submitted to EC on 13</w:t>
      </w:r>
      <w:r w:rsidRPr="004D2953">
        <w:rPr>
          <w:rFonts w:ascii="Arial" w:hAnsi="Arial" w:cs="Arial"/>
          <w:sz w:val="22"/>
          <w:vertAlign w:val="superscript"/>
        </w:rPr>
        <w:t>th</w:t>
      </w:r>
      <w:r w:rsidRPr="004D2953">
        <w:rPr>
          <w:rFonts w:ascii="Arial" w:hAnsi="Arial" w:cs="Arial"/>
          <w:sz w:val="22"/>
        </w:rPr>
        <w:t xml:space="preserve"> November 2018.</w:t>
      </w:r>
    </w:p>
    <w:p w:rsidR="003136C5" w:rsidRPr="004D2953" w:rsidRDefault="003136C5" w:rsidP="003136C5">
      <w:pPr>
        <w:autoSpaceDE w:val="0"/>
        <w:autoSpaceDN w:val="0"/>
        <w:adjustRightInd w:val="0"/>
        <w:jc w:val="both"/>
        <w:rPr>
          <w:rFonts w:ascii="Arial" w:hAnsi="Arial" w:cs="Arial"/>
          <w:sz w:val="22"/>
        </w:rPr>
      </w:pPr>
      <w:r w:rsidRPr="004D2953">
        <w:rPr>
          <w:rFonts w:ascii="Arial" w:hAnsi="Arial" w:cs="Arial"/>
          <w:sz w:val="22"/>
        </w:rPr>
        <w:t>With letter dated 3</w:t>
      </w:r>
      <w:r w:rsidR="007429D7" w:rsidRPr="004D2953">
        <w:rPr>
          <w:rFonts w:ascii="Arial" w:hAnsi="Arial" w:cs="Arial"/>
          <w:sz w:val="22"/>
        </w:rPr>
        <w:t xml:space="preserve">rd of </w:t>
      </w:r>
      <w:r w:rsidRPr="004D2953">
        <w:rPr>
          <w:rFonts w:ascii="Arial" w:hAnsi="Arial" w:cs="Arial"/>
          <w:sz w:val="22"/>
        </w:rPr>
        <w:t>April 2019</w:t>
      </w:r>
      <w:r w:rsidR="007429D7" w:rsidRPr="004D2953">
        <w:rPr>
          <w:rFonts w:ascii="Arial" w:hAnsi="Arial" w:cs="Arial"/>
          <w:sz w:val="22"/>
        </w:rPr>
        <w:t>,</w:t>
      </w:r>
      <w:r w:rsidRPr="004D2953">
        <w:rPr>
          <w:rFonts w:ascii="Arial" w:hAnsi="Arial" w:cs="Arial"/>
          <w:sz w:val="22"/>
        </w:rPr>
        <w:t xml:space="preserve"> DG AGRI submitted initial observations and recommendations concerning the submitted package for EBIT request. </w:t>
      </w:r>
      <w:r w:rsidR="007429D7" w:rsidRPr="004D2953">
        <w:rPr>
          <w:rFonts w:ascii="Arial" w:hAnsi="Arial" w:cs="Arial"/>
          <w:sz w:val="22"/>
        </w:rPr>
        <w:t>The m</w:t>
      </w:r>
      <w:r w:rsidRPr="004D2953">
        <w:rPr>
          <w:rFonts w:ascii="Arial" w:hAnsi="Arial" w:cs="Arial"/>
          <w:sz w:val="22"/>
        </w:rPr>
        <w:t xml:space="preserve">ain observations were related to </w:t>
      </w:r>
      <w:r w:rsidR="007429D7" w:rsidRPr="004D2953">
        <w:rPr>
          <w:rFonts w:ascii="Arial" w:hAnsi="Arial" w:cs="Arial"/>
          <w:sz w:val="22"/>
        </w:rPr>
        <w:t xml:space="preserve">the </w:t>
      </w:r>
      <w:r w:rsidRPr="004D2953">
        <w:rPr>
          <w:rFonts w:ascii="Arial" w:hAnsi="Arial" w:cs="Arial"/>
          <w:sz w:val="22"/>
        </w:rPr>
        <w:t xml:space="preserve">HR capacities, </w:t>
      </w:r>
      <w:r w:rsidR="007429D7" w:rsidRPr="004D2953">
        <w:rPr>
          <w:rFonts w:ascii="Arial" w:hAnsi="Arial" w:cs="Arial"/>
          <w:sz w:val="22"/>
        </w:rPr>
        <w:t xml:space="preserve">the </w:t>
      </w:r>
      <w:r w:rsidRPr="004D2953">
        <w:rPr>
          <w:rFonts w:ascii="Arial" w:hAnsi="Arial" w:cs="Arial"/>
          <w:sz w:val="22"/>
        </w:rPr>
        <w:t xml:space="preserve">Law on AFSARD and </w:t>
      </w:r>
      <w:r w:rsidR="007429D7" w:rsidRPr="004D2953">
        <w:rPr>
          <w:rFonts w:ascii="Arial" w:hAnsi="Arial" w:cs="Arial"/>
          <w:sz w:val="22"/>
        </w:rPr>
        <w:t xml:space="preserve">the </w:t>
      </w:r>
      <w:r w:rsidRPr="004D2953">
        <w:rPr>
          <w:rFonts w:ascii="Arial" w:hAnsi="Arial" w:cs="Arial"/>
          <w:sz w:val="22"/>
        </w:rPr>
        <w:t>IPARD Agency procedural arrangements.</w:t>
      </w:r>
    </w:p>
    <w:p w:rsidR="003136C5" w:rsidRPr="004D2953" w:rsidRDefault="003136C5" w:rsidP="003136C5">
      <w:pPr>
        <w:autoSpaceDE w:val="0"/>
        <w:autoSpaceDN w:val="0"/>
        <w:adjustRightInd w:val="0"/>
        <w:jc w:val="both"/>
        <w:rPr>
          <w:rFonts w:ascii="Arial" w:hAnsi="Arial" w:cs="Arial"/>
          <w:sz w:val="22"/>
        </w:rPr>
      </w:pPr>
      <w:r w:rsidRPr="004D2953">
        <w:rPr>
          <w:rFonts w:ascii="Arial" w:hAnsi="Arial" w:cs="Arial"/>
          <w:sz w:val="22"/>
        </w:rPr>
        <w:t>After receiv</w:t>
      </w:r>
      <w:r w:rsidR="007429D7" w:rsidRPr="004D2953">
        <w:rPr>
          <w:rFonts w:ascii="Arial" w:hAnsi="Arial" w:cs="Arial"/>
          <w:sz w:val="22"/>
        </w:rPr>
        <w:t xml:space="preserve">ing the </w:t>
      </w:r>
      <w:r w:rsidRPr="004D2953">
        <w:rPr>
          <w:rFonts w:ascii="Arial" w:hAnsi="Arial" w:cs="Arial"/>
          <w:sz w:val="22"/>
        </w:rPr>
        <w:t xml:space="preserve">observations and recommendations by DG AGRI, national authorities held </w:t>
      </w:r>
      <w:r w:rsidR="007429D7" w:rsidRPr="004D2953">
        <w:rPr>
          <w:rFonts w:ascii="Arial" w:hAnsi="Arial" w:cs="Arial"/>
          <w:sz w:val="22"/>
        </w:rPr>
        <w:t xml:space="preserve">a </w:t>
      </w:r>
      <w:r w:rsidRPr="004D2953">
        <w:rPr>
          <w:rFonts w:ascii="Arial" w:hAnsi="Arial" w:cs="Arial"/>
          <w:sz w:val="22"/>
        </w:rPr>
        <w:t>coordinative meeting with the Minister of Agriculture</w:t>
      </w:r>
      <w:r w:rsidR="007429D7" w:rsidRPr="004D2953">
        <w:rPr>
          <w:rFonts w:ascii="Arial" w:hAnsi="Arial" w:cs="Arial"/>
          <w:sz w:val="22"/>
        </w:rPr>
        <w:t>,</w:t>
      </w:r>
      <w:r w:rsidRPr="004D2953">
        <w:rPr>
          <w:rFonts w:ascii="Arial" w:hAnsi="Arial" w:cs="Arial"/>
          <w:sz w:val="22"/>
        </w:rPr>
        <w:t xml:space="preserve"> and for the purpose of </w:t>
      </w:r>
      <w:r w:rsidR="007429D7" w:rsidRPr="004D2953">
        <w:rPr>
          <w:rFonts w:ascii="Arial" w:hAnsi="Arial" w:cs="Arial"/>
          <w:sz w:val="22"/>
        </w:rPr>
        <w:t xml:space="preserve">a </w:t>
      </w:r>
      <w:r w:rsidRPr="004D2953">
        <w:rPr>
          <w:rFonts w:ascii="Arial" w:hAnsi="Arial" w:cs="Arial"/>
          <w:sz w:val="22"/>
        </w:rPr>
        <w:t>more efficient implementation of the process of entrustment and current implementation of the Programme</w:t>
      </w:r>
      <w:r w:rsidR="007429D7" w:rsidRPr="004D2953">
        <w:rPr>
          <w:rFonts w:ascii="Arial" w:hAnsi="Arial" w:cs="Arial"/>
          <w:sz w:val="22"/>
        </w:rPr>
        <w:t xml:space="preserve">, </w:t>
      </w:r>
      <w:r w:rsidRPr="004D2953">
        <w:rPr>
          <w:rFonts w:ascii="Arial" w:hAnsi="Arial" w:cs="Arial"/>
          <w:sz w:val="22"/>
        </w:rPr>
        <w:t>agreed to submit the revised package by mid</w:t>
      </w:r>
      <w:r w:rsidR="007429D7" w:rsidRPr="004D2953">
        <w:rPr>
          <w:rFonts w:ascii="Arial" w:hAnsi="Arial" w:cs="Arial"/>
          <w:sz w:val="22"/>
        </w:rPr>
        <w:t>-</w:t>
      </w:r>
      <w:r w:rsidRPr="004D2953">
        <w:rPr>
          <w:rFonts w:ascii="Arial" w:hAnsi="Arial" w:cs="Arial"/>
          <w:sz w:val="22"/>
        </w:rPr>
        <w:t>September 2019.</w:t>
      </w:r>
    </w:p>
    <w:p w:rsidR="003136C5" w:rsidRPr="004D2953" w:rsidRDefault="003136C5" w:rsidP="003136C5">
      <w:pPr>
        <w:autoSpaceDE w:val="0"/>
        <w:autoSpaceDN w:val="0"/>
        <w:adjustRightInd w:val="0"/>
        <w:jc w:val="both"/>
        <w:rPr>
          <w:rFonts w:ascii="Arial" w:hAnsi="Arial" w:cs="Arial"/>
          <w:sz w:val="22"/>
        </w:rPr>
      </w:pPr>
      <w:r w:rsidRPr="004D2953">
        <w:rPr>
          <w:rFonts w:ascii="Arial" w:hAnsi="Arial" w:cs="Arial"/>
          <w:sz w:val="22"/>
        </w:rPr>
        <w:t xml:space="preserve">The current status of the main issues presented in the </w:t>
      </w:r>
      <w:r w:rsidR="007429D7" w:rsidRPr="004D2953">
        <w:rPr>
          <w:rFonts w:ascii="Arial" w:hAnsi="Arial" w:cs="Arial"/>
          <w:sz w:val="22"/>
        </w:rPr>
        <w:t xml:space="preserve">DG AGRI </w:t>
      </w:r>
      <w:r w:rsidRPr="004D2953">
        <w:rPr>
          <w:rFonts w:ascii="Arial" w:hAnsi="Arial" w:cs="Arial"/>
          <w:sz w:val="22"/>
        </w:rPr>
        <w:t>letter is the following:</w:t>
      </w:r>
    </w:p>
    <w:p w:rsidR="003136C5" w:rsidRPr="004D2953" w:rsidRDefault="003136C5" w:rsidP="003136C5">
      <w:pPr>
        <w:autoSpaceDE w:val="0"/>
        <w:autoSpaceDN w:val="0"/>
        <w:adjustRightInd w:val="0"/>
        <w:ind w:firstLine="720"/>
        <w:jc w:val="both"/>
        <w:rPr>
          <w:rFonts w:ascii="Arial" w:hAnsi="Arial" w:cs="Arial"/>
          <w:sz w:val="22"/>
        </w:rPr>
      </w:pPr>
      <w:r w:rsidRPr="004D2953">
        <w:rPr>
          <w:rFonts w:ascii="Arial" w:hAnsi="Arial" w:cs="Arial"/>
          <w:sz w:val="22"/>
        </w:rPr>
        <w:t>1. The amendments o</w:t>
      </w:r>
      <w:r w:rsidR="007429D7" w:rsidRPr="004D2953">
        <w:rPr>
          <w:rFonts w:ascii="Arial" w:hAnsi="Arial" w:cs="Arial"/>
          <w:sz w:val="22"/>
        </w:rPr>
        <w:t>f</w:t>
      </w:r>
      <w:r w:rsidRPr="004D2953">
        <w:rPr>
          <w:rFonts w:ascii="Arial" w:hAnsi="Arial" w:cs="Arial"/>
          <w:sz w:val="22"/>
        </w:rPr>
        <w:t xml:space="preserve"> the Law on the </w:t>
      </w:r>
      <w:r w:rsidR="007429D7" w:rsidRPr="004D2953">
        <w:rPr>
          <w:rFonts w:ascii="Arial" w:hAnsi="Arial" w:cs="Arial"/>
          <w:sz w:val="22"/>
        </w:rPr>
        <w:t>E</w:t>
      </w:r>
      <w:r w:rsidRPr="004D2953">
        <w:rPr>
          <w:rFonts w:ascii="Arial" w:hAnsi="Arial" w:cs="Arial"/>
          <w:sz w:val="22"/>
        </w:rPr>
        <w:t>stablishment of the Agency, although planned to be adopted in March 2019, due to the presidential elections that are ongoing</w:t>
      </w:r>
      <w:r w:rsidR="00C449FE" w:rsidRPr="004D2953">
        <w:rPr>
          <w:rFonts w:ascii="Arial" w:hAnsi="Arial" w:cs="Arial"/>
          <w:sz w:val="22"/>
        </w:rPr>
        <w:t xml:space="preserve">, </w:t>
      </w:r>
      <w:r w:rsidRPr="004D2953">
        <w:rPr>
          <w:rFonts w:ascii="Arial" w:hAnsi="Arial" w:cs="Arial"/>
          <w:sz w:val="22"/>
        </w:rPr>
        <w:t xml:space="preserve">is postponed for May 2019. </w:t>
      </w:r>
    </w:p>
    <w:p w:rsidR="003136C5" w:rsidRPr="004D2953" w:rsidRDefault="003136C5" w:rsidP="00C449FE">
      <w:pPr>
        <w:autoSpaceDE w:val="0"/>
        <w:autoSpaceDN w:val="0"/>
        <w:adjustRightInd w:val="0"/>
        <w:ind w:firstLine="720"/>
        <w:jc w:val="both"/>
        <w:rPr>
          <w:rFonts w:ascii="Arial" w:hAnsi="Arial" w:cs="Arial"/>
          <w:sz w:val="22"/>
        </w:rPr>
      </w:pPr>
      <w:r w:rsidRPr="004D2953">
        <w:rPr>
          <w:rFonts w:ascii="Arial" w:hAnsi="Arial" w:cs="Arial"/>
          <w:sz w:val="22"/>
        </w:rPr>
        <w:t xml:space="preserve">2. Regarding the human resources capacities </w:t>
      </w:r>
      <w:r w:rsidR="00C449FE" w:rsidRPr="004D2953">
        <w:rPr>
          <w:rFonts w:ascii="Arial" w:hAnsi="Arial" w:cs="Arial"/>
          <w:sz w:val="22"/>
        </w:rPr>
        <w:t xml:space="preserve">a </w:t>
      </w:r>
      <w:r w:rsidRPr="004D2953">
        <w:rPr>
          <w:rFonts w:ascii="Arial" w:hAnsi="Arial" w:cs="Arial"/>
          <w:sz w:val="22"/>
        </w:rPr>
        <w:t xml:space="preserve">detailed elaboration is given under point 3 </w:t>
      </w:r>
      <w:r w:rsidR="00C449FE" w:rsidRPr="004D2953">
        <w:rPr>
          <w:rFonts w:ascii="Arial" w:hAnsi="Arial" w:cs="Arial"/>
          <w:sz w:val="22"/>
        </w:rPr>
        <w:t>–</w:t>
      </w:r>
      <w:r w:rsidRPr="004D2953">
        <w:rPr>
          <w:rFonts w:ascii="Arial" w:hAnsi="Arial" w:cs="Arial"/>
          <w:sz w:val="22"/>
        </w:rPr>
        <w:t xml:space="preserve"> IPARD Agency.</w:t>
      </w:r>
    </w:p>
    <w:p w:rsidR="003136C5" w:rsidRPr="004D2953" w:rsidRDefault="003136C5" w:rsidP="003136C5">
      <w:pPr>
        <w:autoSpaceDE w:val="0"/>
        <w:autoSpaceDN w:val="0"/>
        <w:adjustRightInd w:val="0"/>
        <w:ind w:firstLine="720"/>
        <w:jc w:val="both"/>
        <w:rPr>
          <w:rFonts w:ascii="Arial" w:hAnsi="Arial" w:cs="Arial"/>
          <w:sz w:val="22"/>
        </w:rPr>
      </w:pPr>
      <w:r w:rsidRPr="004D2953">
        <w:rPr>
          <w:rFonts w:ascii="Arial" w:hAnsi="Arial" w:cs="Arial"/>
          <w:sz w:val="22"/>
        </w:rPr>
        <w:t>3. Regarding the observations on the procedures, initial assessment on the EC recommendations was performed and appropriate activities shall be duly implemented in parallel with the capacity building activities.</w:t>
      </w:r>
    </w:p>
    <w:p w:rsidR="003136C5" w:rsidRPr="009C5096" w:rsidRDefault="003136C5" w:rsidP="003136C5">
      <w:pPr>
        <w:pStyle w:val="BodyText"/>
        <w:overflowPunct w:val="0"/>
        <w:autoSpaceDE w:val="0"/>
        <w:spacing w:before="120" w:line="100" w:lineRule="atLeast"/>
        <w:jc w:val="both"/>
        <w:textAlignment w:val="baseline"/>
        <w:rPr>
          <w:rFonts w:ascii="Arial" w:eastAsia="TimesNewRomanPS-BoldItalicMT" w:hAnsi="Arial" w:cs="Arial"/>
          <w:b/>
          <w:bCs/>
          <w:iCs/>
          <w:kern w:val="0"/>
          <w:sz w:val="22"/>
          <w:szCs w:val="22"/>
          <w:lang w:val="en-US" w:eastAsia="en-US" w:bidi="ar-SA"/>
        </w:rPr>
      </w:pPr>
      <w:r w:rsidRPr="009C5096">
        <w:rPr>
          <w:rFonts w:ascii="Arial" w:eastAsia="TimesNewRomanPS-BoldItalicMT" w:hAnsi="Arial" w:cs="Arial"/>
          <w:b/>
          <w:bCs/>
          <w:iCs/>
          <w:kern w:val="0"/>
          <w:sz w:val="22"/>
          <w:szCs w:val="22"/>
          <w:lang w:val="en-US" w:eastAsia="en-US" w:bidi="ar-SA"/>
        </w:rPr>
        <w:t>Implementation of the IPARD Programme and Absorption of IPA Funds</w:t>
      </w:r>
    </w:p>
    <w:p w:rsidR="003136C5" w:rsidRPr="004D2953" w:rsidRDefault="003136C5" w:rsidP="003136C5">
      <w:pPr>
        <w:autoSpaceDE w:val="0"/>
        <w:autoSpaceDN w:val="0"/>
        <w:adjustRightInd w:val="0"/>
        <w:jc w:val="both"/>
        <w:rPr>
          <w:rFonts w:ascii="Arial" w:hAnsi="Arial" w:cs="Arial"/>
          <w:sz w:val="22"/>
        </w:rPr>
      </w:pPr>
      <w:r w:rsidRPr="004D2953">
        <w:rPr>
          <w:rFonts w:ascii="Arial" w:hAnsi="Arial" w:cs="Arial"/>
          <w:sz w:val="22"/>
        </w:rPr>
        <w:t>The first public call under IPARD Programme 2014-2020 was closed in July 2017. Under this public call 1</w:t>
      </w:r>
      <w:r w:rsidR="000E1F7C" w:rsidRPr="004D2953">
        <w:rPr>
          <w:rFonts w:ascii="Arial" w:hAnsi="Arial" w:cs="Arial"/>
          <w:sz w:val="22"/>
        </w:rPr>
        <w:t>,</w:t>
      </w:r>
      <w:r w:rsidRPr="004D2953">
        <w:rPr>
          <w:rFonts w:ascii="Arial" w:hAnsi="Arial" w:cs="Arial"/>
          <w:sz w:val="22"/>
        </w:rPr>
        <w:t xml:space="preserve">648 applications were received. The contracting phase from the first public call under </w:t>
      </w:r>
      <w:r w:rsidR="000E1F7C" w:rsidRPr="004D2953">
        <w:rPr>
          <w:rFonts w:ascii="Arial" w:hAnsi="Arial" w:cs="Arial"/>
          <w:sz w:val="22"/>
        </w:rPr>
        <w:t xml:space="preserve">the </w:t>
      </w:r>
      <w:r w:rsidRPr="004D2953">
        <w:rPr>
          <w:rFonts w:ascii="Arial" w:hAnsi="Arial" w:cs="Arial"/>
          <w:sz w:val="22"/>
        </w:rPr>
        <w:t>IPARD Programme 2014-2020 is ongoing and u</w:t>
      </w:r>
      <w:r w:rsidR="000E1F7C" w:rsidRPr="004D2953">
        <w:rPr>
          <w:rFonts w:ascii="Arial" w:hAnsi="Arial" w:cs="Arial"/>
          <w:sz w:val="22"/>
        </w:rPr>
        <w:t xml:space="preserve">ntil </w:t>
      </w:r>
      <w:r w:rsidRPr="004D2953">
        <w:rPr>
          <w:rFonts w:ascii="Arial" w:hAnsi="Arial" w:cs="Arial"/>
          <w:sz w:val="22"/>
        </w:rPr>
        <w:t xml:space="preserve">31.03.2019 901 contracts </w:t>
      </w:r>
      <w:r w:rsidR="000E1F7C" w:rsidRPr="004D2953">
        <w:rPr>
          <w:rFonts w:ascii="Arial" w:hAnsi="Arial" w:cs="Arial"/>
          <w:sz w:val="22"/>
        </w:rPr>
        <w:t>were signed under M</w:t>
      </w:r>
      <w:r w:rsidRPr="004D2953">
        <w:rPr>
          <w:rFonts w:ascii="Arial" w:hAnsi="Arial" w:cs="Arial"/>
          <w:sz w:val="22"/>
        </w:rPr>
        <w:t xml:space="preserve">easure 1 in </w:t>
      </w:r>
      <w:r w:rsidR="000E1F7C" w:rsidRPr="004D2953">
        <w:rPr>
          <w:rFonts w:ascii="Arial" w:hAnsi="Arial" w:cs="Arial"/>
          <w:sz w:val="22"/>
        </w:rPr>
        <w:t xml:space="preserve">the </w:t>
      </w:r>
      <w:r w:rsidRPr="004D2953">
        <w:rPr>
          <w:rFonts w:ascii="Arial" w:hAnsi="Arial" w:cs="Arial"/>
          <w:sz w:val="22"/>
        </w:rPr>
        <w:t xml:space="preserve">amount of 10,719,321.00 ЕUR (IPA + NKF), 31 contracts </w:t>
      </w:r>
      <w:r w:rsidR="000E1F7C" w:rsidRPr="004D2953">
        <w:rPr>
          <w:rFonts w:ascii="Arial" w:hAnsi="Arial" w:cs="Arial"/>
          <w:sz w:val="22"/>
        </w:rPr>
        <w:lastRenderedPageBreak/>
        <w:t xml:space="preserve">were signed under Measure 3 </w:t>
      </w:r>
      <w:r w:rsidRPr="004D2953">
        <w:rPr>
          <w:rFonts w:ascii="Arial" w:hAnsi="Arial" w:cs="Arial"/>
          <w:sz w:val="22"/>
        </w:rPr>
        <w:t xml:space="preserve">in </w:t>
      </w:r>
      <w:r w:rsidR="000E1F7C" w:rsidRPr="004D2953">
        <w:rPr>
          <w:rFonts w:ascii="Arial" w:hAnsi="Arial" w:cs="Arial"/>
          <w:sz w:val="22"/>
        </w:rPr>
        <w:t xml:space="preserve">the </w:t>
      </w:r>
      <w:r w:rsidRPr="004D2953">
        <w:rPr>
          <w:rFonts w:ascii="Arial" w:hAnsi="Arial" w:cs="Arial"/>
          <w:sz w:val="22"/>
        </w:rPr>
        <w:t xml:space="preserve">amount of 6,621,696.00 ЕUR (IPA + NKF) and </w:t>
      </w:r>
      <w:r w:rsidR="000E1F7C" w:rsidRPr="004D2953">
        <w:rPr>
          <w:rFonts w:ascii="Arial" w:hAnsi="Arial" w:cs="Arial"/>
          <w:sz w:val="22"/>
        </w:rPr>
        <w:t>under Me</w:t>
      </w:r>
      <w:r w:rsidRPr="004D2953">
        <w:rPr>
          <w:rFonts w:ascii="Arial" w:hAnsi="Arial" w:cs="Arial"/>
          <w:sz w:val="22"/>
        </w:rPr>
        <w:t xml:space="preserve">asure 7 </w:t>
      </w:r>
      <w:r w:rsidR="000E1F7C" w:rsidRPr="004D2953">
        <w:rPr>
          <w:rFonts w:ascii="Arial" w:hAnsi="Arial" w:cs="Arial"/>
          <w:sz w:val="22"/>
        </w:rPr>
        <w:t xml:space="preserve">there were </w:t>
      </w:r>
      <w:r w:rsidRPr="004D2953">
        <w:rPr>
          <w:rFonts w:ascii="Arial" w:hAnsi="Arial" w:cs="Arial"/>
          <w:sz w:val="22"/>
        </w:rPr>
        <w:t xml:space="preserve">22 projects in </w:t>
      </w:r>
      <w:r w:rsidR="000E1F7C" w:rsidRPr="004D2953">
        <w:rPr>
          <w:rFonts w:ascii="Arial" w:hAnsi="Arial" w:cs="Arial"/>
          <w:sz w:val="22"/>
        </w:rPr>
        <w:t xml:space="preserve">the </w:t>
      </w:r>
      <w:r w:rsidRPr="004D2953">
        <w:rPr>
          <w:rFonts w:ascii="Arial" w:hAnsi="Arial" w:cs="Arial"/>
          <w:sz w:val="22"/>
        </w:rPr>
        <w:t>amount of 5,866,064.75 ЕUR (IPA + NKF).</w:t>
      </w:r>
    </w:p>
    <w:p w:rsidR="003136C5" w:rsidRPr="004D2953" w:rsidRDefault="003136C5" w:rsidP="003136C5">
      <w:pPr>
        <w:autoSpaceDE w:val="0"/>
        <w:autoSpaceDN w:val="0"/>
        <w:adjustRightInd w:val="0"/>
        <w:jc w:val="both"/>
        <w:rPr>
          <w:rFonts w:ascii="Arial" w:hAnsi="Arial" w:cs="Arial"/>
          <w:sz w:val="22"/>
        </w:rPr>
      </w:pPr>
      <w:r w:rsidRPr="004D2953">
        <w:rPr>
          <w:rFonts w:ascii="Arial" w:hAnsi="Arial" w:cs="Arial"/>
          <w:sz w:val="22"/>
        </w:rPr>
        <w:t xml:space="preserve">During December 2018 two public calls were published for </w:t>
      </w:r>
      <w:r w:rsidR="000E1F7C" w:rsidRPr="004D2953">
        <w:rPr>
          <w:rFonts w:ascii="Arial" w:hAnsi="Arial" w:cs="Arial"/>
          <w:sz w:val="22"/>
        </w:rPr>
        <w:t>M</w:t>
      </w:r>
      <w:r w:rsidRPr="004D2953">
        <w:rPr>
          <w:rFonts w:ascii="Arial" w:hAnsi="Arial" w:cs="Arial"/>
          <w:sz w:val="22"/>
        </w:rPr>
        <w:t xml:space="preserve">easure 1 and </w:t>
      </w:r>
      <w:r w:rsidR="000E1F7C" w:rsidRPr="004D2953">
        <w:rPr>
          <w:rFonts w:ascii="Arial" w:hAnsi="Arial" w:cs="Arial"/>
          <w:sz w:val="22"/>
        </w:rPr>
        <w:t>M</w:t>
      </w:r>
      <w:r w:rsidRPr="004D2953">
        <w:rPr>
          <w:rFonts w:ascii="Arial" w:hAnsi="Arial" w:cs="Arial"/>
          <w:sz w:val="22"/>
        </w:rPr>
        <w:t>easure 3. Under th</w:t>
      </w:r>
      <w:r w:rsidR="000E1F7C" w:rsidRPr="004D2953">
        <w:rPr>
          <w:rFonts w:ascii="Arial" w:hAnsi="Arial" w:cs="Arial"/>
          <w:sz w:val="22"/>
        </w:rPr>
        <w:t xml:space="preserve">ese </w:t>
      </w:r>
      <w:r w:rsidRPr="004D2953">
        <w:rPr>
          <w:rFonts w:ascii="Arial" w:hAnsi="Arial" w:cs="Arial"/>
          <w:sz w:val="22"/>
        </w:rPr>
        <w:t>public calls</w:t>
      </w:r>
      <w:r w:rsidR="000E1F7C" w:rsidRPr="004D2953">
        <w:rPr>
          <w:rFonts w:ascii="Arial" w:hAnsi="Arial" w:cs="Arial"/>
          <w:sz w:val="22"/>
        </w:rPr>
        <w:t xml:space="preserve"> </w:t>
      </w:r>
      <w:r w:rsidRPr="004D2953">
        <w:rPr>
          <w:rFonts w:ascii="Arial" w:hAnsi="Arial" w:cs="Arial"/>
          <w:sz w:val="22"/>
        </w:rPr>
        <w:t>1</w:t>
      </w:r>
      <w:r w:rsidR="000E1F7C" w:rsidRPr="004D2953">
        <w:rPr>
          <w:rFonts w:ascii="Arial" w:hAnsi="Arial" w:cs="Arial"/>
          <w:sz w:val="22"/>
        </w:rPr>
        <w:t>,</w:t>
      </w:r>
      <w:r w:rsidRPr="004D2953">
        <w:rPr>
          <w:rFonts w:ascii="Arial" w:hAnsi="Arial" w:cs="Arial"/>
          <w:sz w:val="22"/>
        </w:rPr>
        <w:t xml:space="preserve">164 applications were received (1099 under </w:t>
      </w:r>
      <w:r w:rsidR="000E1F7C" w:rsidRPr="004D2953">
        <w:rPr>
          <w:rFonts w:ascii="Arial" w:hAnsi="Arial" w:cs="Arial"/>
          <w:sz w:val="22"/>
        </w:rPr>
        <w:t>M</w:t>
      </w:r>
      <w:r w:rsidRPr="004D2953">
        <w:rPr>
          <w:rFonts w:ascii="Arial" w:hAnsi="Arial" w:cs="Arial"/>
          <w:sz w:val="22"/>
        </w:rPr>
        <w:t xml:space="preserve">easure 1 and 65 under </w:t>
      </w:r>
      <w:r w:rsidR="000E1F7C" w:rsidRPr="004D2953">
        <w:rPr>
          <w:rFonts w:ascii="Arial" w:hAnsi="Arial" w:cs="Arial"/>
          <w:sz w:val="22"/>
        </w:rPr>
        <w:t>M</w:t>
      </w:r>
      <w:r w:rsidRPr="004D2953">
        <w:rPr>
          <w:rFonts w:ascii="Arial" w:hAnsi="Arial" w:cs="Arial"/>
          <w:sz w:val="22"/>
        </w:rPr>
        <w:t xml:space="preserve">easure 3). </w:t>
      </w:r>
    </w:p>
    <w:p w:rsidR="003136C5" w:rsidRPr="004D2953" w:rsidRDefault="003136C5" w:rsidP="003136C5">
      <w:pPr>
        <w:autoSpaceDE w:val="0"/>
        <w:autoSpaceDN w:val="0"/>
        <w:adjustRightInd w:val="0"/>
        <w:jc w:val="both"/>
        <w:rPr>
          <w:rFonts w:ascii="Arial" w:hAnsi="Arial" w:cs="Arial"/>
          <w:sz w:val="22"/>
        </w:rPr>
      </w:pPr>
      <w:r w:rsidRPr="004D2953">
        <w:rPr>
          <w:rFonts w:ascii="Arial" w:hAnsi="Arial" w:cs="Arial"/>
          <w:sz w:val="22"/>
        </w:rPr>
        <w:t xml:space="preserve">For </w:t>
      </w:r>
      <w:r w:rsidR="000E1F7C" w:rsidRPr="004D2953">
        <w:rPr>
          <w:rFonts w:ascii="Arial" w:hAnsi="Arial" w:cs="Arial"/>
          <w:sz w:val="22"/>
        </w:rPr>
        <w:t>M</w:t>
      </w:r>
      <w:r w:rsidRPr="004D2953">
        <w:rPr>
          <w:rFonts w:ascii="Arial" w:hAnsi="Arial" w:cs="Arial"/>
          <w:sz w:val="22"/>
        </w:rPr>
        <w:t xml:space="preserve">easure 9 (Technical Assistance) </w:t>
      </w:r>
      <w:r w:rsidR="000E1F7C" w:rsidRPr="004D2953">
        <w:rPr>
          <w:rFonts w:ascii="Arial" w:hAnsi="Arial" w:cs="Arial"/>
          <w:sz w:val="22"/>
        </w:rPr>
        <w:t xml:space="preserve">there </w:t>
      </w:r>
      <w:r w:rsidRPr="004D2953">
        <w:rPr>
          <w:rFonts w:ascii="Arial" w:hAnsi="Arial" w:cs="Arial"/>
          <w:sz w:val="22"/>
        </w:rPr>
        <w:t xml:space="preserve">are 11 applications </w:t>
      </w:r>
      <w:r w:rsidR="000E1F7C" w:rsidRPr="004D2953">
        <w:rPr>
          <w:rFonts w:ascii="Arial" w:hAnsi="Arial" w:cs="Arial"/>
          <w:sz w:val="22"/>
        </w:rPr>
        <w:t xml:space="preserve">submitted </w:t>
      </w:r>
      <w:r w:rsidRPr="004D2953">
        <w:rPr>
          <w:rFonts w:ascii="Arial" w:hAnsi="Arial" w:cs="Arial"/>
          <w:sz w:val="22"/>
        </w:rPr>
        <w:t xml:space="preserve">to the IPARD Agency, </w:t>
      </w:r>
      <w:r w:rsidR="000E1F7C" w:rsidRPr="004D2953">
        <w:rPr>
          <w:rFonts w:ascii="Arial" w:hAnsi="Arial" w:cs="Arial"/>
          <w:sz w:val="22"/>
        </w:rPr>
        <w:t xml:space="preserve">out of </w:t>
      </w:r>
      <w:r w:rsidRPr="004D2953">
        <w:rPr>
          <w:rFonts w:ascii="Arial" w:hAnsi="Arial" w:cs="Arial"/>
          <w:sz w:val="22"/>
        </w:rPr>
        <w:t xml:space="preserve">which </w:t>
      </w:r>
      <w:r w:rsidR="000E1F7C" w:rsidRPr="004D2953">
        <w:rPr>
          <w:rFonts w:ascii="Arial" w:hAnsi="Arial" w:cs="Arial"/>
          <w:sz w:val="22"/>
        </w:rPr>
        <w:t xml:space="preserve">contracts were signed for </w:t>
      </w:r>
      <w:r w:rsidRPr="004D2953">
        <w:rPr>
          <w:rFonts w:ascii="Arial" w:hAnsi="Arial" w:cs="Arial"/>
          <w:sz w:val="22"/>
        </w:rPr>
        <w:t xml:space="preserve">9 projects in </w:t>
      </w:r>
      <w:r w:rsidR="000E1F7C" w:rsidRPr="004D2953">
        <w:rPr>
          <w:rFonts w:ascii="Arial" w:hAnsi="Arial" w:cs="Arial"/>
          <w:sz w:val="22"/>
        </w:rPr>
        <w:t xml:space="preserve">the </w:t>
      </w:r>
      <w:r w:rsidRPr="004D2953">
        <w:rPr>
          <w:rFonts w:ascii="Arial" w:hAnsi="Arial" w:cs="Arial"/>
          <w:sz w:val="22"/>
        </w:rPr>
        <w:t xml:space="preserve">amount of 149,000.02 EUR and </w:t>
      </w:r>
      <w:r w:rsidR="000E1F7C" w:rsidRPr="004D2953">
        <w:rPr>
          <w:rFonts w:ascii="Arial" w:hAnsi="Arial" w:cs="Arial"/>
          <w:sz w:val="22"/>
        </w:rPr>
        <w:t xml:space="preserve">under </w:t>
      </w:r>
      <w:r w:rsidRPr="004D2953">
        <w:rPr>
          <w:rFonts w:ascii="Arial" w:hAnsi="Arial" w:cs="Arial"/>
          <w:sz w:val="22"/>
        </w:rPr>
        <w:t xml:space="preserve">3 contracts </w:t>
      </w:r>
      <w:r w:rsidR="000E1F7C" w:rsidRPr="004D2953">
        <w:rPr>
          <w:rFonts w:ascii="Arial" w:hAnsi="Arial" w:cs="Arial"/>
          <w:sz w:val="22"/>
        </w:rPr>
        <w:t xml:space="preserve">an </w:t>
      </w:r>
      <w:r w:rsidRPr="004D2953">
        <w:rPr>
          <w:rFonts w:ascii="Arial" w:hAnsi="Arial" w:cs="Arial"/>
          <w:sz w:val="22"/>
        </w:rPr>
        <w:t>amount of 4,512.35 ЕUR (IPA + NKF)</w:t>
      </w:r>
      <w:r w:rsidR="000E1F7C" w:rsidRPr="004D2953">
        <w:rPr>
          <w:rFonts w:ascii="Arial" w:hAnsi="Arial" w:cs="Arial"/>
          <w:sz w:val="22"/>
        </w:rPr>
        <w:t xml:space="preserve"> was paid.</w:t>
      </w:r>
    </w:p>
    <w:p w:rsidR="003136C5" w:rsidRPr="009C5096" w:rsidRDefault="003136C5" w:rsidP="003136C5">
      <w:pPr>
        <w:autoSpaceDE w:val="0"/>
        <w:autoSpaceDN w:val="0"/>
        <w:adjustRightInd w:val="0"/>
        <w:jc w:val="both"/>
        <w:rPr>
          <w:rFonts w:ascii="Arial" w:hAnsi="Arial" w:cs="Arial"/>
        </w:rPr>
      </w:pPr>
    </w:p>
    <w:p w:rsidR="003136C5" w:rsidRPr="009C5096" w:rsidRDefault="003136C5" w:rsidP="003136C5">
      <w:pPr>
        <w:widowControl w:val="0"/>
        <w:suppressAutoHyphens/>
        <w:spacing w:after="120"/>
        <w:jc w:val="both"/>
        <w:rPr>
          <w:rFonts w:ascii="Arial" w:hAnsi="Arial" w:cs="Arial"/>
          <w:b/>
          <w:bCs/>
          <w:i/>
          <w:iCs/>
          <w:u w:val="single"/>
        </w:rPr>
      </w:pPr>
      <w:r w:rsidRPr="009C5096">
        <w:rPr>
          <w:rFonts w:ascii="Arial" w:hAnsi="Arial" w:cs="Arial"/>
          <w:b/>
          <w:bCs/>
          <w:i/>
          <w:iCs/>
          <w:u w:val="single"/>
        </w:rPr>
        <w:t>Financial management</w:t>
      </w:r>
    </w:p>
    <w:p w:rsidR="003136C5" w:rsidRPr="004D2953" w:rsidRDefault="003136C5" w:rsidP="003136C5">
      <w:pPr>
        <w:overflowPunct w:val="0"/>
        <w:autoSpaceDE w:val="0"/>
        <w:spacing w:after="240" w:line="100" w:lineRule="atLeast"/>
        <w:jc w:val="both"/>
        <w:textAlignment w:val="baseline"/>
        <w:rPr>
          <w:rFonts w:ascii="Arial" w:hAnsi="Arial" w:cs="Arial"/>
          <w:sz w:val="22"/>
        </w:rPr>
      </w:pPr>
      <w:r w:rsidRPr="004D2953">
        <w:rPr>
          <w:rFonts w:ascii="Arial" w:hAnsi="Arial" w:cs="Arial"/>
          <w:sz w:val="22"/>
        </w:rPr>
        <w:t xml:space="preserve">Regarding the financial management of Community funds, the activities were regularly performed according to the regulations and adopted procedures. </w:t>
      </w:r>
      <w:r w:rsidR="008E2A69" w:rsidRPr="004D2953">
        <w:rPr>
          <w:rFonts w:ascii="Arial" w:hAnsi="Arial" w:cs="Arial"/>
          <w:sz w:val="22"/>
        </w:rPr>
        <w:t>Unt</w:t>
      </w:r>
      <w:r w:rsidRPr="004D2953">
        <w:rPr>
          <w:rFonts w:ascii="Arial" w:hAnsi="Arial" w:cs="Arial"/>
          <w:sz w:val="22"/>
        </w:rPr>
        <w:t>ill 23</w:t>
      </w:r>
      <w:r w:rsidRPr="004D2953">
        <w:rPr>
          <w:rFonts w:ascii="Arial" w:hAnsi="Arial" w:cs="Arial"/>
          <w:sz w:val="22"/>
          <w:vertAlign w:val="superscript"/>
        </w:rPr>
        <w:t>rd</w:t>
      </w:r>
      <w:r w:rsidRPr="004D2953">
        <w:rPr>
          <w:rFonts w:ascii="Arial" w:hAnsi="Arial" w:cs="Arial"/>
          <w:sz w:val="22"/>
        </w:rPr>
        <w:t xml:space="preserve"> April 2019 the executed payments for Community contribution amount</w:t>
      </w:r>
      <w:r w:rsidR="008E2A69" w:rsidRPr="004D2953">
        <w:rPr>
          <w:rFonts w:ascii="Arial" w:hAnsi="Arial" w:cs="Arial"/>
          <w:sz w:val="22"/>
        </w:rPr>
        <w:t xml:space="preserve">ed to </w:t>
      </w:r>
      <w:r w:rsidRPr="004D2953">
        <w:rPr>
          <w:rFonts w:ascii="Arial" w:hAnsi="Arial" w:cs="Arial"/>
          <w:sz w:val="22"/>
        </w:rPr>
        <w:t>1</w:t>
      </w:r>
      <w:r w:rsidR="008E2A69" w:rsidRPr="004D2953">
        <w:rPr>
          <w:rFonts w:ascii="Arial" w:hAnsi="Arial" w:cs="Arial"/>
          <w:sz w:val="22"/>
        </w:rPr>
        <w:t>,</w:t>
      </w:r>
      <w:r w:rsidRPr="004D2953">
        <w:rPr>
          <w:rFonts w:ascii="Arial" w:hAnsi="Arial" w:cs="Arial"/>
          <w:sz w:val="22"/>
        </w:rPr>
        <w:t>675</w:t>
      </w:r>
      <w:r w:rsidR="008E2A69" w:rsidRPr="004D2953">
        <w:rPr>
          <w:rFonts w:ascii="Arial" w:hAnsi="Arial" w:cs="Arial"/>
          <w:sz w:val="22"/>
        </w:rPr>
        <w:t>,</w:t>
      </w:r>
      <w:r w:rsidRPr="004D2953">
        <w:rPr>
          <w:rFonts w:ascii="Arial" w:hAnsi="Arial" w:cs="Arial"/>
          <w:sz w:val="22"/>
        </w:rPr>
        <w:t>412</w:t>
      </w:r>
      <w:r w:rsidR="008E2A69" w:rsidRPr="004D2953">
        <w:rPr>
          <w:rFonts w:ascii="Arial" w:hAnsi="Arial" w:cs="Arial"/>
          <w:sz w:val="22"/>
        </w:rPr>
        <w:t>.</w:t>
      </w:r>
      <w:r w:rsidRPr="004D2953">
        <w:rPr>
          <w:rFonts w:ascii="Arial" w:hAnsi="Arial" w:cs="Arial"/>
          <w:sz w:val="22"/>
        </w:rPr>
        <w:t>01 EUR.</w:t>
      </w:r>
      <w:r w:rsidR="00DA409C" w:rsidRPr="004D2953">
        <w:rPr>
          <w:rFonts w:ascii="Arial" w:hAnsi="Arial" w:cs="Arial"/>
          <w:sz w:val="22"/>
        </w:rPr>
        <w:t xml:space="preserve"> </w:t>
      </w:r>
      <w:r w:rsidRPr="004D2953">
        <w:rPr>
          <w:rFonts w:ascii="Arial" w:hAnsi="Arial" w:cs="Arial"/>
          <w:sz w:val="22"/>
        </w:rPr>
        <w:t>Declarations of Expenditures that serve as Payment Applications were submitted for each quarter of 2018</w:t>
      </w:r>
      <w:r w:rsidR="008E2A69" w:rsidRPr="004D2953">
        <w:rPr>
          <w:rFonts w:ascii="Arial" w:hAnsi="Arial" w:cs="Arial"/>
          <w:sz w:val="22"/>
        </w:rPr>
        <w:t xml:space="preserve">, as well as </w:t>
      </w:r>
      <w:r w:rsidRPr="004D2953">
        <w:rPr>
          <w:rFonts w:ascii="Arial" w:hAnsi="Arial" w:cs="Arial"/>
          <w:sz w:val="22"/>
        </w:rPr>
        <w:t xml:space="preserve">for </w:t>
      </w:r>
      <w:r w:rsidR="008E2A69" w:rsidRPr="004D2953">
        <w:rPr>
          <w:rFonts w:ascii="Arial" w:hAnsi="Arial" w:cs="Arial"/>
          <w:sz w:val="22"/>
        </w:rPr>
        <w:t xml:space="preserve">the </w:t>
      </w:r>
      <w:r w:rsidRPr="004D2953">
        <w:rPr>
          <w:rFonts w:ascii="Arial" w:hAnsi="Arial" w:cs="Arial"/>
          <w:sz w:val="22"/>
        </w:rPr>
        <w:t xml:space="preserve">first quarter of 2019 in line with set deadlines. </w:t>
      </w:r>
      <w:r w:rsidR="008E2A69" w:rsidRPr="004D2953">
        <w:rPr>
          <w:rFonts w:ascii="Arial" w:hAnsi="Arial" w:cs="Arial"/>
          <w:sz w:val="22"/>
        </w:rPr>
        <w:t>The d</w:t>
      </w:r>
      <w:r w:rsidRPr="004D2953">
        <w:rPr>
          <w:rFonts w:ascii="Arial" w:hAnsi="Arial" w:cs="Arial"/>
          <w:sz w:val="22"/>
        </w:rPr>
        <w:t xml:space="preserve">eclared </w:t>
      </w:r>
      <w:r w:rsidR="008E2A69" w:rsidRPr="004D2953">
        <w:rPr>
          <w:rFonts w:ascii="Arial" w:hAnsi="Arial" w:cs="Arial"/>
          <w:sz w:val="22"/>
        </w:rPr>
        <w:t>a</w:t>
      </w:r>
      <w:r w:rsidRPr="004D2953">
        <w:rPr>
          <w:rFonts w:ascii="Arial" w:hAnsi="Arial" w:cs="Arial"/>
          <w:sz w:val="22"/>
        </w:rPr>
        <w:t xml:space="preserve">mount of Community contribution is 1,395,735.77 EUR. The payment applications were regularly sent through SFC 2014 by </w:t>
      </w:r>
      <w:r w:rsidR="008E2A69" w:rsidRPr="004D2953">
        <w:rPr>
          <w:rFonts w:ascii="Arial" w:hAnsi="Arial" w:cs="Arial"/>
          <w:sz w:val="22"/>
        </w:rPr>
        <w:t xml:space="preserve">the </w:t>
      </w:r>
      <w:r w:rsidRPr="004D2953">
        <w:rPr>
          <w:rFonts w:ascii="Arial" w:hAnsi="Arial" w:cs="Arial"/>
          <w:sz w:val="22"/>
        </w:rPr>
        <w:t xml:space="preserve">National Fund. All transactions made on the NF bank accounts were properly recorded in the </w:t>
      </w:r>
      <w:r w:rsidR="008E2A69" w:rsidRPr="004D2953">
        <w:rPr>
          <w:rFonts w:ascii="Arial" w:hAnsi="Arial" w:cs="Arial"/>
          <w:sz w:val="22"/>
        </w:rPr>
        <w:t xml:space="preserve">NF </w:t>
      </w:r>
      <w:r w:rsidRPr="004D2953">
        <w:rPr>
          <w:rFonts w:ascii="Arial" w:hAnsi="Arial" w:cs="Arial"/>
          <w:sz w:val="22"/>
        </w:rPr>
        <w:t xml:space="preserve">accounting system. </w:t>
      </w:r>
    </w:p>
    <w:p w:rsidR="003136C5" w:rsidRPr="009C5096" w:rsidRDefault="003136C5" w:rsidP="003136C5">
      <w:pPr>
        <w:widowControl w:val="0"/>
        <w:suppressAutoHyphens/>
        <w:spacing w:after="120"/>
        <w:jc w:val="both"/>
        <w:rPr>
          <w:rFonts w:ascii="Arial" w:hAnsi="Arial" w:cs="Arial"/>
          <w:b/>
          <w:bCs/>
          <w:i/>
          <w:iCs/>
          <w:u w:val="single"/>
        </w:rPr>
      </w:pPr>
      <w:r w:rsidRPr="009C5096">
        <w:rPr>
          <w:rFonts w:ascii="Arial" w:hAnsi="Arial" w:cs="Arial"/>
          <w:b/>
          <w:bCs/>
          <w:i/>
          <w:iCs/>
          <w:u w:val="single"/>
        </w:rPr>
        <w:t>Calculation of De-commitment of funds</w:t>
      </w:r>
    </w:p>
    <w:p w:rsidR="003136C5" w:rsidRPr="004D2953" w:rsidRDefault="008E2A69" w:rsidP="003136C5">
      <w:pPr>
        <w:overflowPunct w:val="0"/>
        <w:autoSpaceDE w:val="0"/>
        <w:spacing w:after="240" w:line="100" w:lineRule="atLeast"/>
        <w:jc w:val="both"/>
        <w:textAlignment w:val="baseline"/>
        <w:rPr>
          <w:rFonts w:ascii="Arial" w:hAnsi="Arial" w:cs="Arial"/>
          <w:sz w:val="22"/>
        </w:rPr>
      </w:pPr>
      <w:r w:rsidRPr="004D2953">
        <w:rPr>
          <w:rFonts w:ascii="Arial" w:hAnsi="Arial" w:cs="Arial"/>
          <w:sz w:val="22"/>
        </w:rPr>
        <w:t xml:space="preserve">When </w:t>
      </w:r>
      <w:r w:rsidR="003136C5" w:rsidRPr="004D2953">
        <w:rPr>
          <w:rFonts w:ascii="Arial" w:eastAsia="TimesNewRomanPS-BoldItalicMT" w:hAnsi="Arial" w:cs="Arial"/>
          <w:sz w:val="22"/>
        </w:rPr>
        <w:t>calculati</w:t>
      </w:r>
      <w:r w:rsidRPr="004D2953">
        <w:rPr>
          <w:rFonts w:ascii="Arial" w:eastAsia="TimesNewRomanPS-BoldItalicMT" w:hAnsi="Arial" w:cs="Arial"/>
          <w:sz w:val="22"/>
        </w:rPr>
        <w:t xml:space="preserve">ng </w:t>
      </w:r>
      <w:r w:rsidR="003136C5" w:rsidRPr="004D2953">
        <w:rPr>
          <w:rFonts w:ascii="Arial" w:hAnsi="Arial" w:cs="Arial"/>
          <w:sz w:val="22"/>
        </w:rPr>
        <w:t>the potential risk of de-commitment</w:t>
      </w:r>
      <w:r w:rsidRPr="004D2953">
        <w:rPr>
          <w:rFonts w:ascii="Arial" w:hAnsi="Arial" w:cs="Arial"/>
          <w:sz w:val="22"/>
        </w:rPr>
        <w:t>,</w:t>
      </w:r>
      <w:r w:rsidR="003136C5" w:rsidRPr="004D2953">
        <w:rPr>
          <w:rFonts w:ascii="Arial" w:hAnsi="Arial" w:cs="Arial"/>
          <w:sz w:val="22"/>
        </w:rPr>
        <w:t xml:space="preserve"> the following inputs/</w:t>
      </w:r>
      <w:r w:rsidRPr="004D2953">
        <w:rPr>
          <w:rFonts w:ascii="Arial" w:hAnsi="Arial" w:cs="Arial"/>
          <w:sz w:val="22"/>
        </w:rPr>
        <w:t xml:space="preserve"> </w:t>
      </w:r>
      <w:r w:rsidR="003136C5" w:rsidRPr="004D2953">
        <w:rPr>
          <w:rFonts w:ascii="Arial" w:hAnsi="Arial" w:cs="Arial"/>
          <w:sz w:val="22"/>
        </w:rPr>
        <w:t xml:space="preserve">assumptions have been taken into consideration: </w:t>
      </w:r>
    </w:p>
    <w:p w:rsidR="003136C5" w:rsidRPr="004D2953" w:rsidRDefault="003136C5" w:rsidP="003136C5">
      <w:pPr>
        <w:widowControl w:val="0"/>
        <w:numPr>
          <w:ilvl w:val="0"/>
          <w:numId w:val="17"/>
        </w:numPr>
        <w:tabs>
          <w:tab w:val="clear" w:pos="0"/>
          <w:tab w:val="num" w:pos="720"/>
        </w:tabs>
        <w:suppressAutoHyphens/>
        <w:spacing w:after="120"/>
        <w:ind w:left="1003" w:hanging="357"/>
        <w:jc w:val="both"/>
        <w:rPr>
          <w:rFonts w:ascii="Arial" w:hAnsi="Arial" w:cs="Arial"/>
          <w:sz w:val="22"/>
        </w:rPr>
      </w:pPr>
      <w:r w:rsidRPr="004D2953">
        <w:rPr>
          <w:rFonts w:ascii="Arial" w:hAnsi="Arial" w:cs="Arial"/>
          <w:sz w:val="22"/>
        </w:rPr>
        <w:t xml:space="preserve">Total IPA allocations 2014-2016 are </w:t>
      </w:r>
      <w:r w:rsidRPr="004D2953">
        <w:rPr>
          <w:rFonts w:ascii="Arial" w:hAnsi="Arial" w:cs="Arial"/>
          <w:sz w:val="22"/>
          <w:lang w:eastAsia="mk-MK"/>
        </w:rPr>
        <w:t>15,000,000</w:t>
      </w:r>
      <w:r w:rsidRPr="004D2953">
        <w:rPr>
          <w:rFonts w:ascii="Arial" w:hAnsi="Arial" w:cs="Arial"/>
          <w:sz w:val="22"/>
        </w:rPr>
        <w:t>.00 EUR;</w:t>
      </w:r>
    </w:p>
    <w:p w:rsidR="003136C5" w:rsidRPr="004D2953" w:rsidRDefault="003136C5" w:rsidP="003136C5">
      <w:pPr>
        <w:widowControl w:val="0"/>
        <w:numPr>
          <w:ilvl w:val="0"/>
          <w:numId w:val="17"/>
        </w:numPr>
        <w:tabs>
          <w:tab w:val="clear" w:pos="0"/>
          <w:tab w:val="num" w:pos="720"/>
        </w:tabs>
        <w:suppressAutoHyphens/>
        <w:spacing w:after="120"/>
        <w:ind w:left="1003" w:hanging="357"/>
        <w:jc w:val="both"/>
        <w:rPr>
          <w:rFonts w:ascii="Arial" w:hAnsi="Arial" w:cs="Arial"/>
          <w:sz w:val="22"/>
        </w:rPr>
      </w:pPr>
      <w:r w:rsidRPr="004D2953">
        <w:rPr>
          <w:rFonts w:ascii="Arial" w:hAnsi="Arial" w:cs="Arial"/>
          <w:sz w:val="22"/>
        </w:rPr>
        <w:t>Received pre-financing is 6,300,000.00 EUR;</w:t>
      </w:r>
    </w:p>
    <w:p w:rsidR="003136C5" w:rsidRPr="004D2953" w:rsidRDefault="003136C5" w:rsidP="003136C5">
      <w:pPr>
        <w:widowControl w:val="0"/>
        <w:numPr>
          <w:ilvl w:val="0"/>
          <w:numId w:val="17"/>
        </w:numPr>
        <w:tabs>
          <w:tab w:val="clear" w:pos="0"/>
          <w:tab w:val="num" w:pos="720"/>
        </w:tabs>
        <w:suppressAutoHyphens/>
        <w:spacing w:after="120"/>
        <w:ind w:left="1003" w:hanging="357"/>
        <w:jc w:val="both"/>
        <w:rPr>
          <w:rFonts w:ascii="Arial" w:hAnsi="Arial" w:cs="Arial"/>
          <w:sz w:val="22"/>
        </w:rPr>
      </w:pPr>
      <w:r w:rsidRPr="004D2953">
        <w:rPr>
          <w:rFonts w:ascii="Arial" w:hAnsi="Arial" w:cs="Arial"/>
          <w:sz w:val="22"/>
        </w:rPr>
        <w:t xml:space="preserve">Amount planned to be paid in 2019 is </w:t>
      </w:r>
      <w:r w:rsidRPr="004D2953">
        <w:rPr>
          <w:rFonts w:ascii="Arial" w:hAnsi="Arial" w:cs="Arial"/>
          <w:sz w:val="22"/>
          <w:lang w:eastAsia="mk-MK"/>
        </w:rPr>
        <w:t>11</w:t>
      </w:r>
      <w:r w:rsidR="00ED546F" w:rsidRPr="004D2953">
        <w:rPr>
          <w:rFonts w:ascii="Arial" w:hAnsi="Arial" w:cs="Arial"/>
          <w:sz w:val="22"/>
          <w:lang w:eastAsia="mk-MK"/>
        </w:rPr>
        <w:t>,</w:t>
      </w:r>
      <w:r w:rsidRPr="004D2953">
        <w:rPr>
          <w:rFonts w:ascii="Arial" w:hAnsi="Arial" w:cs="Arial"/>
          <w:sz w:val="22"/>
          <w:lang w:eastAsia="mk-MK"/>
        </w:rPr>
        <w:t>250</w:t>
      </w:r>
      <w:r w:rsidR="00ED546F" w:rsidRPr="004D2953">
        <w:rPr>
          <w:rFonts w:ascii="Arial" w:hAnsi="Arial" w:cs="Arial"/>
          <w:sz w:val="22"/>
          <w:lang w:eastAsia="mk-MK"/>
        </w:rPr>
        <w:t>,</w:t>
      </w:r>
      <w:r w:rsidRPr="004D2953">
        <w:rPr>
          <w:rFonts w:ascii="Arial" w:hAnsi="Arial" w:cs="Arial"/>
          <w:sz w:val="22"/>
          <w:lang w:eastAsia="mk-MK"/>
        </w:rPr>
        <w:t xml:space="preserve">000.00 </w:t>
      </w:r>
      <w:r w:rsidRPr="004D2953">
        <w:rPr>
          <w:rFonts w:ascii="Arial" w:hAnsi="Arial" w:cs="Arial"/>
          <w:sz w:val="22"/>
        </w:rPr>
        <w:t>EUR;</w:t>
      </w:r>
    </w:p>
    <w:p w:rsidR="003136C5" w:rsidRPr="004D2953" w:rsidRDefault="003136C5" w:rsidP="003136C5">
      <w:pPr>
        <w:overflowPunct w:val="0"/>
        <w:autoSpaceDE w:val="0"/>
        <w:spacing w:after="240" w:line="100" w:lineRule="atLeast"/>
        <w:jc w:val="both"/>
        <w:textAlignment w:val="baseline"/>
        <w:rPr>
          <w:rFonts w:ascii="Arial" w:hAnsi="Arial" w:cs="Arial"/>
          <w:sz w:val="22"/>
        </w:rPr>
      </w:pPr>
      <w:r w:rsidRPr="004D2953">
        <w:rPr>
          <w:rFonts w:ascii="Arial" w:hAnsi="Arial" w:cs="Arial"/>
          <w:sz w:val="22"/>
        </w:rPr>
        <w:t>Taking into consideration the above stated inputs, there is no potential risk of de-commitment of funds at the end of 2019.</w:t>
      </w:r>
    </w:p>
    <w:tbl>
      <w:tblPr>
        <w:tblW w:w="4908" w:type="pct"/>
        <w:tblInd w:w="108" w:type="dxa"/>
        <w:tblLayout w:type="fixed"/>
        <w:tblLook w:val="04A0" w:firstRow="1" w:lastRow="0" w:firstColumn="1" w:lastColumn="0" w:noHBand="0" w:noVBand="1"/>
      </w:tblPr>
      <w:tblGrid>
        <w:gridCol w:w="1275"/>
        <w:gridCol w:w="5460"/>
        <w:gridCol w:w="2337"/>
      </w:tblGrid>
      <w:tr w:rsidR="003136C5" w:rsidRPr="00DF0834" w:rsidTr="00612896">
        <w:trPr>
          <w:trHeight w:val="636"/>
        </w:trPr>
        <w:tc>
          <w:tcPr>
            <w:tcW w:w="5000" w:type="pct"/>
            <w:gridSpan w:val="3"/>
            <w:tcBorders>
              <w:top w:val="single" w:sz="4" w:space="0" w:color="000000"/>
              <w:left w:val="single" w:sz="4" w:space="0" w:color="000000"/>
              <w:bottom w:val="single" w:sz="4" w:space="0" w:color="000000"/>
              <w:right w:val="single" w:sz="4" w:space="0" w:color="000000"/>
            </w:tcBorders>
          </w:tcPr>
          <w:p w:rsidR="003136C5" w:rsidRPr="00DF0834" w:rsidRDefault="003136C5" w:rsidP="00612896">
            <w:pPr>
              <w:jc w:val="center"/>
              <w:rPr>
                <w:rFonts w:ascii="Arial" w:hAnsi="Arial" w:cs="Arial"/>
                <w:b/>
                <w:bCs/>
                <w:color w:val="000000"/>
                <w:sz w:val="22"/>
              </w:rPr>
            </w:pPr>
            <w:r w:rsidRPr="00DF0834">
              <w:rPr>
                <w:rFonts w:ascii="Arial" w:hAnsi="Arial" w:cs="Arial"/>
                <w:b/>
                <w:bCs/>
                <w:color w:val="000000"/>
                <w:sz w:val="22"/>
              </w:rPr>
              <w:t>V component</w:t>
            </w:r>
            <w:r w:rsidRPr="00DF0834">
              <w:rPr>
                <w:rFonts w:ascii="Arial" w:hAnsi="Arial" w:cs="Arial"/>
                <w:b/>
                <w:bCs/>
                <w:color w:val="000000"/>
                <w:sz w:val="22"/>
              </w:rPr>
              <w:br/>
              <w:t>Calculation of De-commitment Risk According N+4 Rule</w:t>
            </w:r>
          </w:p>
        </w:tc>
      </w:tr>
      <w:tr w:rsidR="003136C5" w:rsidRPr="00DF0834" w:rsidTr="00612896">
        <w:trPr>
          <w:trHeight w:val="300"/>
        </w:trPr>
        <w:tc>
          <w:tcPr>
            <w:tcW w:w="703" w:type="pct"/>
            <w:tcBorders>
              <w:top w:val="nil"/>
              <w:left w:val="single" w:sz="4" w:space="0" w:color="000000"/>
              <w:bottom w:val="single" w:sz="4" w:space="0" w:color="000000"/>
              <w:right w:val="single" w:sz="4" w:space="0" w:color="000000"/>
            </w:tcBorders>
            <w:shd w:val="clear" w:color="EBF1DE" w:fill="EEECE1"/>
          </w:tcPr>
          <w:p w:rsidR="003136C5" w:rsidRPr="00DF0834" w:rsidRDefault="003136C5" w:rsidP="00612896">
            <w:pPr>
              <w:jc w:val="center"/>
              <w:rPr>
                <w:rFonts w:ascii="Arial" w:hAnsi="Arial" w:cs="Arial"/>
                <w:b/>
                <w:bCs/>
                <w:color w:val="000000"/>
                <w:sz w:val="22"/>
              </w:rPr>
            </w:pPr>
            <w:r w:rsidRPr="00DF0834">
              <w:rPr>
                <w:rFonts w:ascii="Arial" w:hAnsi="Arial" w:cs="Arial"/>
                <w:b/>
                <w:bCs/>
                <w:color w:val="000000"/>
                <w:sz w:val="22"/>
              </w:rPr>
              <w:t>No.</w:t>
            </w:r>
          </w:p>
        </w:tc>
        <w:tc>
          <w:tcPr>
            <w:tcW w:w="3009" w:type="pct"/>
            <w:tcBorders>
              <w:top w:val="nil"/>
              <w:left w:val="single" w:sz="4" w:space="0" w:color="000000"/>
              <w:bottom w:val="single" w:sz="4" w:space="0" w:color="000000"/>
              <w:right w:val="single" w:sz="4" w:space="0" w:color="000000"/>
            </w:tcBorders>
            <w:shd w:val="clear" w:color="EBF1DE" w:fill="EEECE1"/>
            <w:vAlign w:val="bottom"/>
            <w:hideMark/>
          </w:tcPr>
          <w:p w:rsidR="003136C5" w:rsidRPr="00DF0834" w:rsidRDefault="003136C5" w:rsidP="00612896">
            <w:pPr>
              <w:jc w:val="center"/>
              <w:rPr>
                <w:rFonts w:ascii="Arial" w:hAnsi="Arial" w:cs="Arial"/>
                <w:b/>
                <w:bCs/>
                <w:color w:val="000000"/>
                <w:sz w:val="22"/>
              </w:rPr>
            </w:pPr>
            <w:r w:rsidRPr="00DF0834">
              <w:rPr>
                <w:rFonts w:ascii="Arial" w:hAnsi="Arial" w:cs="Arial"/>
                <w:b/>
                <w:bCs/>
                <w:color w:val="000000"/>
                <w:sz w:val="22"/>
              </w:rPr>
              <w:t>Reference</w:t>
            </w:r>
          </w:p>
        </w:tc>
        <w:tc>
          <w:tcPr>
            <w:tcW w:w="1288" w:type="pct"/>
            <w:tcBorders>
              <w:top w:val="nil"/>
              <w:left w:val="nil"/>
              <w:bottom w:val="single" w:sz="4" w:space="0" w:color="000000"/>
              <w:right w:val="single" w:sz="4" w:space="0" w:color="000000"/>
            </w:tcBorders>
            <w:shd w:val="clear" w:color="EBF1DE" w:fill="EEECE1"/>
            <w:vAlign w:val="bottom"/>
            <w:hideMark/>
          </w:tcPr>
          <w:p w:rsidR="003136C5" w:rsidRPr="00DF0834" w:rsidRDefault="003136C5" w:rsidP="00612896">
            <w:pPr>
              <w:jc w:val="center"/>
              <w:rPr>
                <w:rFonts w:ascii="Arial" w:hAnsi="Arial" w:cs="Arial"/>
                <w:b/>
                <w:bCs/>
                <w:color w:val="000000"/>
                <w:sz w:val="22"/>
              </w:rPr>
            </w:pPr>
            <w:r w:rsidRPr="00DF0834">
              <w:rPr>
                <w:rFonts w:ascii="Arial" w:hAnsi="Arial" w:cs="Arial"/>
                <w:b/>
                <w:bCs/>
                <w:color w:val="000000"/>
                <w:sz w:val="22"/>
              </w:rPr>
              <w:t>Community Contribution in €</w:t>
            </w:r>
          </w:p>
        </w:tc>
      </w:tr>
      <w:tr w:rsidR="003136C5" w:rsidRPr="00DF0834" w:rsidTr="00612896">
        <w:trPr>
          <w:trHeight w:val="300"/>
        </w:trPr>
        <w:tc>
          <w:tcPr>
            <w:tcW w:w="703" w:type="pct"/>
            <w:tcBorders>
              <w:top w:val="nil"/>
              <w:left w:val="single" w:sz="4" w:space="0" w:color="000000"/>
              <w:bottom w:val="single" w:sz="4" w:space="0" w:color="000000"/>
              <w:right w:val="single" w:sz="4" w:space="0" w:color="000000"/>
            </w:tcBorders>
          </w:tcPr>
          <w:p w:rsidR="003136C5" w:rsidRPr="00DF0834" w:rsidRDefault="003136C5" w:rsidP="00612896">
            <w:pPr>
              <w:rPr>
                <w:rFonts w:ascii="Arial" w:hAnsi="Arial" w:cs="Arial"/>
                <w:color w:val="000000"/>
                <w:sz w:val="22"/>
              </w:rPr>
            </w:pPr>
            <w:r w:rsidRPr="00DF0834">
              <w:rPr>
                <w:rFonts w:ascii="Arial" w:hAnsi="Arial" w:cs="Arial"/>
                <w:color w:val="000000"/>
                <w:sz w:val="22"/>
              </w:rPr>
              <w:t>1.</w:t>
            </w:r>
          </w:p>
        </w:tc>
        <w:tc>
          <w:tcPr>
            <w:tcW w:w="3009" w:type="pct"/>
            <w:tcBorders>
              <w:top w:val="nil"/>
              <w:left w:val="single" w:sz="4" w:space="0" w:color="000000"/>
              <w:bottom w:val="single" w:sz="4" w:space="0" w:color="000000"/>
              <w:right w:val="single" w:sz="4" w:space="0" w:color="000000"/>
            </w:tcBorders>
            <w:shd w:val="clear" w:color="auto" w:fill="auto"/>
            <w:vAlign w:val="bottom"/>
            <w:hideMark/>
          </w:tcPr>
          <w:p w:rsidR="003136C5" w:rsidRPr="00DF0834" w:rsidRDefault="003136C5" w:rsidP="00612896">
            <w:pPr>
              <w:rPr>
                <w:rFonts w:ascii="Arial" w:hAnsi="Arial" w:cs="Arial"/>
                <w:color w:val="000000"/>
                <w:sz w:val="22"/>
              </w:rPr>
            </w:pPr>
            <w:r w:rsidRPr="00DF0834">
              <w:rPr>
                <w:rFonts w:ascii="Arial" w:hAnsi="Arial" w:cs="Arial"/>
                <w:color w:val="000000"/>
                <w:sz w:val="22"/>
              </w:rPr>
              <w:t>Financial allocations</w:t>
            </w:r>
          </w:p>
        </w:tc>
        <w:tc>
          <w:tcPr>
            <w:tcW w:w="1288" w:type="pct"/>
            <w:tcBorders>
              <w:top w:val="nil"/>
              <w:left w:val="nil"/>
              <w:bottom w:val="single" w:sz="4" w:space="0" w:color="auto"/>
              <w:right w:val="single" w:sz="4" w:space="0" w:color="auto"/>
            </w:tcBorders>
            <w:shd w:val="clear" w:color="auto" w:fill="auto"/>
            <w:noWrap/>
            <w:vAlign w:val="bottom"/>
            <w:hideMark/>
          </w:tcPr>
          <w:p w:rsidR="003136C5" w:rsidRPr="00DF0834" w:rsidRDefault="003136C5" w:rsidP="00612896">
            <w:pPr>
              <w:jc w:val="right"/>
              <w:rPr>
                <w:rFonts w:ascii="Arial" w:hAnsi="Arial" w:cs="Arial"/>
                <w:color w:val="000000"/>
                <w:sz w:val="22"/>
              </w:rPr>
            </w:pPr>
            <w:r w:rsidRPr="00DF0834">
              <w:rPr>
                <w:rFonts w:ascii="Arial" w:hAnsi="Arial" w:cs="Arial"/>
                <w:color w:val="000000"/>
                <w:sz w:val="22"/>
              </w:rPr>
              <w:t>15,000,000.00</w:t>
            </w:r>
          </w:p>
        </w:tc>
      </w:tr>
      <w:tr w:rsidR="003136C5" w:rsidRPr="00DF0834" w:rsidTr="00612896">
        <w:trPr>
          <w:trHeight w:val="343"/>
        </w:trPr>
        <w:tc>
          <w:tcPr>
            <w:tcW w:w="703" w:type="pct"/>
            <w:tcBorders>
              <w:top w:val="nil"/>
              <w:left w:val="single" w:sz="4" w:space="0" w:color="000000"/>
              <w:bottom w:val="single" w:sz="4" w:space="0" w:color="000000"/>
              <w:right w:val="single" w:sz="4" w:space="0" w:color="000000"/>
            </w:tcBorders>
          </w:tcPr>
          <w:p w:rsidR="003136C5" w:rsidRPr="00DF0834" w:rsidRDefault="003136C5" w:rsidP="00612896">
            <w:pPr>
              <w:rPr>
                <w:rFonts w:ascii="Arial" w:hAnsi="Arial" w:cs="Arial"/>
                <w:color w:val="000000"/>
                <w:sz w:val="22"/>
              </w:rPr>
            </w:pPr>
            <w:r w:rsidRPr="00DF0834">
              <w:rPr>
                <w:rFonts w:ascii="Arial" w:hAnsi="Arial" w:cs="Arial"/>
                <w:color w:val="000000"/>
                <w:sz w:val="22"/>
              </w:rPr>
              <w:t>2.</w:t>
            </w:r>
          </w:p>
        </w:tc>
        <w:tc>
          <w:tcPr>
            <w:tcW w:w="3009" w:type="pct"/>
            <w:tcBorders>
              <w:top w:val="nil"/>
              <w:left w:val="single" w:sz="4" w:space="0" w:color="000000"/>
              <w:bottom w:val="single" w:sz="4" w:space="0" w:color="000000"/>
              <w:right w:val="single" w:sz="4" w:space="0" w:color="000000"/>
            </w:tcBorders>
            <w:shd w:val="clear" w:color="auto" w:fill="auto"/>
            <w:vAlign w:val="bottom"/>
            <w:hideMark/>
          </w:tcPr>
          <w:p w:rsidR="003136C5" w:rsidRPr="00DF0834" w:rsidRDefault="003136C5" w:rsidP="00612896">
            <w:pPr>
              <w:rPr>
                <w:rFonts w:ascii="Arial" w:hAnsi="Arial" w:cs="Arial"/>
                <w:color w:val="000000"/>
                <w:sz w:val="22"/>
              </w:rPr>
            </w:pPr>
            <w:r w:rsidRPr="00DF0834">
              <w:rPr>
                <w:rFonts w:ascii="Arial" w:hAnsi="Arial" w:cs="Arial"/>
                <w:sz w:val="22"/>
              </w:rPr>
              <w:t>Received pre-financing</w:t>
            </w:r>
          </w:p>
        </w:tc>
        <w:tc>
          <w:tcPr>
            <w:tcW w:w="1288" w:type="pct"/>
            <w:tcBorders>
              <w:top w:val="nil"/>
              <w:left w:val="nil"/>
              <w:bottom w:val="single" w:sz="4" w:space="0" w:color="auto"/>
              <w:right w:val="single" w:sz="4" w:space="0" w:color="auto"/>
            </w:tcBorders>
            <w:shd w:val="clear" w:color="auto" w:fill="auto"/>
            <w:noWrap/>
            <w:vAlign w:val="bottom"/>
            <w:hideMark/>
          </w:tcPr>
          <w:p w:rsidR="003136C5" w:rsidRPr="00DF0834" w:rsidRDefault="003136C5" w:rsidP="00612896">
            <w:pPr>
              <w:jc w:val="right"/>
              <w:rPr>
                <w:rFonts w:ascii="Arial" w:hAnsi="Arial" w:cs="Arial"/>
                <w:color w:val="000000"/>
                <w:sz w:val="22"/>
              </w:rPr>
            </w:pPr>
            <w:r w:rsidRPr="00DF0834">
              <w:rPr>
                <w:rFonts w:ascii="Arial" w:hAnsi="Arial" w:cs="Arial"/>
                <w:color w:val="000000"/>
                <w:sz w:val="22"/>
              </w:rPr>
              <w:t>6,300,000.00</w:t>
            </w:r>
          </w:p>
        </w:tc>
      </w:tr>
      <w:tr w:rsidR="003136C5" w:rsidRPr="00DF0834" w:rsidTr="00612896">
        <w:trPr>
          <w:trHeight w:val="300"/>
        </w:trPr>
        <w:tc>
          <w:tcPr>
            <w:tcW w:w="703" w:type="pct"/>
            <w:tcBorders>
              <w:top w:val="nil"/>
              <w:left w:val="single" w:sz="4" w:space="0" w:color="000000"/>
              <w:bottom w:val="single" w:sz="4" w:space="0" w:color="000000"/>
              <w:right w:val="single" w:sz="4" w:space="0" w:color="000000"/>
            </w:tcBorders>
          </w:tcPr>
          <w:p w:rsidR="003136C5" w:rsidRPr="00DF0834" w:rsidRDefault="003136C5" w:rsidP="00612896">
            <w:pPr>
              <w:rPr>
                <w:rFonts w:ascii="Arial" w:hAnsi="Arial" w:cs="Arial"/>
                <w:color w:val="000000"/>
                <w:sz w:val="22"/>
              </w:rPr>
            </w:pPr>
            <w:r w:rsidRPr="00DF0834">
              <w:rPr>
                <w:rFonts w:ascii="Arial" w:hAnsi="Arial" w:cs="Arial"/>
                <w:color w:val="000000"/>
                <w:sz w:val="22"/>
              </w:rPr>
              <w:t>3.</w:t>
            </w:r>
          </w:p>
        </w:tc>
        <w:tc>
          <w:tcPr>
            <w:tcW w:w="3009" w:type="pct"/>
            <w:tcBorders>
              <w:top w:val="nil"/>
              <w:left w:val="single" w:sz="4" w:space="0" w:color="000000"/>
              <w:bottom w:val="single" w:sz="4" w:space="0" w:color="000000"/>
              <w:right w:val="single" w:sz="4" w:space="0" w:color="000000"/>
            </w:tcBorders>
            <w:shd w:val="clear" w:color="auto" w:fill="auto"/>
            <w:noWrap/>
            <w:vAlign w:val="bottom"/>
            <w:hideMark/>
          </w:tcPr>
          <w:p w:rsidR="003136C5" w:rsidRPr="00DF0834" w:rsidRDefault="003136C5" w:rsidP="00612896">
            <w:pPr>
              <w:rPr>
                <w:rFonts w:ascii="Arial" w:hAnsi="Arial" w:cs="Arial"/>
                <w:color w:val="000000"/>
                <w:sz w:val="22"/>
              </w:rPr>
            </w:pPr>
            <w:r w:rsidRPr="00DF0834">
              <w:rPr>
                <w:rFonts w:ascii="Arial" w:hAnsi="Arial" w:cs="Arial"/>
                <w:sz w:val="22"/>
              </w:rPr>
              <w:t>Paid amount until 23.04.2019</w:t>
            </w:r>
          </w:p>
        </w:tc>
        <w:tc>
          <w:tcPr>
            <w:tcW w:w="1288" w:type="pct"/>
            <w:tcBorders>
              <w:top w:val="nil"/>
              <w:left w:val="nil"/>
              <w:bottom w:val="single" w:sz="4" w:space="0" w:color="000000"/>
              <w:right w:val="single" w:sz="4" w:space="0" w:color="000000"/>
            </w:tcBorders>
            <w:shd w:val="clear" w:color="auto" w:fill="auto"/>
            <w:noWrap/>
            <w:vAlign w:val="bottom"/>
            <w:hideMark/>
          </w:tcPr>
          <w:p w:rsidR="003136C5" w:rsidRPr="00DF0834" w:rsidRDefault="003136C5" w:rsidP="00612896">
            <w:pPr>
              <w:jc w:val="right"/>
              <w:rPr>
                <w:rFonts w:ascii="Arial" w:hAnsi="Arial" w:cs="Arial"/>
                <w:color w:val="000000"/>
                <w:sz w:val="22"/>
              </w:rPr>
            </w:pPr>
            <w:r w:rsidRPr="00DF0834">
              <w:rPr>
                <w:rFonts w:ascii="Arial" w:hAnsi="Arial" w:cs="Arial"/>
                <w:color w:val="000000"/>
                <w:sz w:val="22"/>
              </w:rPr>
              <w:t>1,675,412.01</w:t>
            </w:r>
          </w:p>
        </w:tc>
      </w:tr>
      <w:tr w:rsidR="003136C5" w:rsidRPr="00DF0834" w:rsidTr="00612896">
        <w:trPr>
          <w:trHeight w:val="383"/>
        </w:trPr>
        <w:tc>
          <w:tcPr>
            <w:tcW w:w="703" w:type="pct"/>
            <w:tcBorders>
              <w:top w:val="nil"/>
              <w:left w:val="single" w:sz="4" w:space="0" w:color="000000"/>
              <w:bottom w:val="single" w:sz="4" w:space="0" w:color="000000"/>
              <w:right w:val="single" w:sz="4" w:space="0" w:color="000000"/>
            </w:tcBorders>
          </w:tcPr>
          <w:p w:rsidR="003136C5" w:rsidRPr="00DF0834" w:rsidRDefault="003136C5" w:rsidP="00612896">
            <w:pPr>
              <w:rPr>
                <w:rFonts w:ascii="Arial" w:hAnsi="Arial" w:cs="Arial"/>
                <w:color w:val="000000"/>
                <w:sz w:val="22"/>
              </w:rPr>
            </w:pPr>
            <w:r w:rsidRPr="00DF0834">
              <w:rPr>
                <w:rFonts w:ascii="Arial" w:hAnsi="Arial" w:cs="Arial"/>
                <w:color w:val="000000"/>
                <w:sz w:val="22"/>
              </w:rPr>
              <w:t>4.</w:t>
            </w:r>
          </w:p>
        </w:tc>
        <w:tc>
          <w:tcPr>
            <w:tcW w:w="3009" w:type="pct"/>
            <w:tcBorders>
              <w:top w:val="nil"/>
              <w:left w:val="single" w:sz="4" w:space="0" w:color="000000"/>
              <w:bottom w:val="single" w:sz="4" w:space="0" w:color="000000"/>
              <w:right w:val="single" w:sz="4" w:space="0" w:color="000000"/>
            </w:tcBorders>
            <w:shd w:val="clear" w:color="auto" w:fill="auto"/>
            <w:noWrap/>
            <w:vAlign w:val="bottom"/>
            <w:hideMark/>
          </w:tcPr>
          <w:p w:rsidR="003136C5" w:rsidRPr="00DF0834" w:rsidRDefault="003136C5" w:rsidP="00612896">
            <w:pPr>
              <w:rPr>
                <w:rFonts w:ascii="Arial" w:hAnsi="Arial" w:cs="Arial"/>
                <w:color w:val="000000"/>
                <w:sz w:val="22"/>
              </w:rPr>
            </w:pPr>
            <w:r w:rsidRPr="00DF0834">
              <w:rPr>
                <w:rFonts w:ascii="Arial" w:hAnsi="Arial" w:cs="Arial"/>
                <w:sz w:val="22"/>
              </w:rPr>
              <w:t>Amount planned to be paid by end of 2019</w:t>
            </w:r>
          </w:p>
        </w:tc>
        <w:tc>
          <w:tcPr>
            <w:tcW w:w="1288" w:type="pct"/>
            <w:tcBorders>
              <w:top w:val="nil"/>
              <w:left w:val="nil"/>
              <w:bottom w:val="single" w:sz="4" w:space="0" w:color="000000"/>
              <w:right w:val="single" w:sz="4" w:space="0" w:color="000000"/>
            </w:tcBorders>
            <w:shd w:val="clear" w:color="auto" w:fill="auto"/>
            <w:noWrap/>
            <w:vAlign w:val="bottom"/>
            <w:hideMark/>
          </w:tcPr>
          <w:p w:rsidR="003136C5" w:rsidRPr="00DF0834" w:rsidRDefault="003136C5" w:rsidP="00612896">
            <w:pPr>
              <w:jc w:val="right"/>
              <w:rPr>
                <w:rFonts w:ascii="Arial" w:hAnsi="Arial" w:cs="Arial"/>
                <w:color w:val="000000"/>
                <w:sz w:val="22"/>
              </w:rPr>
            </w:pPr>
            <w:r w:rsidRPr="00DF0834">
              <w:rPr>
                <w:rFonts w:ascii="Arial" w:hAnsi="Arial" w:cs="Arial"/>
                <w:color w:val="000000"/>
                <w:sz w:val="22"/>
              </w:rPr>
              <w:t xml:space="preserve"> 10,577,376.09</w:t>
            </w:r>
          </w:p>
        </w:tc>
      </w:tr>
      <w:tr w:rsidR="003136C5" w:rsidRPr="00DF0834" w:rsidTr="00612896">
        <w:trPr>
          <w:trHeight w:val="300"/>
        </w:trPr>
        <w:tc>
          <w:tcPr>
            <w:tcW w:w="703" w:type="pct"/>
            <w:tcBorders>
              <w:top w:val="nil"/>
              <w:left w:val="single" w:sz="4" w:space="0" w:color="000000"/>
              <w:bottom w:val="single" w:sz="4" w:space="0" w:color="000000"/>
              <w:right w:val="single" w:sz="4" w:space="0" w:color="000000"/>
            </w:tcBorders>
            <w:shd w:val="clear" w:color="auto" w:fill="auto"/>
          </w:tcPr>
          <w:p w:rsidR="003136C5" w:rsidRPr="00DF0834" w:rsidRDefault="003136C5" w:rsidP="00612896">
            <w:pPr>
              <w:rPr>
                <w:rFonts w:ascii="Arial" w:hAnsi="Arial" w:cs="Arial"/>
                <w:b/>
                <w:bCs/>
                <w:color w:val="000000"/>
                <w:sz w:val="22"/>
              </w:rPr>
            </w:pPr>
            <w:r w:rsidRPr="00DF0834">
              <w:rPr>
                <w:rFonts w:ascii="Arial" w:hAnsi="Arial" w:cs="Arial"/>
                <w:b/>
                <w:bCs/>
                <w:color w:val="000000"/>
                <w:sz w:val="22"/>
              </w:rPr>
              <w:t>5=1-2-3-4</w:t>
            </w:r>
          </w:p>
        </w:tc>
        <w:tc>
          <w:tcPr>
            <w:tcW w:w="3009" w:type="pct"/>
            <w:tcBorders>
              <w:top w:val="nil"/>
              <w:left w:val="single" w:sz="4" w:space="0" w:color="000000"/>
              <w:bottom w:val="single" w:sz="4" w:space="0" w:color="000000"/>
              <w:right w:val="single" w:sz="4" w:space="0" w:color="000000"/>
            </w:tcBorders>
            <w:shd w:val="clear" w:color="auto" w:fill="auto"/>
            <w:noWrap/>
            <w:vAlign w:val="bottom"/>
            <w:hideMark/>
          </w:tcPr>
          <w:p w:rsidR="003136C5" w:rsidRPr="00DF0834" w:rsidRDefault="003136C5" w:rsidP="00612896">
            <w:pPr>
              <w:rPr>
                <w:rFonts w:ascii="Arial" w:hAnsi="Arial" w:cs="Arial"/>
                <w:b/>
                <w:bCs/>
                <w:color w:val="000000"/>
                <w:sz w:val="22"/>
              </w:rPr>
            </w:pPr>
            <w:r w:rsidRPr="00DF0834">
              <w:rPr>
                <w:rFonts w:ascii="Arial" w:hAnsi="Arial" w:cs="Arial"/>
                <w:b/>
                <w:bCs/>
                <w:color w:val="000000"/>
                <w:sz w:val="22"/>
              </w:rPr>
              <w:t>No Potential De-commitment of funds at the end of 2019</w:t>
            </w:r>
          </w:p>
        </w:tc>
        <w:tc>
          <w:tcPr>
            <w:tcW w:w="1288" w:type="pct"/>
            <w:tcBorders>
              <w:top w:val="nil"/>
              <w:left w:val="nil"/>
              <w:bottom w:val="single" w:sz="4" w:space="0" w:color="000000"/>
              <w:right w:val="single" w:sz="4" w:space="0" w:color="000000"/>
            </w:tcBorders>
            <w:shd w:val="clear" w:color="auto" w:fill="auto"/>
            <w:noWrap/>
            <w:vAlign w:val="bottom"/>
            <w:hideMark/>
          </w:tcPr>
          <w:p w:rsidR="003136C5" w:rsidRPr="00DF0834" w:rsidRDefault="003136C5" w:rsidP="00612896">
            <w:pPr>
              <w:jc w:val="right"/>
              <w:rPr>
                <w:rFonts w:ascii="Arial" w:hAnsi="Arial" w:cs="Arial"/>
                <w:b/>
                <w:color w:val="000000"/>
                <w:sz w:val="22"/>
              </w:rPr>
            </w:pPr>
          </w:p>
        </w:tc>
      </w:tr>
    </w:tbl>
    <w:p w:rsidR="003136C5" w:rsidRPr="009C5096" w:rsidRDefault="003136C5" w:rsidP="003136C5">
      <w:pPr>
        <w:autoSpaceDE w:val="0"/>
        <w:autoSpaceDN w:val="0"/>
        <w:adjustRightInd w:val="0"/>
        <w:jc w:val="both"/>
        <w:rPr>
          <w:rFonts w:ascii="Arial" w:hAnsi="Arial" w:cs="Arial"/>
        </w:rPr>
      </w:pPr>
    </w:p>
    <w:p w:rsidR="003136C5" w:rsidRPr="004D2953" w:rsidRDefault="003136C5" w:rsidP="003136C5">
      <w:pPr>
        <w:autoSpaceDE w:val="0"/>
        <w:autoSpaceDN w:val="0"/>
        <w:adjustRightInd w:val="0"/>
        <w:jc w:val="both"/>
        <w:rPr>
          <w:rFonts w:ascii="Arial" w:hAnsi="Arial" w:cs="Arial"/>
          <w:sz w:val="22"/>
        </w:rPr>
      </w:pPr>
      <w:r w:rsidRPr="004D2953">
        <w:rPr>
          <w:rFonts w:ascii="Arial" w:hAnsi="Arial" w:cs="Arial"/>
          <w:sz w:val="22"/>
        </w:rPr>
        <w:t>However, the de-commitment may occur taking into consideration that 7 mill EUR should be paid by the end of the year</w:t>
      </w:r>
      <w:r w:rsidR="008E2A69" w:rsidRPr="004D2953">
        <w:rPr>
          <w:rFonts w:ascii="Arial" w:hAnsi="Arial" w:cs="Arial"/>
          <w:sz w:val="22"/>
        </w:rPr>
        <w:t>,</w:t>
      </w:r>
      <w:r w:rsidRPr="004D2953">
        <w:rPr>
          <w:rFonts w:ascii="Arial" w:hAnsi="Arial" w:cs="Arial"/>
          <w:sz w:val="22"/>
        </w:rPr>
        <w:t xml:space="preserve"> out of which 3.8 mill EUR are planned to be </w:t>
      </w:r>
      <w:r w:rsidR="008E2A69" w:rsidRPr="004D2953">
        <w:rPr>
          <w:rFonts w:ascii="Arial" w:hAnsi="Arial" w:cs="Arial"/>
          <w:sz w:val="22"/>
        </w:rPr>
        <w:t>realized</w:t>
      </w:r>
      <w:r w:rsidRPr="004D2953">
        <w:rPr>
          <w:rFonts w:ascii="Arial" w:hAnsi="Arial" w:cs="Arial"/>
          <w:sz w:val="22"/>
        </w:rPr>
        <w:t xml:space="preserve"> in Q4 of 2019.</w:t>
      </w:r>
    </w:p>
    <w:p w:rsidR="003136C5" w:rsidRPr="009C5096" w:rsidRDefault="003136C5" w:rsidP="00097EED">
      <w:pPr>
        <w:pStyle w:val="m343668044302477783m-3986873246552044066msolistparagraph"/>
        <w:numPr>
          <w:ilvl w:val="1"/>
          <w:numId w:val="2"/>
        </w:numPr>
        <w:spacing w:before="120" w:beforeAutospacing="0" w:after="0" w:afterAutospacing="0"/>
        <w:jc w:val="both"/>
        <w:outlineLvl w:val="1"/>
        <w:rPr>
          <w:rFonts w:ascii="Arial" w:hAnsi="Arial" w:cs="Arial"/>
          <w:b/>
          <w:lang w:val="en-US"/>
        </w:rPr>
      </w:pPr>
      <w:bookmarkStart w:id="67" w:name="_Toc8649819"/>
      <w:r w:rsidRPr="009C5096">
        <w:rPr>
          <w:rFonts w:ascii="Arial" w:hAnsi="Arial" w:cs="Arial"/>
          <w:b/>
          <w:lang w:val="en-US"/>
        </w:rPr>
        <w:t xml:space="preserve">Activities undertaken by </w:t>
      </w:r>
      <w:r w:rsidR="001E7B76">
        <w:rPr>
          <w:rFonts w:ascii="Arial" w:hAnsi="Arial" w:cs="Arial"/>
          <w:b/>
          <w:lang w:val="en-US"/>
        </w:rPr>
        <w:t xml:space="preserve">the </w:t>
      </w:r>
      <w:r w:rsidRPr="009C5096">
        <w:rPr>
          <w:rFonts w:ascii="Arial" w:hAnsi="Arial" w:cs="Arial"/>
          <w:b/>
          <w:lang w:val="en-US"/>
        </w:rPr>
        <w:t>IPARD Agency</w:t>
      </w:r>
      <w:bookmarkEnd w:id="67"/>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4.3.1 Progress in collectin</w:t>
      </w:r>
      <w:r w:rsidR="001E7B76" w:rsidRPr="004D2953">
        <w:rPr>
          <w:rFonts w:ascii="Arial" w:hAnsi="Arial" w:cs="Arial"/>
          <w:sz w:val="22"/>
          <w:szCs w:val="22"/>
          <w:lang w:val="en-US"/>
        </w:rPr>
        <w:t xml:space="preserve">g </w:t>
      </w:r>
      <w:r w:rsidRPr="004D2953">
        <w:rPr>
          <w:rFonts w:ascii="Arial" w:hAnsi="Arial" w:cs="Arial"/>
          <w:sz w:val="22"/>
          <w:szCs w:val="22"/>
          <w:lang w:val="en-US"/>
        </w:rPr>
        <w:t>follow-up data</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In compliance with the responsibilities undertaken from the Implementing Agreement between the MA and the IPARD Agency, the IPARD Agency reported on regular basis about the execution of IPARD Programme. </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lastRenderedPageBreak/>
        <w:t xml:space="preserve">The exchange of data is done thought the Monitoring and </w:t>
      </w:r>
      <w:r w:rsidR="001E7B76" w:rsidRPr="004D2953">
        <w:rPr>
          <w:rFonts w:ascii="Arial" w:hAnsi="Arial" w:cs="Arial"/>
          <w:sz w:val="22"/>
          <w:szCs w:val="22"/>
          <w:lang w:val="en-US"/>
        </w:rPr>
        <w:t>E</w:t>
      </w:r>
      <w:r w:rsidRPr="004D2953">
        <w:rPr>
          <w:rFonts w:ascii="Arial" w:hAnsi="Arial" w:cs="Arial"/>
          <w:sz w:val="22"/>
          <w:szCs w:val="22"/>
          <w:lang w:val="en-US"/>
        </w:rPr>
        <w:t xml:space="preserve">valuation </w:t>
      </w:r>
      <w:r w:rsidR="001E7B76" w:rsidRPr="004D2953">
        <w:rPr>
          <w:rFonts w:ascii="Arial" w:hAnsi="Arial" w:cs="Arial"/>
          <w:sz w:val="22"/>
          <w:szCs w:val="22"/>
          <w:lang w:val="en-US"/>
        </w:rPr>
        <w:t>T</w:t>
      </w:r>
      <w:r w:rsidRPr="004D2953">
        <w:rPr>
          <w:rFonts w:ascii="Arial" w:hAnsi="Arial" w:cs="Arial"/>
          <w:sz w:val="22"/>
          <w:szCs w:val="22"/>
          <w:lang w:val="en-US"/>
        </w:rPr>
        <w:t>ables for IPARD Programme</w:t>
      </w:r>
      <w:r w:rsidR="001E7B76" w:rsidRPr="004D2953">
        <w:rPr>
          <w:rFonts w:ascii="Arial" w:hAnsi="Arial" w:cs="Arial"/>
          <w:sz w:val="22"/>
          <w:szCs w:val="22"/>
          <w:lang w:val="en-US"/>
        </w:rPr>
        <w:t>,</w:t>
      </w:r>
      <w:r w:rsidRPr="004D2953">
        <w:rPr>
          <w:rFonts w:ascii="Arial" w:hAnsi="Arial" w:cs="Arial"/>
          <w:sz w:val="22"/>
          <w:szCs w:val="22"/>
          <w:lang w:val="en-US"/>
        </w:rPr>
        <w:t xml:space="preserve"> as well as with other prepared reports upon request of MA, which con</w:t>
      </w:r>
      <w:r w:rsidR="001E7B76" w:rsidRPr="004D2953">
        <w:rPr>
          <w:rFonts w:ascii="Arial" w:hAnsi="Arial" w:cs="Arial"/>
          <w:sz w:val="22"/>
          <w:szCs w:val="22"/>
          <w:lang w:val="en-US"/>
        </w:rPr>
        <w:t xml:space="preserve">tained </w:t>
      </w:r>
      <w:r w:rsidRPr="004D2953">
        <w:rPr>
          <w:rFonts w:ascii="Arial" w:hAnsi="Arial" w:cs="Arial"/>
          <w:sz w:val="22"/>
          <w:szCs w:val="22"/>
          <w:lang w:val="en-US"/>
        </w:rPr>
        <w:t>data included in the Tables</w:t>
      </w:r>
      <w:r w:rsidR="001E7B76" w:rsidRPr="004D2953">
        <w:rPr>
          <w:rFonts w:ascii="Arial" w:hAnsi="Arial" w:cs="Arial"/>
          <w:sz w:val="22"/>
          <w:szCs w:val="22"/>
          <w:lang w:val="en-US"/>
        </w:rPr>
        <w:t>,</w:t>
      </w:r>
      <w:r w:rsidRPr="004D2953">
        <w:rPr>
          <w:rFonts w:ascii="Arial" w:hAnsi="Arial" w:cs="Arial"/>
          <w:sz w:val="22"/>
          <w:szCs w:val="22"/>
          <w:lang w:val="en-US"/>
        </w:rPr>
        <w:t xml:space="preserve"> but were relevant for the execution of the Programme. </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In 2018, the IPARD Agency with the defined deadline and on a regular basis delivered to the MA the monitoring tables for implementation of the IPARD Programme which include information </w:t>
      </w:r>
      <w:r w:rsidR="001E7B76" w:rsidRPr="004D2953">
        <w:rPr>
          <w:rFonts w:ascii="Arial" w:hAnsi="Arial" w:cs="Arial"/>
          <w:sz w:val="22"/>
          <w:szCs w:val="22"/>
          <w:lang w:val="en-US"/>
        </w:rPr>
        <w:t xml:space="preserve">on </w:t>
      </w:r>
      <w:r w:rsidRPr="004D2953">
        <w:rPr>
          <w:rFonts w:ascii="Arial" w:hAnsi="Arial" w:cs="Arial"/>
          <w:sz w:val="22"/>
          <w:szCs w:val="22"/>
          <w:lang w:val="en-US"/>
        </w:rPr>
        <w:t xml:space="preserve">physical and financial indicators, reports from the performed controls, identified irregularities and additional requests for reports, defined in the Implementing Agreement. </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The </w:t>
      </w:r>
      <w:r w:rsidR="001E7B76" w:rsidRPr="004D2953">
        <w:rPr>
          <w:rFonts w:ascii="Arial" w:hAnsi="Arial" w:cs="Arial"/>
          <w:sz w:val="22"/>
          <w:szCs w:val="22"/>
          <w:lang w:val="en-US"/>
        </w:rPr>
        <w:t xml:space="preserve">data </w:t>
      </w:r>
      <w:r w:rsidRPr="004D2953">
        <w:rPr>
          <w:rFonts w:ascii="Arial" w:hAnsi="Arial" w:cs="Arial"/>
          <w:sz w:val="22"/>
          <w:szCs w:val="22"/>
          <w:lang w:val="en-US"/>
        </w:rPr>
        <w:t xml:space="preserve">collection and </w:t>
      </w:r>
      <w:r w:rsidR="001E7B76" w:rsidRPr="004D2953">
        <w:rPr>
          <w:rFonts w:ascii="Arial" w:hAnsi="Arial" w:cs="Arial"/>
          <w:sz w:val="22"/>
          <w:szCs w:val="22"/>
          <w:lang w:val="en-US"/>
        </w:rPr>
        <w:t xml:space="preserve">the reports </w:t>
      </w:r>
      <w:r w:rsidRPr="004D2953">
        <w:rPr>
          <w:rFonts w:ascii="Arial" w:hAnsi="Arial" w:cs="Arial"/>
          <w:sz w:val="22"/>
          <w:szCs w:val="22"/>
          <w:lang w:val="en-US"/>
        </w:rPr>
        <w:t>preparation was maintained manually in excel</w:t>
      </w:r>
      <w:r w:rsidR="001E7B76" w:rsidRPr="004D2953">
        <w:rPr>
          <w:rFonts w:ascii="Arial" w:hAnsi="Arial" w:cs="Arial"/>
          <w:sz w:val="22"/>
          <w:szCs w:val="22"/>
          <w:lang w:val="en-US"/>
        </w:rPr>
        <w:t xml:space="preserve"> format</w:t>
      </w:r>
      <w:r w:rsidRPr="004D2953">
        <w:rPr>
          <w:rFonts w:ascii="Arial" w:hAnsi="Arial" w:cs="Arial"/>
          <w:sz w:val="22"/>
          <w:szCs w:val="22"/>
          <w:lang w:val="en-US"/>
        </w:rPr>
        <w:t xml:space="preserve">. </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During 2018, </w:t>
      </w:r>
      <w:r w:rsidR="001E7B76" w:rsidRPr="004D2953">
        <w:rPr>
          <w:rFonts w:ascii="Arial" w:hAnsi="Arial" w:cs="Arial"/>
          <w:sz w:val="22"/>
          <w:szCs w:val="22"/>
          <w:lang w:val="en-US"/>
        </w:rPr>
        <w:t xml:space="preserve">the </w:t>
      </w:r>
      <w:r w:rsidRPr="004D2953">
        <w:rPr>
          <w:rFonts w:ascii="Arial" w:hAnsi="Arial" w:cs="Arial"/>
          <w:sz w:val="22"/>
          <w:szCs w:val="22"/>
          <w:lang w:val="en-US"/>
        </w:rPr>
        <w:t>IPARD Agency record</w:t>
      </w:r>
      <w:r w:rsidR="001E7B76" w:rsidRPr="004D2953">
        <w:rPr>
          <w:rFonts w:ascii="Arial" w:hAnsi="Arial" w:cs="Arial"/>
          <w:sz w:val="22"/>
          <w:szCs w:val="22"/>
          <w:lang w:val="en-US"/>
        </w:rPr>
        <w:t>ed</w:t>
      </w:r>
      <w:r w:rsidRPr="004D2953">
        <w:rPr>
          <w:rFonts w:ascii="Arial" w:hAnsi="Arial" w:cs="Arial"/>
          <w:sz w:val="22"/>
          <w:szCs w:val="22"/>
          <w:lang w:val="en-US"/>
        </w:rPr>
        <w:t xml:space="preserve"> all transactions parallel in excel and </w:t>
      </w:r>
      <w:r w:rsidR="001E7B76" w:rsidRPr="004D2953">
        <w:rPr>
          <w:rFonts w:ascii="Arial" w:hAnsi="Arial" w:cs="Arial"/>
          <w:sz w:val="22"/>
          <w:szCs w:val="22"/>
          <w:lang w:val="en-US"/>
        </w:rPr>
        <w:t xml:space="preserve">the </w:t>
      </w:r>
      <w:r w:rsidRPr="004D2953">
        <w:rPr>
          <w:rFonts w:ascii="Arial" w:hAnsi="Arial" w:cs="Arial"/>
          <w:sz w:val="22"/>
          <w:szCs w:val="22"/>
          <w:lang w:val="en-US"/>
        </w:rPr>
        <w:t>SAP software and in manual form</w:t>
      </w:r>
      <w:r w:rsidR="001E7B76" w:rsidRPr="004D2953">
        <w:rPr>
          <w:rFonts w:ascii="Arial" w:hAnsi="Arial" w:cs="Arial"/>
          <w:sz w:val="22"/>
          <w:szCs w:val="22"/>
          <w:lang w:val="en-US"/>
        </w:rPr>
        <w:t xml:space="preserve">, </w:t>
      </w:r>
      <w:r w:rsidRPr="004D2953">
        <w:rPr>
          <w:rFonts w:ascii="Arial" w:hAnsi="Arial" w:cs="Arial"/>
          <w:sz w:val="22"/>
          <w:szCs w:val="22"/>
          <w:lang w:val="en-US"/>
        </w:rPr>
        <w:t>as well. As soon as we are convinced that all reports g</w:t>
      </w:r>
      <w:r w:rsidR="001E7B76" w:rsidRPr="004D2953">
        <w:rPr>
          <w:rFonts w:ascii="Arial" w:hAnsi="Arial" w:cs="Arial"/>
          <w:sz w:val="22"/>
          <w:szCs w:val="22"/>
          <w:lang w:val="en-US"/>
        </w:rPr>
        <w:t xml:space="preserve">oing through </w:t>
      </w:r>
      <w:r w:rsidRPr="004D2953">
        <w:rPr>
          <w:rFonts w:ascii="Arial" w:hAnsi="Arial" w:cs="Arial"/>
          <w:sz w:val="22"/>
          <w:szCs w:val="22"/>
          <w:lang w:val="en-US"/>
        </w:rPr>
        <w:t xml:space="preserve">SAP are true and accurate, </w:t>
      </w:r>
      <w:r w:rsidR="001E7B76" w:rsidRPr="004D2953">
        <w:rPr>
          <w:rFonts w:ascii="Arial" w:hAnsi="Arial" w:cs="Arial"/>
          <w:sz w:val="22"/>
          <w:szCs w:val="22"/>
          <w:lang w:val="en-US"/>
        </w:rPr>
        <w:t xml:space="preserve">the </w:t>
      </w:r>
      <w:r w:rsidRPr="004D2953">
        <w:rPr>
          <w:rFonts w:ascii="Arial" w:hAnsi="Arial" w:cs="Arial"/>
          <w:sz w:val="22"/>
          <w:szCs w:val="22"/>
          <w:lang w:val="en-US"/>
        </w:rPr>
        <w:t xml:space="preserve">SAP software will be used as </w:t>
      </w:r>
      <w:r w:rsidR="001E7B76" w:rsidRPr="004D2953">
        <w:rPr>
          <w:rFonts w:ascii="Arial" w:hAnsi="Arial" w:cs="Arial"/>
          <w:sz w:val="22"/>
          <w:szCs w:val="22"/>
          <w:lang w:val="en-US"/>
        </w:rPr>
        <w:t xml:space="preserve">the </w:t>
      </w:r>
      <w:r w:rsidRPr="004D2953">
        <w:rPr>
          <w:rFonts w:ascii="Arial" w:hAnsi="Arial" w:cs="Arial"/>
          <w:sz w:val="22"/>
          <w:szCs w:val="22"/>
          <w:lang w:val="en-US"/>
        </w:rPr>
        <w:t xml:space="preserve">only </w:t>
      </w:r>
      <w:r w:rsidR="001E7B76" w:rsidRPr="004D2953">
        <w:rPr>
          <w:rFonts w:ascii="Arial" w:hAnsi="Arial" w:cs="Arial"/>
          <w:sz w:val="22"/>
          <w:szCs w:val="22"/>
          <w:lang w:val="en-US"/>
        </w:rPr>
        <w:t xml:space="preserve">accounting </w:t>
      </w:r>
      <w:r w:rsidRPr="004D2953">
        <w:rPr>
          <w:rFonts w:ascii="Arial" w:hAnsi="Arial" w:cs="Arial"/>
          <w:sz w:val="22"/>
          <w:szCs w:val="22"/>
          <w:lang w:val="en-US"/>
        </w:rPr>
        <w:t xml:space="preserve">tool in </w:t>
      </w:r>
      <w:r w:rsidR="001E7B76" w:rsidRPr="004D2953">
        <w:rPr>
          <w:rFonts w:ascii="Arial" w:hAnsi="Arial" w:cs="Arial"/>
          <w:sz w:val="22"/>
          <w:szCs w:val="22"/>
          <w:lang w:val="en-US"/>
        </w:rPr>
        <w:t xml:space="preserve">the </w:t>
      </w:r>
      <w:r w:rsidRPr="004D2953">
        <w:rPr>
          <w:rFonts w:ascii="Arial" w:hAnsi="Arial" w:cs="Arial"/>
          <w:sz w:val="22"/>
          <w:szCs w:val="22"/>
          <w:lang w:val="en-US"/>
        </w:rPr>
        <w:t>IPARD Agency and all financial indicators will be drawn from the system.</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4.3.2 Summary from the Contract follow-up</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In terms of implement</w:t>
      </w:r>
      <w:r w:rsidR="004B5D46" w:rsidRPr="004D2953">
        <w:rPr>
          <w:rFonts w:ascii="Arial" w:hAnsi="Arial" w:cs="Arial"/>
          <w:sz w:val="22"/>
          <w:szCs w:val="22"/>
          <w:lang w:val="en-US"/>
        </w:rPr>
        <w:t xml:space="preserve">ing </w:t>
      </w:r>
      <w:r w:rsidRPr="004D2953">
        <w:rPr>
          <w:rFonts w:ascii="Arial" w:hAnsi="Arial" w:cs="Arial"/>
          <w:sz w:val="22"/>
          <w:szCs w:val="22"/>
          <w:lang w:val="en-US"/>
        </w:rPr>
        <w:t xml:space="preserve">the IPARD Program 2014-2020, in 2018 </w:t>
      </w:r>
      <w:r w:rsidR="004B5D46" w:rsidRPr="004D2953">
        <w:rPr>
          <w:rFonts w:ascii="Arial" w:hAnsi="Arial" w:cs="Arial"/>
          <w:sz w:val="22"/>
          <w:szCs w:val="22"/>
          <w:lang w:val="en-US"/>
        </w:rPr>
        <w:t xml:space="preserve">the </w:t>
      </w:r>
      <w:r w:rsidRPr="004D2953">
        <w:rPr>
          <w:rFonts w:ascii="Arial" w:hAnsi="Arial" w:cs="Arial"/>
          <w:sz w:val="22"/>
          <w:szCs w:val="22"/>
          <w:lang w:val="en-US"/>
        </w:rPr>
        <w:t xml:space="preserve">IPARD Agency signed contracts </w:t>
      </w:r>
      <w:r w:rsidR="004B5D46" w:rsidRPr="004D2953">
        <w:rPr>
          <w:rFonts w:ascii="Arial" w:hAnsi="Arial" w:cs="Arial"/>
          <w:sz w:val="22"/>
          <w:szCs w:val="22"/>
          <w:lang w:val="en-US"/>
        </w:rPr>
        <w:t xml:space="preserve">under </w:t>
      </w:r>
      <w:r w:rsidRPr="004D2953">
        <w:rPr>
          <w:rFonts w:ascii="Arial" w:hAnsi="Arial" w:cs="Arial"/>
          <w:sz w:val="22"/>
          <w:szCs w:val="22"/>
          <w:lang w:val="en-US"/>
        </w:rPr>
        <w:t>935 applications in the supported amount of 13</w:t>
      </w:r>
      <w:r w:rsidR="006A196A" w:rsidRPr="004D2953">
        <w:rPr>
          <w:rFonts w:ascii="Arial" w:hAnsi="Arial" w:cs="Arial"/>
          <w:sz w:val="22"/>
          <w:szCs w:val="22"/>
          <w:lang w:val="en-US"/>
        </w:rPr>
        <w:t>,</w:t>
      </w:r>
      <w:r w:rsidRPr="004D2953">
        <w:rPr>
          <w:rFonts w:ascii="Arial" w:hAnsi="Arial" w:cs="Arial"/>
          <w:sz w:val="22"/>
          <w:szCs w:val="22"/>
          <w:lang w:val="en-US"/>
        </w:rPr>
        <w:t>076</w:t>
      </w:r>
      <w:r w:rsidR="006A196A" w:rsidRPr="004D2953">
        <w:rPr>
          <w:rFonts w:ascii="Arial" w:hAnsi="Arial" w:cs="Arial"/>
          <w:sz w:val="22"/>
          <w:szCs w:val="22"/>
          <w:lang w:val="en-US"/>
        </w:rPr>
        <w:t>,</w:t>
      </w:r>
      <w:r w:rsidRPr="004D2953">
        <w:rPr>
          <w:rFonts w:ascii="Arial" w:hAnsi="Arial" w:cs="Arial"/>
          <w:sz w:val="22"/>
          <w:szCs w:val="22"/>
          <w:lang w:val="en-US"/>
        </w:rPr>
        <w:t xml:space="preserve">910 €. </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For public call 01/2017 </w:t>
      </w:r>
      <w:r w:rsidR="004B5D46" w:rsidRPr="004D2953">
        <w:rPr>
          <w:rFonts w:ascii="Arial" w:hAnsi="Arial" w:cs="Arial"/>
          <w:sz w:val="22"/>
          <w:szCs w:val="22"/>
          <w:lang w:val="en-US"/>
        </w:rPr>
        <w:t xml:space="preserve">the </w:t>
      </w:r>
      <w:r w:rsidRPr="004D2953">
        <w:rPr>
          <w:rFonts w:ascii="Arial" w:hAnsi="Arial" w:cs="Arial"/>
          <w:sz w:val="22"/>
          <w:szCs w:val="22"/>
          <w:lang w:val="en-US"/>
        </w:rPr>
        <w:t>IPARD Agency signed contract</w:t>
      </w:r>
      <w:r w:rsidR="004B5D46" w:rsidRPr="004D2953">
        <w:rPr>
          <w:rFonts w:ascii="Arial" w:hAnsi="Arial" w:cs="Arial"/>
          <w:sz w:val="22"/>
          <w:szCs w:val="22"/>
          <w:lang w:val="en-US"/>
        </w:rPr>
        <w:t>s</w:t>
      </w:r>
      <w:r w:rsidRPr="004D2953">
        <w:rPr>
          <w:rFonts w:ascii="Arial" w:hAnsi="Arial" w:cs="Arial"/>
          <w:sz w:val="22"/>
          <w:szCs w:val="22"/>
          <w:lang w:val="en-US"/>
        </w:rPr>
        <w:t xml:space="preserve"> </w:t>
      </w:r>
      <w:r w:rsidR="004B5D46" w:rsidRPr="004D2953">
        <w:rPr>
          <w:rFonts w:ascii="Arial" w:hAnsi="Arial" w:cs="Arial"/>
          <w:sz w:val="22"/>
          <w:szCs w:val="22"/>
          <w:lang w:val="en-US"/>
        </w:rPr>
        <w:t xml:space="preserve">under </w:t>
      </w:r>
      <w:r w:rsidRPr="004D2953">
        <w:rPr>
          <w:rFonts w:ascii="Arial" w:hAnsi="Arial" w:cs="Arial"/>
          <w:sz w:val="22"/>
          <w:szCs w:val="22"/>
          <w:lang w:val="en-US"/>
        </w:rPr>
        <w:t xml:space="preserve">902 applications </w:t>
      </w:r>
      <w:r w:rsidR="004B5D46" w:rsidRPr="004D2953">
        <w:rPr>
          <w:rFonts w:ascii="Arial" w:hAnsi="Arial" w:cs="Arial"/>
          <w:sz w:val="22"/>
          <w:szCs w:val="22"/>
          <w:lang w:val="en-US"/>
        </w:rPr>
        <w:t>for M</w:t>
      </w:r>
      <w:r w:rsidRPr="004D2953">
        <w:rPr>
          <w:rFonts w:ascii="Arial" w:hAnsi="Arial" w:cs="Arial"/>
          <w:sz w:val="22"/>
          <w:szCs w:val="22"/>
          <w:lang w:val="en-US"/>
        </w:rPr>
        <w:t>easure 1 in the amount of 8</w:t>
      </w:r>
      <w:r w:rsidR="006A196A" w:rsidRPr="004D2953">
        <w:rPr>
          <w:rFonts w:ascii="Arial" w:hAnsi="Arial" w:cs="Arial"/>
          <w:sz w:val="22"/>
          <w:szCs w:val="22"/>
          <w:lang w:val="en-US"/>
        </w:rPr>
        <w:t>,</w:t>
      </w:r>
      <w:r w:rsidRPr="004D2953">
        <w:rPr>
          <w:rFonts w:ascii="Arial" w:hAnsi="Arial" w:cs="Arial"/>
          <w:sz w:val="22"/>
          <w:szCs w:val="22"/>
          <w:lang w:val="en-US"/>
        </w:rPr>
        <w:t>127</w:t>
      </w:r>
      <w:r w:rsidR="006A196A" w:rsidRPr="004D2953">
        <w:rPr>
          <w:rFonts w:ascii="Arial" w:hAnsi="Arial" w:cs="Arial"/>
          <w:sz w:val="22"/>
          <w:szCs w:val="22"/>
          <w:lang w:val="en-US"/>
        </w:rPr>
        <w:t>,</w:t>
      </w:r>
      <w:r w:rsidRPr="004D2953">
        <w:rPr>
          <w:rFonts w:ascii="Arial" w:hAnsi="Arial" w:cs="Arial"/>
          <w:sz w:val="22"/>
          <w:szCs w:val="22"/>
          <w:lang w:val="en-US"/>
        </w:rPr>
        <w:t xml:space="preserve">123€ and 30 contract </w:t>
      </w:r>
      <w:r w:rsidR="004B5D46" w:rsidRPr="004D2953">
        <w:rPr>
          <w:rFonts w:ascii="Arial" w:hAnsi="Arial" w:cs="Arial"/>
          <w:sz w:val="22"/>
          <w:szCs w:val="22"/>
          <w:lang w:val="en-US"/>
        </w:rPr>
        <w:t xml:space="preserve">under </w:t>
      </w:r>
      <w:r w:rsidRPr="004D2953">
        <w:rPr>
          <w:rFonts w:ascii="Arial" w:hAnsi="Arial" w:cs="Arial"/>
          <w:sz w:val="22"/>
          <w:szCs w:val="22"/>
          <w:lang w:val="en-US"/>
        </w:rPr>
        <w:t>application</w:t>
      </w:r>
      <w:r w:rsidR="004B5D46" w:rsidRPr="004D2953">
        <w:rPr>
          <w:rFonts w:ascii="Arial" w:hAnsi="Arial" w:cs="Arial"/>
          <w:sz w:val="22"/>
          <w:szCs w:val="22"/>
          <w:lang w:val="en-US"/>
        </w:rPr>
        <w:t>s</w:t>
      </w:r>
      <w:r w:rsidRPr="004D2953">
        <w:rPr>
          <w:rFonts w:ascii="Arial" w:hAnsi="Arial" w:cs="Arial"/>
          <w:sz w:val="22"/>
          <w:szCs w:val="22"/>
          <w:lang w:val="en-US"/>
        </w:rPr>
        <w:t xml:space="preserve"> f</w:t>
      </w:r>
      <w:r w:rsidR="004B5D46" w:rsidRPr="004D2953">
        <w:rPr>
          <w:rFonts w:ascii="Arial" w:hAnsi="Arial" w:cs="Arial"/>
          <w:sz w:val="22"/>
          <w:szCs w:val="22"/>
          <w:lang w:val="en-US"/>
        </w:rPr>
        <w:t>or M</w:t>
      </w:r>
      <w:r w:rsidRPr="004D2953">
        <w:rPr>
          <w:rFonts w:ascii="Arial" w:hAnsi="Arial" w:cs="Arial"/>
          <w:sz w:val="22"/>
          <w:szCs w:val="22"/>
          <w:lang w:val="en-US"/>
        </w:rPr>
        <w:t>easure 3 in the amount of 4</w:t>
      </w:r>
      <w:r w:rsidR="006A196A" w:rsidRPr="004D2953">
        <w:rPr>
          <w:rFonts w:ascii="Arial" w:hAnsi="Arial" w:cs="Arial"/>
          <w:sz w:val="22"/>
          <w:szCs w:val="22"/>
          <w:lang w:val="en-US"/>
        </w:rPr>
        <w:t>,</w:t>
      </w:r>
      <w:r w:rsidRPr="004D2953">
        <w:rPr>
          <w:rFonts w:ascii="Arial" w:hAnsi="Arial" w:cs="Arial"/>
          <w:sz w:val="22"/>
          <w:szCs w:val="22"/>
          <w:lang w:val="en-US"/>
        </w:rPr>
        <w:t>942</w:t>
      </w:r>
      <w:r w:rsidR="006A196A" w:rsidRPr="004D2953">
        <w:rPr>
          <w:rFonts w:ascii="Arial" w:hAnsi="Arial" w:cs="Arial"/>
          <w:sz w:val="22"/>
          <w:szCs w:val="22"/>
          <w:lang w:val="en-US"/>
        </w:rPr>
        <w:t>,</w:t>
      </w:r>
      <w:r w:rsidRPr="004D2953">
        <w:rPr>
          <w:rFonts w:ascii="Arial" w:hAnsi="Arial" w:cs="Arial"/>
          <w:sz w:val="22"/>
          <w:szCs w:val="22"/>
          <w:lang w:val="en-US"/>
        </w:rPr>
        <w:t xml:space="preserve">889 € and 3 contract for </w:t>
      </w:r>
      <w:r w:rsidR="004B5D46" w:rsidRPr="004D2953">
        <w:rPr>
          <w:rFonts w:ascii="Arial" w:hAnsi="Arial" w:cs="Arial"/>
          <w:sz w:val="22"/>
          <w:szCs w:val="22"/>
          <w:lang w:val="en-US"/>
        </w:rPr>
        <w:t>M</w:t>
      </w:r>
      <w:r w:rsidRPr="004D2953">
        <w:rPr>
          <w:rFonts w:ascii="Arial" w:hAnsi="Arial" w:cs="Arial"/>
          <w:sz w:val="22"/>
          <w:szCs w:val="22"/>
          <w:lang w:val="en-US"/>
        </w:rPr>
        <w:t>easure 9 in the amount</w:t>
      </w:r>
      <w:r w:rsidR="004B5D46" w:rsidRPr="004D2953">
        <w:rPr>
          <w:rFonts w:ascii="Arial" w:hAnsi="Arial" w:cs="Arial"/>
          <w:sz w:val="22"/>
          <w:szCs w:val="22"/>
          <w:lang w:val="en-US"/>
        </w:rPr>
        <w:t xml:space="preserve"> of </w:t>
      </w:r>
      <w:r w:rsidRPr="004D2953">
        <w:rPr>
          <w:rFonts w:ascii="Arial" w:hAnsi="Arial" w:cs="Arial"/>
          <w:sz w:val="22"/>
          <w:szCs w:val="22"/>
          <w:lang w:val="en-US"/>
        </w:rPr>
        <w:t>3</w:t>
      </w:r>
      <w:r w:rsidR="006A196A" w:rsidRPr="004D2953">
        <w:rPr>
          <w:rFonts w:ascii="Arial" w:hAnsi="Arial" w:cs="Arial"/>
          <w:sz w:val="22"/>
          <w:szCs w:val="22"/>
          <w:lang w:val="en-US"/>
        </w:rPr>
        <w:t>,</w:t>
      </w:r>
      <w:r w:rsidRPr="004D2953">
        <w:rPr>
          <w:rFonts w:ascii="Arial" w:hAnsi="Arial" w:cs="Arial"/>
          <w:sz w:val="22"/>
          <w:szCs w:val="22"/>
          <w:lang w:val="en-US"/>
        </w:rPr>
        <w:t>836</w:t>
      </w:r>
      <w:r w:rsidR="006A196A" w:rsidRPr="004D2953">
        <w:rPr>
          <w:rFonts w:ascii="Arial" w:hAnsi="Arial" w:cs="Arial"/>
          <w:sz w:val="22"/>
          <w:szCs w:val="22"/>
          <w:lang w:val="en-US"/>
        </w:rPr>
        <w:t>.</w:t>
      </w:r>
      <w:r w:rsidRPr="004D2953">
        <w:rPr>
          <w:rFonts w:ascii="Arial" w:hAnsi="Arial" w:cs="Arial"/>
          <w:sz w:val="22"/>
          <w:szCs w:val="22"/>
          <w:lang w:val="en-US"/>
        </w:rPr>
        <w:t xml:space="preserve">5 €. </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During 2018, the IPARD Agency </w:t>
      </w:r>
      <w:r w:rsidR="004B5D46" w:rsidRPr="004D2953">
        <w:rPr>
          <w:rFonts w:ascii="Arial" w:hAnsi="Arial" w:cs="Arial"/>
          <w:sz w:val="22"/>
          <w:szCs w:val="22"/>
          <w:lang w:val="en-US"/>
        </w:rPr>
        <w:t xml:space="preserve">announced the following </w:t>
      </w:r>
      <w:r w:rsidRPr="004D2953">
        <w:rPr>
          <w:rFonts w:ascii="Arial" w:hAnsi="Arial" w:cs="Arial"/>
          <w:sz w:val="22"/>
          <w:szCs w:val="22"/>
          <w:lang w:val="en-US"/>
        </w:rPr>
        <w:t>public calls for measures under the IPARD Programme</w:t>
      </w:r>
      <w:r w:rsidR="004B5D46" w:rsidRPr="004D2953">
        <w:rPr>
          <w:rFonts w:ascii="Arial" w:hAnsi="Arial" w:cs="Arial"/>
          <w:sz w:val="22"/>
          <w:szCs w:val="22"/>
          <w:lang w:val="en-US"/>
        </w:rPr>
        <w:t>:</w:t>
      </w:r>
    </w:p>
    <w:p w:rsidR="003136C5" w:rsidRPr="004D2953" w:rsidRDefault="004B5D46" w:rsidP="003B72A1">
      <w:pPr>
        <w:pStyle w:val="m343668044302477783m-3986873246552044066msolistparagraph"/>
        <w:numPr>
          <w:ilvl w:val="0"/>
          <w:numId w:val="16"/>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on </w:t>
      </w:r>
      <w:r w:rsidR="003136C5" w:rsidRPr="004D2953">
        <w:rPr>
          <w:rFonts w:ascii="Arial" w:hAnsi="Arial" w:cs="Arial"/>
          <w:sz w:val="22"/>
          <w:szCs w:val="22"/>
          <w:lang w:val="en-US"/>
        </w:rPr>
        <w:t xml:space="preserve">30.11.2018 </w:t>
      </w:r>
      <w:r w:rsidRPr="004D2953">
        <w:rPr>
          <w:rFonts w:ascii="Arial" w:hAnsi="Arial" w:cs="Arial"/>
          <w:sz w:val="22"/>
          <w:szCs w:val="22"/>
          <w:lang w:val="en-US"/>
        </w:rPr>
        <w:t xml:space="preserve">the </w:t>
      </w:r>
      <w:r w:rsidR="003136C5" w:rsidRPr="004D2953">
        <w:rPr>
          <w:rFonts w:ascii="Arial" w:hAnsi="Arial" w:cs="Arial"/>
          <w:sz w:val="22"/>
          <w:szCs w:val="22"/>
          <w:lang w:val="en-US"/>
        </w:rPr>
        <w:t>public call for IPARD II for measure 13 “Investments in physical assets concerning processing and marketing of agricultural and fishery products“</w:t>
      </w:r>
      <w:r w:rsidRPr="004D2953">
        <w:rPr>
          <w:rFonts w:ascii="Arial" w:hAnsi="Arial" w:cs="Arial"/>
          <w:sz w:val="22"/>
          <w:szCs w:val="22"/>
          <w:lang w:val="en-US"/>
        </w:rPr>
        <w:t>,</w:t>
      </w:r>
    </w:p>
    <w:p w:rsidR="003136C5" w:rsidRPr="004D2953" w:rsidRDefault="004B5D46" w:rsidP="003B72A1">
      <w:pPr>
        <w:pStyle w:val="m343668044302477783m-3986873246552044066msolistparagraph"/>
        <w:numPr>
          <w:ilvl w:val="0"/>
          <w:numId w:val="16"/>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on</w:t>
      </w:r>
      <w:r w:rsidR="003136C5" w:rsidRPr="004D2953">
        <w:rPr>
          <w:rFonts w:ascii="Arial" w:hAnsi="Arial" w:cs="Arial"/>
          <w:sz w:val="22"/>
          <w:szCs w:val="22"/>
          <w:lang w:val="en-US"/>
        </w:rPr>
        <w:t xml:space="preserve"> 26.12.2018 </w:t>
      </w:r>
      <w:r w:rsidRPr="004D2953">
        <w:rPr>
          <w:rFonts w:ascii="Arial" w:hAnsi="Arial" w:cs="Arial"/>
          <w:sz w:val="22"/>
          <w:szCs w:val="22"/>
          <w:lang w:val="en-US"/>
        </w:rPr>
        <w:t xml:space="preserve">the </w:t>
      </w:r>
      <w:r w:rsidR="003136C5" w:rsidRPr="004D2953">
        <w:rPr>
          <w:rFonts w:ascii="Arial" w:hAnsi="Arial" w:cs="Arial"/>
          <w:sz w:val="22"/>
          <w:szCs w:val="22"/>
          <w:lang w:val="en-US"/>
        </w:rPr>
        <w:t>public call for IPARD II for measure 11 “Investments in physical assets of agricultural holdings“.</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Most of the signed contract</w:t>
      </w:r>
      <w:r w:rsidR="004B5D46" w:rsidRPr="004D2953">
        <w:rPr>
          <w:rFonts w:ascii="Arial" w:hAnsi="Arial" w:cs="Arial"/>
          <w:sz w:val="22"/>
          <w:szCs w:val="22"/>
          <w:lang w:val="en-US"/>
        </w:rPr>
        <w:t>s</w:t>
      </w:r>
      <w:r w:rsidRPr="004D2953">
        <w:rPr>
          <w:rFonts w:ascii="Arial" w:hAnsi="Arial" w:cs="Arial"/>
          <w:sz w:val="22"/>
          <w:szCs w:val="22"/>
          <w:lang w:val="en-US"/>
        </w:rPr>
        <w:t xml:space="preserve"> concerned purchase of equipment and machinery</w:t>
      </w:r>
      <w:r w:rsidR="004B5D46" w:rsidRPr="004D2953">
        <w:rPr>
          <w:rFonts w:ascii="Arial" w:hAnsi="Arial" w:cs="Arial"/>
          <w:sz w:val="22"/>
          <w:szCs w:val="22"/>
          <w:lang w:val="en-US"/>
        </w:rPr>
        <w:t xml:space="preserve">, </w:t>
      </w:r>
      <w:r w:rsidRPr="004D2953">
        <w:rPr>
          <w:rFonts w:ascii="Arial" w:hAnsi="Arial" w:cs="Arial"/>
          <w:sz w:val="22"/>
          <w:szCs w:val="22"/>
          <w:lang w:val="en-US"/>
        </w:rPr>
        <w:t>hav</w:t>
      </w:r>
      <w:r w:rsidR="004B5D46" w:rsidRPr="004D2953">
        <w:rPr>
          <w:rFonts w:ascii="Arial" w:hAnsi="Arial" w:cs="Arial"/>
          <w:sz w:val="22"/>
          <w:szCs w:val="22"/>
          <w:lang w:val="en-US"/>
        </w:rPr>
        <w:t xml:space="preserve">ing </w:t>
      </w:r>
      <w:r w:rsidRPr="004D2953">
        <w:rPr>
          <w:rFonts w:ascii="Arial" w:hAnsi="Arial" w:cs="Arial"/>
          <w:sz w:val="22"/>
          <w:szCs w:val="22"/>
          <w:lang w:val="en-US"/>
        </w:rPr>
        <w:t xml:space="preserve">short term period for </w:t>
      </w:r>
      <w:r w:rsidR="004B5D46" w:rsidRPr="004D2953">
        <w:rPr>
          <w:rFonts w:ascii="Arial" w:hAnsi="Arial" w:cs="Arial"/>
          <w:sz w:val="22"/>
          <w:szCs w:val="22"/>
          <w:lang w:val="en-US"/>
        </w:rPr>
        <w:t xml:space="preserve">investment </w:t>
      </w:r>
      <w:r w:rsidRPr="004D2953">
        <w:rPr>
          <w:rFonts w:ascii="Arial" w:hAnsi="Arial" w:cs="Arial"/>
          <w:sz w:val="22"/>
          <w:szCs w:val="22"/>
          <w:lang w:val="en-US"/>
        </w:rPr>
        <w:t>implementation and therefore</w:t>
      </w:r>
      <w:r w:rsidR="004B5D46" w:rsidRPr="004D2953">
        <w:rPr>
          <w:rFonts w:ascii="Arial" w:hAnsi="Arial" w:cs="Arial"/>
          <w:sz w:val="22"/>
          <w:szCs w:val="22"/>
          <w:lang w:val="en-US"/>
        </w:rPr>
        <w:t>,</w:t>
      </w:r>
      <w:r w:rsidRPr="004D2953">
        <w:rPr>
          <w:rFonts w:ascii="Arial" w:hAnsi="Arial" w:cs="Arial"/>
          <w:sz w:val="22"/>
          <w:szCs w:val="22"/>
          <w:lang w:val="en-US"/>
        </w:rPr>
        <w:t xml:space="preserve"> no progress report letter</w:t>
      </w:r>
      <w:r w:rsidR="004B5D46" w:rsidRPr="004D2953">
        <w:rPr>
          <w:rFonts w:ascii="Arial" w:hAnsi="Arial" w:cs="Arial"/>
          <w:sz w:val="22"/>
          <w:szCs w:val="22"/>
          <w:lang w:val="en-US"/>
        </w:rPr>
        <w:t>s</w:t>
      </w:r>
      <w:r w:rsidRPr="004D2953">
        <w:rPr>
          <w:rFonts w:ascii="Arial" w:hAnsi="Arial" w:cs="Arial"/>
          <w:sz w:val="22"/>
          <w:szCs w:val="22"/>
          <w:lang w:val="en-US"/>
        </w:rPr>
        <w:t xml:space="preserve"> were required from the applicant</w:t>
      </w:r>
      <w:r w:rsidR="004B5D46" w:rsidRPr="004D2953">
        <w:rPr>
          <w:rFonts w:ascii="Arial" w:hAnsi="Arial" w:cs="Arial"/>
          <w:sz w:val="22"/>
          <w:szCs w:val="22"/>
          <w:lang w:val="en-US"/>
        </w:rPr>
        <w:t>s</w:t>
      </w:r>
      <w:r w:rsidRPr="004D2953">
        <w:rPr>
          <w:rFonts w:ascii="Arial" w:hAnsi="Arial" w:cs="Arial"/>
          <w:sz w:val="22"/>
          <w:szCs w:val="22"/>
          <w:lang w:val="en-US"/>
        </w:rPr>
        <w:t>.</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During 2018, the IPARD Agency received 1</w:t>
      </w:r>
      <w:r w:rsidR="004B5D46" w:rsidRPr="004D2953">
        <w:rPr>
          <w:rFonts w:ascii="Arial" w:hAnsi="Arial" w:cs="Arial"/>
          <w:sz w:val="22"/>
          <w:szCs w:val="22"/>
          <w:lang w:val="en-US"/>
        </w:rPr>
        <w:t>,</w:t>
      </w:r>
      <w:r w:rsidRPr="004D2953">
        <w:rPr>
          <w:rFonts w:ascii="Arial" w:hAnsi="Arial" w:cs="Arial"/>
          <w:sz w:val="22"/>
          <w:szCs w:val="22"/>
          <w:lang w:val="en-US"/>
        </w:rPr>
        <w:t xml:space="preserve">651 claims for payment </w:t>
      </w:r>
      <w:r w:rsidR="004B5D46" w:rsidRPr="004D2953">
        <w:rPr>
          <w:rFonts w:ascii="Arial" w:hAnsi="Arial" w:cs="Arial"/>
          <w:sz w:val="22"/>
          <w:szCs w:val="22"/>
          <w:lang w:val="en-US"/>
        </w:rPr>
        <w:t xml:space="preserve">under the published call 01/2017 </w:t>
      </w:r>
      <w:r w:rsidRPr="004D2953">
        <w:rPr>
          <w:rFonts w:ascii="Arial" w:hAnsi="Arial" w:cs="Arial"/>
          <w:sz w:val="22"/>
          <w:szCs w:val="22"/>
          <w:lang w:val="en-US"/>
        </w:rPr>
        <w:t xml:space="preserve">which were processed or are still </w:t>
      </w:r>
      <w:r w:rsidR="004B5D46" w:rsidRPr="004D2953">
        <w:rPr>
          <w:rFonts w:ascii="Arial" w:hAnsi="Arial" w:cs="Arial"/>
          <w:sz w:val="22"/>
          <w:szCs w:val="22"/>
          <w:lang w:val="en-US"/>
        </w:rPr>
        <w:t xml:space="preserve">being </w:t>
      </w:r>
      <w:r w:rsidRPr="004D2953">
        <w:rPr>
          <w:rFonts w:ascii="Arial" w:hAnsi="Arial" w:cs="Arial"/>
          <w:sz w:val="22"/>
          <w:szCs w:val="22"/>
          <w:lang w:val="en-US"/>
        </w:rPr>
        <w:t xml:space="preserve">processing in the current year. </w:t>
      </w:r>
      <w:r w:rsidR="004B5D46" w:rsidRPr="004D2953">
        <w:rPr>
          <w:rFonts w:ascii="Arial" w:hAnsi="Arial" w:cs="Arial"/>
          <w:sz w:val="22"/>
          <w:szCs w:val="22"/>
          <w:lang w:val="en-US"/>
        </w:rPr>
        <w:t xml:space="preserve">The </w:t>
      </w:r>
      <w:r w:rsidRPr="004D2953">
        <w:rPr>
          <w:rFonts w:ascii="Arial" w:hAnsi="Arial" w:cs="Arial"/>
          <w:sz w:val="22"/>
          <w:szCs w:val="22"/>
          <w:lang w:val="en-US"/>
        </w:rPr>
        <w:t xml:space="preserve">IPARD Agency approved 127 claims for payment. </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The total approved amount for payment in 2018 </w:t>
      </w:r>
      <w:r w:rsidR="004B5D46" w:rsidRPr="004D2953">
        <w:rPr>
          <w:rFonts w:ascii="Arial" w:hAnsi="Arial" w:cs="Arial"/>
          <w:sz w:val="22"/>
          <w:szCs w:val="22"/>
          <w:lang w:val="en-US"/>
        </w:rPr>
        <w:t>wa</w:t>
      </w:r>
      <w:r w:rsidRPr="004D2953">
        <w:rPr>
          <w:rFonts w:ascii="Arial" w:hAnsi="Arial" w:cs="Arial"/>
          <w:sz w:val="22"/>
          <w:szCs w:val="22"/>
          <w:lang w:val="en-US"/>
        </w:rPr>
        <w:t>s</w:t>
      </w:r>
      <w:r w:rsidR="00DA409C" w:rsidRPr="004D2953">
        <w:rPr>
          <w:rFonts w:ascii="Arial" w:hAnsi="Arial" w:cs="Arial"/>
          <w:sz w:val="22"/>
          <w:szCs w:val="22"/>
          <w:lang w:val="en-US"/>
        </w:rPr>
        <w:t xml:space="preserve"> </w:t>
      </w:r>
      <w:r w:rsidRPr="004D2953">
        <w:rPr>
          <w:rFonts w:ascii="Arial" w:hAnsi="Arial" w:cs="Arial"/>
          <w:sz w:val="22"/>
          <w:szCs w:val="22"/>
          <w:lang w:val="en-US"/>
        </w:rPr>
        <w:t>1</w:t>
      </w:r>
      <w:r w:rsidR="006A196A" w:rsidRPr="004D2953">
        <w:rPr>
          <w:rFonts w:ascii="Arial" w:hAnsi="Arial" w:cs="Arial"/>
          <w:sz w:val="22"/>
          <w:szCs w:val="22"/>
          <w:lang w:val="en-US"/>
        </w:rPr>
        <w:t>,</w:t>
      </w:r>
      <w:r w:rsidRPr="004D2953">
        <w:rPr>
          <w:rFonts w:ascii="Arial" w:hAnsi="Arial" w:cs="Arial"/>
          <w:sz w:val="22"/>
          <w:szCs w:val="22"/>
          <w:lang w:val="en-US"/>
        </w:rPr>
        <w:t>002</w:t>
      </w:r>
      <w:r w:rsidR="006A196A" w:rsidRPr="004D2953">
        <w:rPr>
          <w:rFonts w:ascii="Arial" w:hAnsi="Arial" w:cs="Arial"/>
          <w:sz w:val="22"/>
          <w:szCs w:val="22"/>
          <w:lang w:val="en-US"/>
        </w:rPr>
        <w:t>,</w:t>
      </w:r>
      <w:r w:rsidRPr="004D2953">
        <w:rPr>
          <w:rFonts w:ascii="Arial" w:hAnsi="Arial" w:cs="Arial"/>
          <w:sz w:val="22"/>
          <w:szCs w:val="22"/>
          <w:lang w:val="en-US"/>
        </w:rPr>
        <w:t>786</w:t>
      </w:r>
      <w:r w:rsidR="006A196A" w:rsidRPr="004D2953">
        <w:rPr>
          <w:rFonts w:ascii="Arial" w:hAnsi="Arial" w:cs="Arial"/>
          <w:sz w:val="22"/>
          <w:szCs w:val="22"/>
          <w:lang w:val="en-US"/>
        </w:rPr>
        <w:t>.</w:t>
      </w:r>
      <w:r w:rsidRPr="004D2953">
        <w:rPr>
          <w:rFonts w:ascii="Arial" w:hAnsi="Arial" w:cs="Arial"/>
          <w:sz w:val="22"/>
          <w:szCs w:val="22"/>
          <w:lang w:val="en-US"/>
        </w:rPr>
        <w:t>00</w:t>
      </w:r>
      <w:r w:rsidR="00DA409C" w:rsidRPr="004D2953">
        <w:rPr>
          <w:rFonts w:ascii="Arial" w:hAnsi="Arial" w:cs="Arial"/>
          <w:sz w:val="22"/>
          <w:szCs w:val="22"/>
          <w:lang w:val="en-US"/>
        </w:rPr>
        <w:t xml:space="preserve"> </w:t>
      </w:r>
      <w:r w:rsidRPr="004D2953">
        <w:rPr>
          <w:rFonts w:ascii="Arial" w:hAnsi="Arial" w:cs="Arial"/>
          <w:sz w:val="22"/>
          <w:szCs w:val="22"/>
          <w:lang w:val="en-US"/>
        </w:rPr>
        <w:t xml:space="preserve">€. </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1.</w:t>
      </w:r>
      <w:r w:rsidRPr="004D2953">
        <w:rPr>
          <w:rFonts w:ascii="Arial" w:hAnsi="Arial" w:cs="Arial"/>
          <w:sz w:val="22"/>
          <w:szCs w:val="22"/>
          <w:lang w:val="en-US"/>
        </w:rPr>
        <w:tab/>
        <w:t>Received claims for payment in 2018</w:t>
      </w:r>
    </w:p>
    <w:p w:rsidR="003136C5" w:rsidRPr="004D2953" w:rsidRDefault="003136C5" w:rsidP="003136C5">
      <w:pPr>
        <w:pStyle w:val="m343668044302477783m-3986873246552044066msolistparagraph"/>
        <w:numPr>
          <w:ilvl w:val="0"/>
          <w:numId w:val="8"/>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for Measure 1,</w:t>
      </w:r>
      <w:r w:rsidR="00DA409C" w:rsidRPr="004D2953">
        <w:rPr>
          <w:rFonts w:ascii="Arial" w:hAnsi="Arial" w:cs="Arial"/>
          <w:sz w:val="22"/>
          <w:szCs w:val="22"/>
          <w:lang w:val="en-US"/>
        </w:rPr>
        <w:t xml:space="preserve"> </w:t>
      </w:r>
      <w:r w:rsidRPr="004D2953">
        <w:rPr>
          <w:rFonts w:ascii="Arial" w:hAnsi="Arial" w:cs="Arial"/>
          <w:sz w:val="22"/>
          <w:szCs w:val="22"/>
          <w:lang w:val="en-US"/>
        </w:rPr>
        <w:t>1404 claims for payment</w:t>
      </w:r>
      <w:r w:rsidR="004B5D46" w:rsidRPr="004D2953">
        <w:rPr>
          <w:rFonts w:ascii="Arial" w:hAnsi="Arial" w:cs="Arial"/>
          <w:sz w:val="22"/>
          <w:szCs w:val="22"/>
          <w:lang w:val="en-US"/>
        </w:rPr>
        <w:t xml:space="preserve"> received</w:t>
      </w:r>
    </w:p>
    <w:p w:rsidR="003136C5" w:rsidRPr="004D2953" w:rsidRDefault="003136C5" w:rsidP="003136C5">
      <w:pPr>
        <w:pStyle w:val="m343668044302477783m-3986873246552044066msolistparagraph"/>
        <w:numPr>
          <w:ilvl w:val="0"/>
          <w:numId w:val="8"/>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for measure 3, 57 claims for payment</w:t>
      </w:r>
      <w:r w:rsidR="004B5D46" w:rsidRPr="004D2953">
        <w:rPr>
          <w:rFonts w:ascii="Arial" w:hAnsi="Arial" w:cs="Arial"/>
          <w:sz w:val="22"/>
          <w:szCs w:val="22"/>
          <w:lang w:val="en-US"/>
        </w:rPr>
        <w:t xml:space="preserve"> received</w:t>
      </w:r>
    </w:p>
    <w:p w:rsidR="003136C5" w:rsidRPr="004D2953" w:rsidRDefault="003136C5" w:rsidP="003136C5">
      <w:pPr>
        <w:pStyle w:val="m343668044302477783m-3986873246552044066msolistparagraph"/>
        <w:numPr>
          <w:ilvl w:val="0"/>
          <w:numId w:val="8"/>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for Measure 7, 187</w:t>
      </w:r>
      <w:r w:rsidR="00DA409C" w:rsidRPr="004D2953">
        <w:rPr>
          <w:rFonts w:ascii="Arial" w:hAnsi="Arial" w:cs="Arial"/>
          <w:sz w:val="22"/>
          <w:szCs w:val="22"/>
          <w:lang w:val="en-US"/>
        </w:rPr>
        <w:t xml:space="preserve"> </w:t>
      </w:r>
      <w:r w:rsidRPr="004D2953">
        <w:rPr>
          <w:rFonts w:ascii="Arial" w:hAnsi="Arial" w:cs="Arial"/>
          <w:sz w:val="22"/>
          <w:szCs w:val="22"/>
          <w:lang w:val="en-US"/>
        </w:rPr>
        <w:t>claims for payment</w:t>
      </w:r>
      <w:r w:rsidR="004B5D46" w:rsidRPr="004D2953">
        <w:rPr>
          <w:rFonts w:ascii="Arial" w:hAnsi="Arial" w:cs="Arial"/>
          <w:sz w:val="22"/>
          <w:szCs w:val="22"/>
          <w:lang w:val="en-US"/>
        </w:rPr>
        <w:t xml:space="preserve"> received</w:t>
      </w:r>
    </w:p>
    <w:p w:rsidR="003136C5" w:rsidRPr="004D2953" w:rsidRDefault="003136C5" w:rsidP="003136C5">
      <w:pPr>
        <w:pStyle w:val="m343668044302477783m-3986873246552044066msolistparagraph"/>
        <w:numPr>
          <w:ilvl w:val="0"/>
          <w:numId w:val="8"/>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for Measure</w:t>
      </w:r>
      <w:r w:rsidR="00DA409C" w:rsidRPr="004D2953">
        <w:rPr>
          <w:rFonts w:ascii="Arial" w:hAnsi="Arial" w:cs="Arial"/>
          <w:sz w:val="22"/>
          <w:szCs w:val="22"/>
          <w:lang w:val="en-US"/>
        </w:rPr>
        <w:t xml:space="preserve"> </w:t>
      </w:r>
      <w:r w:rsidRPr="004D2953">
        <w:rPr>
          <w:rFonts w:ascii="Arial" w:hAnsi="Arial" w:cs="Arial"/>
          <w:sz w:val="22"/>
          <w:szCs w:val="22"/>
          <w:lang w:val="en-US"/>
        </w:rPr>
        <w:t>9,</w:t>
      </w:r>
      <w:r w:rsidR="00DA409C" w:rsidRPr="004D2953">
        <w:rPr>
          <w:rFonts w:ascii="Arial" w:hAnsi="Arial" w:cs="Arial"/>
          <w:sz w:val="22"/>
          <w:szCs w:val="22"/>
          <w:lang w:val="en-US"/>
        </w:rPr>
        <w:t xml:space="preserve"> </w:t>
      </w:r>
      <w:r w:rsidRPr="004D2953">
        <w:rPr>
          <w:rFonts w:ascii="Arial" w:hAnsi="Arial" w:cs="Arial"/>
          <w:sz w:val="22"/>
          <w:szCs w:val="22"/>
          <w:lang w:val="en-US"/>
        </w:rPr>
        <w:t>3</w:t>
      </w:r>
      <w:r w:rsidR="00DA409C" w:rsidRPr="004D2953">
        <w:rPr>
          <w:rFonts w:ascii="Arial" w:hAnsi="Arial" w:cs="Arial"/>
          <w:sz w:val="22"/>
          <w:szCs w:val="22"/>
          <w:lang w:val="en-US"/>
        </w:rPr>
        <w:t xml:space="preserve"> </w:t>
      </w:r>
      <w:r w:rsidRPr="004D2953">
        <w:rPr>
          <w:rFonts w:ascii="Arial" w:hAnsi="Arial" w:cs="Arial"/>
          <w:sz w:val="22"/>
          <w:szCs w:val="22"/>
          <w:lang w:val="en-US"/>
        </w:rPr>
        <w:t>claims for payment</w:t>
      </w:r>
      <w:r w:rsidR="004B5D46" w:rsidRPr="004D2953">
        <w:rPr>
          <w:rFonts w:ascii="Arial" w:hAnsi="Arial" w:cs="Arial"/>
          <w:sz w:val="22"/>
          <w:szCs w:val="22"/>
          <w:lang w:val="en-US"/>
        </w:rPr>
        <w:t xml:space="preserve"> received</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2.</w:t>
      </w:r>
      <w:r w:rsidRPr="004D2953">
        <w:rPr>
          <w:rFonts w:ascii="Arial" w:hAnsi="Arial" w:cs="Arial"/>
          <w:sz w:val="22"/>
          <w:szCs w:val="22"/>
          <w:lang w:val="en-US"/>
        </w:rPr>
        <w:tab/>
        <w:t>Approved claims for payment in 2018:</w:t>
      </w:r>
    </w:p>
    <w:p w:rsidR="003136C5" w:rsidRPr="004D2953" w:rsidRDefault="003136C5" w:rsidP="003136C5">
      <w:pPr>
        <w:pStyle w:val="m343668044302477783m-3986873246552044066msolistparagraph"/>
        <w:numPr>
          <w:ilvl w:val="0"/>
          <w:numId w:val="8"/>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for Measure 1, 902 claims </w:t>
      </w:r>
      <w:r w:rsidR="004B5D46" w:rsidRPr="004D2953">
        <w:rPr>
          <w:rFonts w:ascii="Arial" w:hAnsi="Arial" w:cs="Arial"/>
          <w:sz w:val="22"/>
          <w:szCs w:val="22"/>
          <w:lang w:val="en-US"/>
        </w:rPr>
        <w:t xml:space="preserve">approved </w:t>
      </w:r>
      <w:r w:rsidRPr="004D2953">
        <w:rPr>
          <w:rFonts w:ascii="Arial" w:hAnsi="Arial" w:cs="Arial"/>
          <w:sz w:val="22"/>
          <w:szCs w:val="22"/>
          <w:lang w:val="en-US"/>
        </w:rPr>
        <w:t>for payment</w:t>
      </w:r>
    </w:p>
    <w:p w:rsidR="003136C5" w:rsidRPr="004D2953" w:rsidRDefault="003136C5" w:rsidP="003136C5">
      <w:pPr>
        <w:pStyle w:val="m343668044302477783m-3986873246552044066msolistparagraph"/>
        <w:numPr>
          <w:ilvl w:val="0"/>
          <w:numId w:val="8"/>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for Measure 3, 30</w:t>
      </w:r>
      <w:r w:rsidR="00DA409C" w:rsidRPr="004D2953">
        <w:rPr>
          <w:rFonts w:ascii="Arial" w:hAnsi="Arial" w:cs="Arial"/>
          <w:sz w:val="22"/>
          <w:szCs w:val="22"/>
          <w:lang w:val="en-US"/>
        </w:rPr>
        <w:t xml:space="preserve"> </w:t>
      </w:r>
      <w:r w:rsidRPr="004D2953">
        <w:rPr>
          <w:rFonts w:ascii="Arial" w:hAnsi="Arial" w:cs="Arial"/>
          <w:sz w:val="22"/>
          <w:szCs w:val="22"/>
          <w:lang w:val="en-US"/>
        </w:rPr>
        <w:t xml:space="preserve">claims </w:t>
      </w:r>
      <w:r w:rsidR="004B5D46" w:rsidRPr="004D2953">
        <w:rPr>
          <w:rFonts w:ascii="Arial" w:hAnsi="Arial" w:cs="Arial"/>
          <w:sz w:val="22"/>
          <w:szCs w:val="22"/>
          <w:lang w:val="en-US"/>
        </w:rPr>
        <w:t xml:space="preserve">approved </w:t>
      </w:r>
      <w:r w:rsidRPr="004D2953">
        <w:rPr>
          <w:rFonts w:ascii="Arial" w:hAnsi="Arial" w:cs="Arial"/>
          <w:sz w:val="22"/>
          <w:szCs w:val="22"/>
          <w:lang w:val="en-US"/>
        </w:rPr>
        <w:t>for payment</w:t>
      </w:r>
    </w:p>
    <w:p w:rsidR="003136C5" w:rsidRPr="004D2953" w:rsidRDefault="003136C5" w:rsidP="003136C5">
      <w:pPr>
        <w:pStyle w:val="m343668044302477783m-3986873246552044066msolistparagraph"/>
        <w:numPr>
          <w:ilvl w:val="0"/>
          <w:numId w:val="8"/>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for Measure 7, 0</w:t>
      </w:r>
      <w:r w:rsidR="00DA409C" w:rsidRPr="004D2953">
        <w:rPr>
          <w:rFonts w:ascii="Arial" w:hAnsi="Arial" w:cs="Arial"/>
          <w:sz w:val="22"/>
          <w:szCs w:val="22"/>
          <w:lang w:val="en-US"/>
        </w:rPr>
        <w:t xml:space="preserve"> </w:t>
      </w:r>
      <w:r w:rsidRPr="004D2953">
        <w:rPr>
          <w:rFonts w:ascii="Arial" w:hAnsi="Arial" w:cs="Arial"/>
          <w:sz w:val="22"/>
          <w:szCs w:val="22"/>
          <w:lang w:val="en-US"/>
        </w:rPr>
        <w:t xml:space="preserve">claims </w:t>
      </w:r>
      <w:r w:rsidR="004B5D46" w:rsidRPr="004D2953">
        <w:rPr>
          <w:rFonts w:ascii="Arial" w:hAnsi="Arial" w:cs="Arial"/>
          <w:sz w:val="22"/>
          <w:szCs w:val="22"/>
          <w:lang w:val="en-US"/>
        </w:rPr>
        <w:t xml:space="preserve">approved </w:t>
      </w:r>
      <w:r w:rsidRPr="004D2953">
        <w:rPr>
          <w:rFonts w:ascii="Arial" w:hAnsi="Arial" w:cs="Arial"/>
          <w:sz w:val="22"/>
          <w:szCs w:val="22"/>
          <w:lang w:val="en-US"/>
        </w:rPr>
        <w:t>for payment</w:t>
      </w:r>
    </w:p>
    <w:p w:rsidR="003136C5" w:rsidRPr="004D2953" w:rsidRDefault="003136C5" w:rsidP="003136C5">
      <w:pPr>
        <w:pStyle w:val="m343668044302477783m-3986873246552044066msolistparagraph"/>
        <w:numPr>
          <w:ilvl w:val="0"/>
          <w:numId w:val="8"/>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for Measure</w:t>
      </w:r>
      <w:r w:rsidR="00DA409C" w:rsidRPr="004D2953">
        <w:rPr>
          <w:rFonts w:ascii="Arial" w:hAnsi="Arial" w:cs="Arial"/>
          <w:sz w:val="22"/>
          <w:szCs w:val="22"/>
          <w:lang w:val="en-US"/>
        </w:rPr>
        <w:t xml:space="preserve"> </w:t>
      </w:r>
      <w:r w:rsidRPr="004D2953">
        <w:rPr>
          <w:rFonts w:ascii="Arial" w:hAnsi="Arial" w:cs="Arial"/>
          <w:sz w:val="22"/>
          <w:szCs w:val="22"/>
          <w:lang w:val="en-US"/>
        </w:rPr>
        <w:t>9, 3</w:t>
      </w:r>
      <w:r w:rsidR="00DA409C" w:rsidRPr="004D2953">
        <w:rPr>
          <w:rFonts w:ascii="Arial" w:hAnsi="Arial" w:cs="Arial"/>
          <w:sz w:val="22"/>
          <w:szCs w:val="22"/>
          <w:lang w:val="en-US"/>
        </w:rPr>
        <w:t xml:space="preserve"> </w:t>
      </w:r>
      <w:r w:rsidRPr="004D2953">
        <w:rPr>
          <w:rFonts w:ascii="Arial" w:hAnsi="Arial" w:cs="Arial"/>
          <w:sz w:val="22"/>
          <w:szCs w:val="22"/>
          <w:lang w:val="en-US"/>
        </w:rPr>
        <w:t xml:space="preserve">claims </w:t>
      </w:r>
      <w:r w:rsidR="004B5D46" w:rsidRPr="004D2953">
        <w:rPr>
          <w:rFonts w:ascii="Arial" w:hAnsi="Arial" w:cs="Arial"/>
          <w:sz w:val="22"/>
          <w:szCs w:val="22"/>
          <w:lang w:val="en-US"/>
        </w:rPr>
        <w:t xml:space="preserve">approved </w:t>
      </w:r>
      <w:r w:rsidRPr="004D2953">
        <w:rPr>
          <w:rFonts w:ascii="Arial" w:hAnsi="Arial" w:cs="Arial"/>
          <w:sz w:val="22"/>
          <w:szCs w:val="22"/>
          <w:lang w:val="en-US"/>
        </w:rPr>
        <w:t>for payment</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3.</w:t>
      </w:r>
      <w:r w:rsidRPr="004D2953">
        <w:rPr>
          <w:rFonts w:ascii="Arial" w:hAnsi="Arial" w:cs="Arial"/>
          <w:sz w:val="22"/>
          <w:szCs w:val="22"/>
          <w:lang w:val="en-US"/>
        </w:rPr>
        <w:tab/>
        <w:t>Total approved amount for payment:</w:t>
      </w:r>
    </w:p>
    <w:p w:rsidR="003136C5" w:rsidRPr="004D2953" w:rsidRDefault="003136C5" w:rsidP="003136C5">
      <w:pPr>
        <w:pStyle w:val="m343668044302477783m-3986873246552044066msolistparagraph"/>
        <w:numPr>
          <w:ilvl w:val="0"/>
          <w:numId w:val="8"/>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lastRenderedPageBreak/>
        <w:t xml:space="preserve">for Measure 1, </w:t>
      </w:r>
      <w:r w:rsidR="004B5D46" w:rsidRPr="004D2953">
        <w:rPr>
          <w:rFonts w:ascii="Arial" w:hAnsi="Arial" w:cs="Arial"/>
          <w:sz w:val="22"/>
          <w:szCs w:val="22"/>
          <w:lang w:val="en-US"/>
        </w:rPr>
        <w:t xml:space="preserve">under </w:t>
      </w:r>
      <w:r w:rsidRPr="004D2953">
        <w:rPr>
          <w:rFonts w:ascii="Arial" w:hAnsi="Arial" w:cs="Arial"/>
          <w:sz w:val="22"/>
          <w:szCs w:val="22"/>
          <w:lang w:val="en-US"/>
        </w:rPr>
        <w:t>116 claims for payment</w:t>
      </w:r>
      <w:r w:rsidR="00DA409C" w:rsidRPr="004D2953">
        <w:rPr>
          <w:rFonts w:ascii="Arial" w:hAnsi="Arial" w:cs="Arial"/>
          <w:sz w:val="22"/>
          <w:szCs w:val="22"/>
          <w:lang w:val="en-US"/>
        </w:rPr>
        <w:t xml:space="preserve"> </w:t>
      </w:r>
      <w:r w:rsidRPr="004D2953">
        <w:rPr>
          <w:rFonts w:ascii="Arial" w:hAnsi="Arial" w:cs="Arial"/>
          <w:sz w:val="22"/>
          <w:szCs w:val="22"/>
          <w:lang w:val="en-US"/>
        </w:rPr>
        <w:t>452</w:t>
      </w:r>
      <w:r w:rsidR="006A196A" w:rsidRPr="004D2953">
        <w:rPr>
          <w:rFonts w:ascii="Arial" w:hAnsi="Arial" w:cs="Arial"/>
          <w:sz w:val="22"/>
          <w:szCs w:val="22"/>
          <w:lang w:val="en-US"/>
        </w:rPr>
        <w:t>,</w:t>
      </w:r>
      <w:r w:rsidRPr="004D2953">
        <w:rPr>
          <w:rFonts w:ascii="Arial" w:hAnsi="Arial" w:cs="Arial"/>
          <w:sz w:val="22"/>
          <w:szCs w:val="22"/>
          <w:lang w:val="en-US"/>
        </w:rPr>
        <w:t>878 €</w:t>
      </w:r>
      <w:r w:rsidR="004B5D46" w:rsidRPr="004D2953">
        <w:rPr>
          <w:rFonts w:ascii="Arial" w:hAnsi="Arial" w:cs="Arial"/>
          <w:sz w:val="22"/>
          <w:szCs w:val="22"/>
          <w:lang w:val="en-US"/>
        </w:rPr>
        <w:t xml:space="preserve"> paid.</w:t>
      </w:r>
    </w:p>
    <w:p w:rsidR="003136C5" w:rsidRPr="004D2953" w:rsidRDefault="003136C5" w:rsidP="003136C5">
      <w:pPr>
        <w:pStyle w:val="m343668044302477783m-3986873246552044066msolistparagraph"/>
        <w:numPr>
          <w:ilvl w:val="0"/>
          <w:numId w:val="8"/>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for Measure 3,</w:t>
      </w:r>
      <w:r w:rsidR="00DA409C" w:rsidRPr="004D2953">
        <w:rPr>
          <w:rFonts w:ascii="Arial" w:hAnsi="Arial" w:cs="Arial"/>
          <w:sz w:val="22"/>
          <w:szCs w:val="22"/>
          <w:lang w:val="en-US"/>
        </w:rPr>
        <w:t xml:space="preserve"> </w:t>
      </w:r>
      <w:r w:rsidR="004B5D46" w:rsidRPr="004D2953">
        <w:rPr>
          <w:rFonts w:ascii="Arial" w:hAnsi="Arial" w:cs="Arial"/>
          <w:sz w:val="22"/>
          <w:szCs w:val="22"/>
          <w:lang w:val="en-US"/>
        </w:rPr>
        <w:t xml:space="preserve">under </w:t>
      </w:r>
      <w:r w:rsidRPr="004D2953">
        <w:rPr>
          <w:rFonts w:ascii="Arial" w:hAnsi="Arial" w:cs="Arial"/>
          <w:sz w:val="22"/>
          <w:szCs w:val="22"/>
          <w:lang w:val="en-US"/>
        </w:rPr>
        <w:t>8</w:t>
      </w:r>
      <w:r w:rsidR="00DA409C" w:rsidRPr="004D2953">
        <w:rPr>
          <w:rFonts w:ascii="Arial" w:hAnsi="Arial" w:cs="Arial"/>
          <w:sz w:val="22"/>
          <w:szCs w:val="22"/>
          <w:lang w:val="en-US"/>
        </w:rPr>
        <w:t xml:space="preserve"> </w:t>
      </w:r>
      <w:r w:rsidRPr="004D2953">
        <w:rPr>
          <w:rFonts w:ascii="Arial" w:hAnsi="Arial" w:cs="Arial"/>
          <w:sz w:val="22"/>
          <w:szCs w:val="22"/>
          <w:lang w:val="en-US"/>
        </w:rPr>
        <w:t>claims for payment</w:t>
      </w:r>
      <w:r w:rsidR="00DA409C" w:rsidRPr="004D2953">
        <w:rPr>
          <w:rFonts w:ascii="Arial" w:hAnsi="Arial" w:cs="Arial"/>
          <w:sz w:val="22"/>
          <w:szCs w:val="22"/>
          <w:lang w:val="en-US"/>
        </w:rPr>
        <w:t xml:space="preserve"> </w:t>
      </w:r>
      <w:r w:rsidRPr="004D2953">
        <w:rPr>
          <w:rFonts w:ascii="Arial" w:hAnsi="Arial" w:cs="Arial"/>
          <w:sz w:val="22"/>
          <w:szCs w:val="22"/>
          <w:lang w:val="en-US"/>
        </w:rPr>
        <w:t>546</w:t>
      </w:r>
      <w:r w:rsidR="006A196A" w:rsidRPr="004D2953">
        <w:rPr>
          <w:rFonts w:ascii="Arial" w:hAnsi="Arial" w:cs="Arial"/>
          <w:sz w:val="22"/>
          <w:szCs w:val="22"/>
          <w:lang w:val="en-US"/>
        </w:rPr>
        <w:t>,</w:t>
      </w:r>
      <w:r w:rsidRPr="004D2953">
        <w:rPr>
          <w:rFonts w:ascii="Arial" w:hAnsi="Arial" w:cs="Arial"/>
          <w:sz w:val="22"/>
          <w:szCs w:val="22"/>
          <w:lang w:val="en-US"/>
        </w:rPr>
        <w:t>071</w:t>
      </w:r>
      <w:r w:rsidR="00DA409C" w:rsidRPr="004D2953">
        <w:rPr>
          <w:rFonts w:ascii="Arial" w:hAnsi="Arial" w:cs="Arial"/>
          <w:sz w:val="22"/>
          <w:szCs w:val="22"/>
          <w:lang w:val="en-US"/>
        </w:rPr>
        <w:t xml:space="preserve"> </w:t>
      </w:r>
      <w:r w:rsidRPr="004D2953">
        <w:rPr>
          <w:rFonts w:ascii="Arial" w:hAnsi="Arial" w:cs="Arial"/>
          <w:sz w:val="22"/>
          <w:szCs w:val="22"/>
          <w:lang w:val="en-US"/>
        </w:rPr>
        <w:t>€</w:t>
      </w:r>
      <w:r w:rsidR="004B5D46" w:rsidRPr="004D2953">
        <w:rPr>
          <w:rFonts w:ascii="Arial" w:hAnsi="Arial" w:cs="Arial"/>
          <w:sz w:val="22"/>
          <w:szCs w:val="22"/>
          <w:lang w:val="en-US"/>
        </w:rPr>
        <w:t xml:space="preserve"> paid.  </w:t>
      </w:r>
    </w:p>
    <w:p w:rsidR="003136C5" w:rsidRPr="004D2953" w:rsidRDefault="003136C5" w:rsidP="003136C5">
      <w:pPr>
        <w:pStyle w:val="m343668044302477783m-3986873246552044066msolistparagraph"/>
        <w:numPr>
          <w:ilvl w:val="0"/>
          <w:numId w:val="8"/>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for Measure 7, 0 claims for payment .</w:t>
      </w:r>
    </w:p>
    <w:p w:rsidR="003136C5" w:rsidRPr="004D2953" w:rsidRDefault="003136C5" w:rsidP="003136C5">
      <w:pPr>
        <w:pStyle w:val="m343668044302477783m-3986873246552044066msolistparagraph"/>
        <w:numPr>
          <w:ilvl w:val="0"/>
          <w:numId w:val="8"/>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for Measure</w:t>
      </w:r>
      <w:r w:rsidR="00DA409C" w:rsidRPr="004D2953">
        <w:rPr>
          <w:rFonts w:ascii="Arial" w:hAnsi="Arial" w:cs="Arial"/>
          <w:sz w:val="22"/>
          <w:szCs w:val="22"/>
          <w:lang w:val="en-US"/>
        </w:rPr>
        <w:t xml:space="preserve"> </w:t>
      </w:r>
      <w:r w:rsidRPr="004D2953">
        <w:rPr>
          <w:rFonts w:ascii="Arial" w:hAnsi="Arial" w:cs="Arial"/>
          <w:sz w:val="22"/>
          <w:szCs w:val="22"/>
          <w:lang w:val="en-US"/>
        </w:rPr>
        <w:t xml:space="preserve">9, </w:t>
      </w:r>
      <w:r w:rsidR="004B5D46" w:rsidRPr="004D2953">
        <w:rPr>
          <w:rFonts w:ascii="Arial" w:hAnsi="Arial" w:cs="Arial"/>
          <w:sz w:val="22"/>
          <w:szCs w:val="22"/>
          <w:lang w:val="en-US"/>
        </w:rPr>
        <w:t xml:space="preserve">under </w:t>
      </w:r>
      <w:r w:rsidRPr="004D2953">
        <w:rPr>
          <w:rFonts w:ascii="Arial" w:hAnsi="Arial" w:cs="Arial"/>
          <w:sz w:val="22"/>
          <w:szCs w:val="22"/>
          <w:lang w:val="en-US"/>
        </w:rPr>
        <w:t>3</w:t>
      </w:r>
      <w:r w:rsidR="00DA409C" w:rsidRPr="004D2953">
        <w:rPr>
          <w:rFonts w:ascii="Arial" w:hAnsi="Arial" w:cs="Arial"/>
          <w:sz w:val="22"/>
          <w:szCs w:val="22"/>
          <w:lang w:val="en-US"/>
        </w:rPr>
        <w:t xml:space="preserve"> </w:t>
      </w:r>
      <w:r w:rsidRPr="004D2953">
        <w:rPr>
          <w:rFonts w:ascii="Arial" w:hAnsi="Arial" w:cs="Arial"/>
          <w:sz w:val="22"/>
          <w:szCs w:val="22"/>
          <w:lang w:val="en-US"/>
        </w:rPr>
        <w:t>claims for payment 3</w:t>
      </w:r>
      <w:r w:rsidR="006A196A" w:rsidRPr="004D2953">
        <w:rPr>
          <w:rFonts w:ascii="Arial" w:hAnsi="Arial" w:cs="Arial"/>
          <w:sz w:val="22"/>
          <w:szCs w:val="22"/>
          <w:lang w:val="en-US"/>
        </w:rPr>
        <w:t>,</w:t>
      </w:r>
      <w:r w:rsidRPr="004D2953">
        <w:rPr>
          <w:rFonts w:ascii="Arial" w:hAnsi="Arial" w:cs="Arial"/>
          <w:sz w:val="22"/>
          <w:szCs w:val="22"/>
          <w:lang w:val="en-US"/>
        </w:rPr>
        <w:t>836</w:t>
      </w:r>
      <w:r w:rsidR="006A196A" w:rsidRPr="004D2953">
        <w:rPr>
          <w:rFonts w:ascii="Arial" w:hAnsi="Arial" w:cs="Arial"/>
          <w:sz w:val="22"/>
          <w:szCs w:val="22"/>
          <w:lang w:val="en-US"/>
        </w:rPr>
        <w:t>.</w:t>
      </w:r>
      <w:r w:rsidRPr="004D2953">
        <w:rPr>
          <w:rFonts w:ascii="Arial" w:hAnsi="Arial" w:cs="Arial"/>
          <w:sz w:val="22"/>
          <w:szCs w:val="22"/>
          <w:lang w:val="en-US"/>
        </w:rPr>
        <w:t>5 €</w:t>
      </w:r>
      <w:r w:rsidR="004B5D46" w:rsidRPr="004D2953">
        <w:rPr>
          <w:rFonts w:ascii="Arial" w:hAnsi="Arial" w:cs="Arial"/>
          <w:sz w:val="22"/>
          <w:szCs w:val="22"/>
          <w:lang w:val="en-US"/>
        </w:rPr>
        <w:t xml:space="preserve"> paid.</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In total: 1</w:t>
      </w:r>
      <w:r w:rsidR="004B5D46" w:rsidRPr="004D2953">
        <w:rPr>
          <w:rFonts w:ascii="Arial" w:hAnsi="Arial" w:cs="Arial"/>
          <w:sz w:val="22"/>
          <w:szCs w:val="22"/>
          <w:lang w:val="en-US"/>
        </w:rPr>
        <w:t>,</w:t>
      </w:r>
      <w:r w:rsidRPr="004D2953">
        <w:rPr>
          <w:rFonts w:ascii="Arial" w:hAnsi="Arial" w:cs="Arial"/>
          <w:sz w:val="22"/>
          <w:szCs w:val="22"/>
          <w:lang w:val="en-US"/>
        </w:rPr>
        <w:t>002</w:t>
      </w:r>
      <w:r w:rsidR="004B5D46" w:rsidRPr="004D2953">
        <w:rPr>
          <w:rFonts w:ascii="Arial" w:hAnsi="Arial" w:cs="Arial"/>
          <w:sz w:val="22"/>
          <w:szCs w:val="22"/>
          <w:lang w:val="en-US"/>
        </w:rPr>
        <w:t>,</w:t>
      </w:r>
      <w:r w:rsidRPr="004D2953">
        <w:rPr>
          <w:rFonts w:ascii="Arial" w:hAnsi="Arial" w:cs="Arial"/>
          <w:sz w:val="22"/>
          <w:szCs w:val="22"/>
          <w:lang w:val="en-US"/>
        </w:rPr>
        <w:t>786</w:t>
      </w:r>
      <w:r w:rsidR="004B5D46" w:rsidRPr="004D2953">
        <w:rPr>
          <w:rFonts w:ascii="Arial" w:hAnsi="Arial" w:cs="Arial"/>
          <w:sz w:val="22"/>
          <w:szCs w:val="22"/>
          <w:lang w:val="en-US"/>
        </w:rPr>
        <w:t>.</w:t>
      </w:r>
      <w:r w:rsidRPr="004D2953">
        <w:rPr>
          <w:rFonts w:ascii="Arial" w:hAnsi="Arial" w:cs="Arial"/>
          <w:sz w:val="22"/>
          <w:szCs w:val="22"/>
          <w:lang w:val="en-US"/>
        </w:rPr>
        <w:t>00 €.</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4.3.3 Critical issues in implementing the IPARD Programme</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In 2018, the IPARD Programme 2014-2020 for the new programing period was adopted and AFSARD accordingly made certain changes in the internal procedures and the control lists </w:t>
      </w:r>
      <w:r w:rsidR="00695648" w:rsidRPr="004D2953">
        <w:rPr>
          <w:rFonts w:ascii="Arial" w:hAnsi="Arial" w:cs="Arial"/>
          <w:sz w:val="22"/>
          <w:szCs w:val="22"/>
          <w:lang w:val="en-US"/>
        </w:rPr>
        <w:t xml:space="preserve">in view of </w:t>
      </w:r>
      <w:r w:rsidRPr="004D2953">
        <w:rPr>
          <w:rFonts w:ascii="Arial" w:hAnsi="Arial" w:cs="Arial"/>
          <w:sz w:val="22"/>
          <w:szCs w:val="22"/>
          <w:lang w:val="en-US"/>
        </w:rPr>
        <w:t xml:space="preserve">the proposed modifications. One of the most significant changes for the new programing period is that the Agency </w:t>
      </w:r>
      <w:r w:rsidR="00695648" w:rsidRPr="004D2953">
        <w:rPr>
          <w:rFonts w:ascii="Arial" w:hAnsi="Arial" w:cs="Arial"/>
          <w:sz w:val="22"/>
          <w:szCs w:val="22"/>
          <w:lang w:val="en-US"/>
        </w:rPr>
        <w:t xml:space="preserve">will obtain, </w:t>
      </w:r>
      <w:r w:rsidRPr="004D2953">
        <w:rPr>
          <w:rFonts w:ascii="Arial" w:hAnsi="Arial" w:cs="Arial"/>
          <w:sz w:val="22"/>
          <w:szCs w:val="22"/>
          <w:lang w:val="en-US"/>
        </w:rPr>
        <w:t>as much as possible</w:t>
      </w:r>
      <w:r w:rsidR="00695648" w:rsidRPr="004D2953">
        <w:rPr>
          <w:rFonts w:ascii="Arial" w:hAnsi="Arial" w:cs="Arial"/>
          <w:sz w:val="22"/>
          <w:szCs w:val="22"/>
          <w:lang w:val="en-US"/>
        </w:rPr>
        <w:t>,</w:t>
      </w:r>
      <w:r w:rsidRPr="004D2953">
        <w:rPr>
          <w:rFonts w:ascii="Arial" w:hAnsi="Arial" w:cs="Arial"/>
          <w:sz w:val="22"/>
          <w:szCs w:val="22"/>
          <w:lang w:val="en-US"/>
        </w:rPr>
        <w:t xml:space="preserve"> of the required documentation ex officio, which would enable shorten</w:t>
      </w:r>
      <w:r w:rsidR="00695648" w:rsidRPr="004D2953">
        <w:rPr>
          <w:rFonts w:ascii="Arial" w:hAnsi="Arial" w:cs="Arial"/>
          <w:sz w:val="22"/>
          <w:szCs w:val="22"/>
          <w:lang w:val="en-US"/>
        </w:rPr>
        <w:t xml:space="preserve">ing </w:t>
      </w:r>
      <w:r w:rsidRPr="004D2953">
        <w:rPr>
          <w:rFonts w:ascii="Arial" w:hAnsi="Arial" w:cs="Arial"/>
          <w:sz w:val="22"/>
          <w:szCs w:val="22"/>
          <w:lang w:val="en-US"/>
        </w:rPr>
        <w:t xml:space="preserve">the application </w:t>
      </w:r>
      <w:r w:rsidR="00222AA3" w:rsidRPr="004D2953">
        <w:rPr>
          <w:rFonts w:ascii="Arial" w:hAnsi="Arial" w:cs="Arial"/>
          <w:sz w:val="22"/>
          <w:szCs w:val="22"/>
          <w:lang w:val="en-US"/>
        </w:rPr>
        <w:t xml:space="preserve">completing </w:t>
      </w:r>
      <w:r w:rsidRPr="004D2953">
        <w:rPr>
          <w:rFonts w:ascii="Arial" w:hAnsi="Arial" w:cs="Arial"/>
          <w:sz w:val="22"/>
          <w:szCs w:val="22"/>
          <w:lang w:val="en-US"/>
        </w:rPr>
        <w:t>procedure i.e. shorten the procedure for approving the applications.</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Progress Summary from the Community Financial Support </w:t>
      </w:r>
      <w:r w:rsidR="00222AA3" w:rsidRPr="004D2953">
        <w:rPr>
          <w:rFonts w:ascii="Arial" w:hAnsi="Arial" w:cs="Arial"/>
          <w:sz w:val="22"/>
          <w:szCs w:val="22"/>
          <w:lang w:val="en-US"/>
        </w:rPr>
        <w:t>implementation</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Regarding the implementation of the IPARD Program 2014-2020, in 2017 AFSARD announced Public Calls for the measures under the IPARD Program. After the administrative check of all applications under Public Calls 01/2017, during 2018,</w:t>
      </w:r>
      <w:r w:rsidR="00DA409C" w:rsidRPr="004D2953">
        <w:rPr>
          <w:rFonts w:ascii="Arial" w:hAnsi="Arial" w:cs="Arial"/>
          <w:sz w:val="22"/>
          <w:szCs w:val="22"/>
          <w:lang w:val="en-US"/>
        </w:rPr>
        <w:t xml:space="preserve"> </w:t>
      </w:r>
      <w:r w:rsidRPr="004D2953">
        <w:rPr>
          <w:rFonts w:ascii="Arial" w:hAnsi="Arial" w:cs="Arial"/>
          <w:sz w:val="22"/>
          <w:szCs w:val="22"/>
          <w:lang w:val="en-US"/>
        </w:rPr>
        <w:t>127 contracts were signed with total amount of the financial support reaching 1</w:t>
      </w:r>
      <w:r w:rsidR="006A196A" w:rsidRPr="004D2953">
        <w:rPr>
          <w:rFonts w:ascii="Arial" w:hAnsi="Arial" w:cs="Arial"/>
          <w:sz w:val="22"/>
          <w:szCs w:val="22"/>
          <w:lang w:val="en-US"/>
        </w:rPr>
        <w:t>,</w:t>
      </w:r>
      <w:r w:rsidRPr="004D2953">
        <w:rPr>
          <w:rFonts w:ascii="Arial" w:hAnsi="Arial" w:cs="Arial"/>
          <w:sz w:val="22"/>
          <w:szCs w:val="22"/>
          <w:lang w:val="en-US"/>
        </w:rPr>
        <w:t>002</w:t>
      </w:r>
      <w:r w:rsidR="006A196A" w:rsidRPr="004D2953">
        <w:rPr>
          <w:rFonts w:ascii="Arial" w:hAnsi="Arial" w:cs="Arial"/>
          <w:sz w:val="22"/>
          <w:szCs w:val="22"/>
          <w:lang w:val="en-US"/>
        </w:rPr>
        <w:t>,</w:t>
      </w:r>
      <w:r w:rsidRPr="004D2953">
        <w:rPr>
          <w:rFonts w:ascii="Arial" w:hAnsi="Arial" w:cs="Arial"/>
          <w:sz w:val="22"/>
          <w:szCs w:val="22"/>
          <w:lang w:val="en-US"/>
        </w:rPr>
        <w:t xml:space="preserve">786 €. euros. </w:t>
      </w:r>
    </w:p>
    <w:p w:rsidR="003136C5" w:rsidRPr="004D2953" w:rsidRDefault="00222AA3"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T</w:t>
      </w:r>
      <w:r w:rsidR="003136C5" w:rsidRPr="004D2953">
        <w:rPr>
          <w:rFonts w:ascii="Arial" w:hAnsi="Arial" w:cs="Arial"/>
          <w:sz w:val="22"/>
          <w:szCs w:val="22"/>
          <w:lang w:val="en-US"/>
        </w:rPr>
        <w:t xml:space="preserve">he human resources capacities and the time frame for </w:t>
      </w:r>
      <w:r w:rsidRPr="004D2953">
        <w:rPr>
          <w:rFonts w:ascii="Arial" w:hAnsi="Arial" w:cs="Arial"/>
          <w:sz w:val="22"/>
          <w:szCs w:val="22"/>
          <w:lang w:val="en-US"/>
        </w:rPr>
        <w:t xml:space="preserve">applications </w:t>
      </w:r>
      <w:r w:rsidR="003136C5" w:rsidRPr="004D2953">
        <w:rPr>
          <w:rFonts w:ascii="Arial" w:hAnsi="Arial" w:cs="Arial"/>
          <w:sz w:val="22"/>
          <w:szCs w:val="22"/>
          <w:lang w:val="en-US"/>
        </w:rPr>
        <w:t xml:space="preserve">processing </w:t>
      </w:r>
      <w:r w:rsidRPr="004D2953">
        <w:rPr>
          <w:rFonts w:ascii="Arial" w:hAnsi="Arial" w:cs="Arial"/>
          <w:sz w:val="22"/>
          <w:szCs w:val="22"/>
          <w:lang w:val="en-US"/>
        </w:rPr>
        <w:t>still remain the most critical issues</w:t>
      </w:r>
      <w:r w:rsidR="003136C5" w:rsidRPr="004D2953">
        <w:rPr>
          <w:rFonts w:ascii="Arial" w:hAnsi="Arial" w:cs="Arial"/>
          <w:sz w:val="22"/>
          <w:szCs w:val="22"/>
          <w:lang w:val="en-US"/>
        </w:rPr>
        <w:t xml:space="preserve">. Since the number of applications received </w:t>
      </w:r>
      <w:r w:rsidR="006312F1" w:rsidRPr="004D2953">
        <w:rPr>
          <w:rFonts w:ascii="Arial" w:hAnsi="Arial" w:cs="Arial"/>
          <w:sz w:val="22"/>
          <w:szCs w:val="22"/>
          <w:lang w:val="en-US"/>
        </w:rPr>
        <w:t xml:space="preserve">under the </w:t>
      </w:r>
      <w:r w:rsidR="003136C5" w:rsidRPr="004D2953">
        <w:rPr>
          <w:rFonts w:ascii="Arial" w:hAnsi="Arial" w:cs="Arial"/>
          <w:sz w:val="22"/>
          <w:szCs w:val="22"/>
          <w:lang w:val="en-US"/>
        </w:rPr>
        <w:t>public call</w:t>
      </w:r>
      <w:r w:rsidR="006312F1" w:rsidRPr="004D2953">
        <w:rPr>
          <w:rFonts w:ascii="Arial" w:hAnsi="Arial" w:cs="Arial"/>
          <w:sz w:val="22"/>
          <w:szCs w:val="22"/>
          <w:lang w:val="en-US"/>
        </w:rPr>
        <w:t>s</w:t>
      </w:r>
      <w:r w:rsidR="003136C5" w:rsidRPr="004D2953">
        <w:rPr>
          <w:rFonts w:ascii="Arial" w:hAnsi="Arial" w:cs="Arial"/>
          <w:sz w:val="22"/>
          <w:szCs w:val="22"/>
          <w:lang w:val="en-US"/>
        </w:rPr>
        <w:t xml:space="preserve"> is significantly increased</w:t>
      </w:r>
      <w:r w:rsidR="006312F1" w:rsidRPr="004D2953">
        <w:rPr>
          <w:rFonts w:ascii="Arial" w:hAnsi="Arial" w:cs="Arial"/>
          <w:sz w:val="22"/>
          <w:szCs w:val="22"/>
          <w:lang w:val="en-US"/>
        </w:rPr>
        <w:t>,</w:t>
      </w:r>
      <w:r w:rsidR="003136C5" w:rsidRPr="004D2953">
        <w:rPr>
          <w:rFonts w:ascii="Arial" w:hAnsi="Arial" w:cs="Arial"/>
          <w:sz w:val="22"/>
          <w:szCs w:val="22"/>
          <w:lang w:val="en-US"/>
        </w:rPr>
        <w:t xml:space="preserve"> the current staff is challenged to meet the deadlines determined by law for applications </w:t>
      </w:r>
      <w:r w:rsidR="006312F1" w:rsidRPr="004D2953">
        <w:rPr>
          <w:rFonts w:ascii="Arial" w:hAnsi="Arial" w:cs="Arial"/>
          <w:sz w:val="22"/>
          <w:szCs w:val="22"/>
          <w:lang w:val="en-US"/>
        </w:rPr>
        <w:t xml:space="preserve">processing </w:t>
      </w:r>
      <w:r w:rsidR="003136C5" w:rsidRPr="004D2953">
        <w:rPr>
          <w:rFonts w:ascii="Arial" w:hAnsi="Arial" w:cs="Arial"/>
          <w:sz w:val="22"/>
          <w:szCs w:val="22"/>
          <w:lang w:val="en-US"/>
        </w:rPr>
        <w:t xml:space="preserve">and </w:t>
      </w:r>
      <w:r w:rsidR="006312F1" w:rsidRPr="004D2953">
        <w:rPr>
          <w:rFonts w:ascii="Arial" w:hAnsi="Arial" w:cs="Arial"/>
          <w:sz w:val="22"/>
          <w:szCs w:val="22"/>
          <w:lang w:val="en-US"/>
        </w:rPr>
        <w:t xml:space="preserve">payment </w:t>
      </w:r>
      <w:r w:rsidR="003136C5" w:rsidRPr="004D2953">
        <w:rPr>
          <w:rFonts w:ascii="Arial" w:hAnsi="Arial" w:cs="Arial"/>
          <w:sz w:val="22"/>
          <w:szCs w:val="22"/>
          <w:lang w:val="en-US"/>
        </w:rPr>
        <w:t xml:space="preserve">claims. </w:t>
      </w:r>
    </w:p>
    <w:p w:rsidR="003136C5" w:rsidRPr="004D2953" w:rsidRDefault="006312F1"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I</w:t>
      </w:r>
      <w:r w:rsidR="003136C5" w:rsidRPr="004D2953">
        <w:rPr>
          <w:rFonts w:ascii="Arial" w:hAnsi="Arial" w:cs="Arial"/>
          <w:sz w:val="22"/>
          <w:szCs w:val="22"/>
          <w:lang w:val="en-US"/>
        </w:rPr>
        <w:t>n 2018</w:t>
      </w:r>
      <w:r w:rsidRPr="004D2953">
        <w:rPr>
          <w:rFonts w:ascii="Arial" w:hAnsi="Arial" w:cs="Arial"/>
          <w:sz w:val="22"/>
          <w:szCs w:val="22"/>
          <w:lang w:val="en-US"/>
        </w:rPr>
        <w:t>,</w:t>
      </w:r>
      <w:r w:rsidR="003136C5" w:rsidRPr="004D2953">
        <w:rPr>
          <w:rFonts w:ascii="Arial" w:hAnsi="Arial" w:cs="Arial"/>
          <w:sz w:val="22"/>
          <w:szCs w:val="22"/>
          <w:lang w:val="en-US"/>
        </w:rPr>
        <w:t xml:space="preserve"> the Agency encountered problems during the </w:t>
      </w:r>
      <w:r w:rsidRPr="004D2953">
        <w:rPr>
          <w:rFonts w:ascii="Arial" w:hAnsi="Arial" w:cs="Arial"/>
          <w:sz w:val="22"/>
          <w:szCs w:val="22"/>
          <w:lang w:val="en-US"/>
        </w:rPr>
        <w:t xml:space="preserve">payment </w:t>
      </w:r>
      <w:r w:rsidR="003136C5" w:rsidRPr="004D2953">
        <w:rPr>
          <w:rFonts w:ascii="Arial" w:hAnsi="Arial" w:cs="Arial"/>
          <w:sz w:val="22"/>
          <w:szCs w:val="22"/>
          <w:lang w:val="en-US"/>
        </w:rPr>
        <w:t xml:space="preserve">claims </w:t>
      </w:r>
      <w:r w:rsidRPr="004D2953">
        <w:rPr>
          <w:rFonts w:ascii="Arial" w:hAnsi="Arial" w:cs="Arial"/>
          <w:sz w:val="22"/>
          <w:szCs w:val="22"/>
          <w:lang w:val="en-US"/>
        </w:rPr>
        <w:t>processing</w:t>
      </w:r>
      <w:r w:rsidR="003136C5" w:rsidRPr="004D2953">
        <w:rPr>
          <w:rFonts w:ascii="Arial" w:hAnsi="Arial" w:cs="Arial"/>
          <w:sz w:val="22"/>
          <w:szCs w:val="22"/>
          <w:lang w:val="en-US"/>
        </w:rPr>
        <w:t xml:space="preserve">, </w:t>
      </w:r>
      <w:r w:rsidRPr="004D2953">
        <w:rPr>
          <w:rFonts w:ascii="Arial" w:hAnsi="Arial" w:cs="Arial"/>
          <w:sz w:val="22"/>
          <w:szCs w:val="22"/>
          <w:lang w:val="en-US"/>
        </w:rPr>
        <w:t xml:space="preserve">as well as </w:t>
      </w:r>
      <w:r w:rsidR="003136C5" w:rsidRPr="004D2953">
        <w:rPr>
          <w:rFonts w:ascii="Arial" w:hAnsi="Arial" w:cs="Arial"/>
          <w:sz w:val="22"/>
          <w:szCs w:val="22"/>
          <w:lang w:val="en-US"/>
        </w:rPr>
        <w:t>difficulties in providing the necessary documentation</w:t>
      </w:r>
      <w:r w:rsidR="00535765" w:rsidRPr="004D2953">
        <w:rPr>
          <w:rFonts w:ascii="Arial" w:hAnsi="Arial" w:cs="Arial"/>
          <w:sz w:val="22"/>
          <w:szCs w:val="22"/>
          <w:lang w:val="en-US"/>
        </w:rPr>
        <w:t xml:space="preserve"> for the beneficiaries</w:t>
      </w:r>
      <w:r w:rsidR="003136C5" w:rsidRPr="004D2953">
        <w:rPr>
          <w:rFonts w:ascii="Arial" w:hAnsi="Arial" w:cs="Arial"/>
          <w:sz w:val="22"/>
          <w:szCs w:val="22"/>
          <w:lang w:val="en-US"/>
        </w:rPr>
        <w:t>.</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Specific problem areas </w:t>
      </w:r>
      <w:r w:rsidR="00535765" w:rsidRPr="004D2953">
        <w:rPr>
          <w:rFonts w:ascii="Arial" w:hAnsi="Arial" w:cs="Arial"/>
          <w:sz w:val="22"/>
          <w:szCs w:val="22"/>
          <w:lang w:val="en-US"/>
        </w:rPr>
        <w:t xml:space="preserve">include </w:t>
      </w:r>
      <w:r w:rsidRPr="004D2953">
        <w:rPr>
          <w:rFonts w:ascii="Arial" w:hAnsi="Arial" w:cs="Arial"/>
          <w:sz w:val="22"/>
          <w:szCs w:val="22"/>
          <w:lang w:val="en-US"/>
        </w:rPr>
        <w:t xml:space="preserve">respecting deadlines and stipulations stated in the </w:t>
      </w:r>
      <w:r w:rsidR="00535765" w:rsidRPr="004D2953">
        <w:rPr>
          <w:rFonts w:ascii="Arial" w:hAnsi="Arial" w:cs="Arial"/>
          <w:sz w:val="22"/>
          <w:szCs w:val="22"/>
          <w:lang w:val="en-US"/>
        </w:rPr>
        <w:t xml:space="preserve">co-financing </w:t>
      </w:r>
      <w:r w:rsidRPr="004D2953">
        <w:rPr>
          <w:rFonts w:ascii="Arial" w:hAnsi="Arial" w:cs="Arial"/>
          <w:sz w:val="22"/>
          <w:szCs w:val="22"/>
          <w:lang w:val="en-US"/>
        </w:rPr>
        <w:t>contract, providing proof for origin of the materials and the equipment, timely and correct update of the accounting records</w:t>
      </w:r>
      <w:r w:rsidR="00535765" w:rsidRPr="004D2953">
        <w:rPr>
          <w:rFonts w:ascii="Arial" w:hAnsi="Arial" w:cs="Arial"/>
          <w:sz w:val="22"/>
          <w:szCs w:val="22"/>
          <w:lang w:val="en-US"/>
        </w:rPr>
        <w:t>, etc</w:t>
      </w:r>
      <w:r w:rsidRPr="004D2953">
        <w:rPr>
          <w:rFonts w:ascii="Arial" w:hAnsi="Arial" w:cs="Arial"/>
          <w:sz w:val="22"/>
          <w:szCs w:val="22"/>
          <w:lang w:val="en-US"/>
        </w:rPr>
        <w:t>.</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4.3.4 Results from performed on-the-spot controls and identified irregularities</w:t>
      </w:r>
    </w:p>
    <w:p w:rsidR="003136C5" w:rsidRPr="004D2953" w:rsidRDefault="003136C5" w:rsidP="003B72A1">
      <w:pPr>
        <w:pStyle w:val="m343668044302477783m-3986873246552044066msolistparagraph"/>
        <w:tabs>
          <w:tab w:val="left" w:pos="284"/>
        </w:tabs>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I.</w:t>
      </w:r>
      <w:r w:rsidRPr="004D2953">
        <w:rPr>
          <w:rFonts w:ascii="Arial" w:hAnsi="Arial" w:cs="Arial"/>
          <w:sz w:val="22"/>
          <w:szCs w:val="22"/>
          <w:lang w:val="en-US"/>
        </w:rPr>
        <w:tab/>
        <w:t xml:space="preserve">During 2018 </w:t>
      </w:r>
      <w:r w:rsidR="00F54DFE" w:rsidRPr="004D2953">
        <w:rPr>
          <w:rFonts w:ascii="Arial" w:hAnsi="Arial" w:cs="Arial"/>
          <w:sz w:val="22"/>
          <w:szCs w:val="22"/>
          <w:lang w:val="en-US"/>
        </w:rPr>
        <w:t xml:space="preserve">the </w:t>
      </w:r>
      <w:r w:rsidRPr="004D2953">
        <w:rPr>
          <w:rFonts w:ascii="Arial" w:hAnsi="Arial" w:cs="Arial"/>
          <w:sz w:val="22"/>
          <w:szCs w:val="22"/>
          <w:lang w:val="en-US"/>
        </w:rPr>
        <w:t xml:space="preserve">IPARD Agency executed administrative controls </w:t>
      </w:r>
      <w:r w:rsidR="00F54DFE" w:rsidRPr="004D2953">
        <w:rPr>
          <w:rFonts w:ascii="Arial" w:hAnsi="Arial" w:cs="Arial"/>
          <w:sz w:val="22"/>
          <w:szCs w:val="22"/>
          <w:lang w:val="en-US"/>
        </w:rPr>
        <w:t xml:space="preserve">of </w:t>
      </w:r>
      <w:r w:rsidRPr="004D2953">
        <w:rPr>
          <w:rFonts w:ascii="Arial" w:hAnsi="Arial" w:cs="Arial"/>
          <w:sz w:val="22"/>
          <w:szCs w:val="22"/>
          <w:lang w:val="en-US"/>
        </w:rPr>
        <w:t xml:space="preserve">all submitted applications. </w:t>
      </w:r>
      <w:r w:rsidR="00F54DFE" w:rsidRPr="004D2953">
        <w:rPr>
          <w:rFonts w:ascii="Arial" w:hAnsi="Arial" w:cs="Arial"/>
          <w:sz w:val="22"/>
          <w:szCs w:val="22"/>
          <w:lang w:val="en-US"/>
        </w:rPr>
        <w:t>The r</w:t>
      </w:r>
      <w:r w:rsidRPr="004D2953">
        <w:rPr>
          <w:rFonts w:ascii="Arial" w:hAnsi="Arial" w:cs="Arial"/>
          <w:sz w:val="22"/>
          <w:szCs w:val="22"/>
          <w:lang w:val="en-US"/>
        </w:rPr>
        <w:t xml:space="preserve">easons for </w:t>
      </w:r>
      <w:r w:rsidR="00F54DFE" w:rsidRPr="004D2953">
        <w:rPr>
          <w:rFonts w:ascii="Arial" w:hAnsi="Arial" w:cs="Arial"/>
          <w:sz w:val="22"/>
          <w:szCs w:val="22"/>
          <w:lang w:val="en-US"/>
        </w:rPr>
        <w:t xml:space="preserve">application </w:t>
      </w:r>
      <w:r w:rsidRPr="004D2953">
        <w:rPr>
          <w:rFonts w:ascii="Arial" w:hAnsi="Arial" w:cs="Arial"/>
          <w:sz w:val="22"/>
          <w:szCs w:val="22"/>
          <w:lang w:val="en-US"/>
        </w:rPr>
        <w:t>rejection prior</w:t>
      </w:r>
      <w:r w:rsidR="00F54DFE" w:rsidRPr="004D2953">
        <w:rPr>
          <w:rFonts w:ascii="Arial" w:hAnsi="Arial" w:cs="Arial"/>
          <w:sz w:val="22"/>
          <w:szCs w:val="22"/>
          <w:lang w:val="en-US"/>
        </w:rPr>
        <w:t xml:space="preserve"> to</w:t>
      </w:r>
      <w:r w:rsidRPr="004D2953">
        <w:rPr>
          <w:rFonts w:ascii="Arial" w:hAnsi="Arial" w:cs="Arial"/>
          <w:sz w:val="22"/>
          <w:szCs w:val="22"/>
          <w:lang w:val="en-US"/>
        </w:rPr>
        <w:t xml:space="preserve"> </w:t>
      </w:r>
      <w:r w:rsidR="00F54DFE" w:rsidRPr="004D2953">
        <w:rPr>
          <w:rFonts w:ascii="Arial" w:hAnsi="Arial" w:cs="Arial"/>
          <w:sz w:val="22"/>
          <w:szCs w:val="22"/>
          <w:lang w:val="en-US"/>
        </w:rPr>
        <w:t xml:space="preserve">contract </w:t>
      </w:r>
      <w:r w:rsidRPr="004D2953">
        <w:rPr>
          <w:rFonts w:ascii="Arial" w:hAnsi="Arial" w:cs="Arial"/>
          <w:sz w:val="22"/>
          <w:szCs w:val="22"/>
          <w:lang w:val="en-US"/>
        </w:rPr>
        <w:t xml:space="preserve">signing are </w:t>
      </w:r>
      <w:r w:rsidR="00F54DFE" w:rsidRPr="004D2953">
        <w:rPr>
          <w:rFonts w:ascii="Arial" w:hAnsi="Arial" w:cs="Arial"/>
          <w:sz w:val="22"/>
          <w:szCs w:val="22"/>
          <w:lang w:val="en-US"/>
        </w:rPr>
        <w:t>as follows</w:t>
      </w:r>
      <w:r w:rsidRPr="004D2953">
        <w:rPr>
          <w:rFonts w:ascii="Arial" w:hAnsi="Arial" w:cs="Arial"/>
          <w:sz w:val="22"/>
          <w:szCs w:val="22"/>
          <w:lang w:val="en-US"/>
        </w:rPr>
        <w:t>:</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Completeness:</w:t>
      </w:r>
    </w:p>
    <w:p w:rsidR="003136C5" w:rsidRPr="004D2953" w:rsidRDefault="003136C5" w:rsidP="003136C5">
      <w:pPr>
        <w:pStyle w:val="m343668044302477783m-3986873246552044066msolistparagraph"/>
        <w:numPr>
          <w:ilvl w:val="0"/>
          <w:numId w:val="9"/>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the applicant has not submitted a response within 15 days after receiv</w:t>
      </w:r>
      <w:r w:rsidR="00F54DFE" w:rsidRPr="004D2953">
        <w:rPr>
          <w:rFonts w:ascii="Arial" w:hAnsi="Arial" w:cs="Arial"/>
          <w:sz w:val="22"/>
          <w:szCs w:val="22"/>
          <w:lang w:val="en-US"/>
        </w:rPr>
        <w:t xml:space="preserve">ing </w:t>
      </w:r>
      <w:r w:rsidRPr="004D2953">
        <w:rPr>
          <w:rFonts w:ascii="Arial" w:hAnsi="Arial" w:cs="Arial"/>
          <w:sz w:val="22"/>
          <w:szCs w:val="22"/>
          <w:lang w:val="en-US"/>
        </w:rPr>
        <w:t>Notification for completing the application;</w:t>
      </w:r>
    </w:p>
    <w:p w:rsidR="003136C5" w:rsidRPr="004D2953" w:rsidRDefault="003136C5" w:rsidP="003136C5">
      <w:pPr>
        <w:pStyle w:val="m343668044302477783m-3986873246552044066msolistparagraph"/>
        <w:numPr>
          <w:ilvl w:val="0"/>
          <w:numId w:val="9"/>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the applicant has submitted a response within 15 days after the receiv</w:t>
      </w:r>
      <w:r w:rsidR="00F54DFE" w:rsidRPr="004D2953">
        <w:rPr>
          <w:rFonts w:ascii="Arial" w:hAnsi="Arial" w:cs="Arial"/>
          <w:sz w:val="22"/>
          <w:szCs w:val="22"/>
          <w:lang w:val="en-US"/>
        </w:rPr>
        <w:t xml:space="preserve">ing </w:t>
      </w:r>
      <w:r w:rsidRPr="004D2953">
        <w:rPr>
          <w:rFonts w:ascii="Arial" w:hAnsi="Arial" w:cs="Arial"/>
          <w:sz w:val="22"/>
          <w:szCs w:val="22"/>
          <w:lang w:val="en-US"/>
        </w:rPr>
        <w:t>Notification for completing the application, but there were some documents missing or the submitted documents were not valid.</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Eligibility: </w:t>
      </w:r>
    </w:p>
    <w:p w:rsidR="003136C5" w:rsidRPr="004D2953" w:rsidRDefault="003136C5" w:rsidP="003136C5">
      <w:pPr>
        <w:pStyle w:val="m343668044302477783m-3986873246552044066msolistparagraph"/>
        <w:numPr>
          <w:ilvl w:val="0"/>
          <w:numId w:val="10"/>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capital/family connection between the suppliers or between supplier and applicant; </w:t>
      </w:r>
    </w:p>
    <w:p w:rsidR="003136C5" w:rsidRPr="004D2953" w:rsidRDefault="003136C5" w:rsidP="003136C5">
      <w:pPr>
        <w:pStyle w:val="m343668044302477783m-3986873246552044066msolistparagraph"/>
        <w:numPr>
          <w:ilvl w:val="0"/>
          <w:numId w:val="10"/>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proportional increase of the prices of submitted offers (inflated </w:t>
      </w:r>
      <w:r w:rsidR="00F54DFE" w:rsidRPr="004D2953">
        <w:rPr>
          <w:rFonts w:ascii="Arial" w:hAnsi="Arial" w:cs="Arial"/>
          <w:sz w:val="22"/>
          <w:szCs w:val="22"/>
          <w:lang w:val="en-US"/>
        </w:rPr>
        <w:t xml:space="preserve">offer </w:t>
      </w:r>
      <w:r w:rsidRPr="004D2953">
        <w:rPr>
          <w:rFonts w:ascii="Arial" w:hAnsi="Arial" w:cs="Arial"/>
          <w:sz w:val="22"/>
          <w:szCs w:val="22"/>
          <w:lang w:val="en-US"/>
        </w:rPr>
        <w:t xml:space="preserve">prices), which indicates that the offers are not issued </w:t>
      </w:r>
      <w:r w:rsidR="00F54DFE" w:rsidRPr="004D2953">
        <w:rPr>
          <w:rFonts w:ascii="Arial" w:hAnsi="Arial" w:cs="Arial"/>
          <w:sz w:val="22"/>
          <w:szCs w:val="22"/>
          <w:lang w:val="en-US"/>
        </w:rPr>
        <w:t xml:space="preserve">by </w:t>
      </w:r>
      <w:r w:rsidRPr="004D2953">
        <w:rPr>
          <w:rFonts w:ascii="Arial" w:hAnsi="Arial" w:cs="Arial"/>
          <w:sz w:val="22"/>
          <w:szCs w:val="22"/>
          <w:lang w:val="en-US"/>
        </w:rPr>
        <w:t>independent suppliers;</w:t>
      </w:r>
    </w:p>
    <w:p w:rsidR="003136C5" w:rsidRPr="004D2953" w:rsidRDefault="003136C5" w:rsidP="003136C5">
      <w:pPr>
        <w:pStyle w:val="m343668044302477783m-3986873246552044066msolistparagraph"/>
        <w:numPr>
          <w:ilvl w:val="0"/>
          <w:numId w:val="10"/>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proposed investments are not eligible according to the IPARD Programme;</w:t>
      </w:r>
    </w:p>
    <w:p w:rsidR="003136C5" w:rsidRPr="004D2953" w:rsidRDefault="00F54DFE" w:rsidP="003136C5">
      <w:pPr>
        <w:pStyle w:val="m343668044302477783m-3986873246552044066msolistparagraph"/>
        <w:numPr>
          <w:ilvl w:val="0"/>
          <w:numId w:val="10"/>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during </w:t>
      </w:r>
      <w:r w:rsidR="003136C5" w:rsidRPr="004D2953">
        <w:rPr>
          <w:rFonts w:ascii="Arial" w:hAnsi="Arial" w:cs="Arial"/>
          <w:sz w:val="22"/>
          <w:szCs w:val="22"/>
          <w:lang w:val="en-US"/>
        </w:rPr>
        <w:t xml:space="preserve">the </w:t>
      </w:r>
      <w:r w:rsidRPr="004D2953">
        <w:rPr>
          <w:rFonts w:ascii="Arial" w:hAnsi="Arial" w:cs="Arial"/>
          <w:sz w:val="22"/>
          <w:szCs w:val="22"/>
          <w:lang w:val="en-US"/>
        </w:rPr>
        <w:t xml:space="preserve">applications’ </w:t>
      </w:r>
      <w:r w:rsidR="003136C5" w:rsidRPr="004D2953">
        <w:rPr>
          <w:rFonts w:ascii="Arial" w:hAnsi="Arial" w:cs="Arial"/>
          <w:sz w:val="22"/>
          <w:szCs w:val="22"/>
          <w:lang w:val="en-US"/>
        </w:rPr>
        <w:t xml:space="preserve">administrative processing </w:t>
      </w:r>
      <w:r w:rsidRPr="004D2953">
        <w:rPr>
          <w:rFonts w:ascii="Arial" w:hAnsi="Arial" w:cs="Arial"/>
          <w:sz w:val="22"/>
          <w:szCs w:val="22"/>
          <w:lang w:val="en-US"/>
        </w:rPr>
        <w:t xml:space="preserve">is </w:t>
      </w:r>
      <w:r w:rsidR="003136C5" w:rsidRPr="004D2953">
        <w:rPr>
          <w:rFonts w:ascii="Arial" w:hAnsi="Arial" w:cs="Arial"/>
          <w:sz w:val="22"/>
          <w:szCs w:val="22"/>
          <w:lang w:val="en-US"/>
        </w:rPr>
        <w:t>has been found that the</w:t>
      </w:r>
      <w:r w:rsidRPr="004D2953">
        <w:rPr>
          <w:rFonts w:ascii="Arial" w:hAnsi="Arial" w:cs="Arial"/>
          <w:sz w:val="22"/>
          <w:szCs w:val="22"/>
          <w:lang w:val="en-US"/>
        </w:rPr>
        <w:t xml:space="preserve"> </w:t>
      </w:r>
      <w:r w:rsidR="003136C5" w:rsidRPr="004D2953">
        <w:rPr>
          <w:rFonts w:ascii="Arial" w:hAnsi="Arial" w:cs="Arial"/>
          <w:sz w:val="22"/>
          <w:szCs w:val="22"/>
          <w:lang w:val="en-US"/>
        </w:rPr>
        <w:t xml:space="preserve">best offer </w:t>
      </w:r>
      <w:r w:rsidRPr="004D2953">
        <w:rPr>
          <w:rFonts w:ascii="Arial" w:hAnsi="Arial" w:cs="Arial"/>
          <w:sz w:val="22"/>
          <w:szCs w:val="22"/>
          <w:lang w:val="en-US"/>
        </w:rPr>
        <w:t xml:space="preserve">selection was </w:t>
      </w:r>
      <w:r w:rsidR="003136C5" w:rsidRPr="004D2953">
        <w:rPr>
          <w:rFonts w:ascii="Arial" w:hAnsi="Arial" w:cs="Arial"/>
          <w:sz w:val="22"/>
          <w:szCs w:val="22"/>
          <w:lang w:val="en-US"/>
        </w:rPr>
        <w:t xml:space="preserve">made </w:t>
      </w:r>
      <w:r w:rsidRPr="004D2953">
        <w:rPr>
          <w:rFonts w:ascii="Arial" w:hAnsi="Arial" w:cs="Arial"/>
          <w:sz w:val="22"/>
          <w:szCs w:val="22"/>
          <w:lang w:val="en-US"/>
        </w:rPr>
        <w:t xml:space="preserve">prior to </w:t>
      </w:r>
      <w:r w:rsidR="003136C5" w:rsidRPr="004D2953">
        <w:rPr>
          <w:rFonts w:ascii="Arial" w:hAnsi="Arial" w:cs="Arial"/>
          <w:sz w:val="22"/>
          <w:szCs w:val="22"/>
          <w:lang w:val="en-US"/>
        </w:rPr>
        <w:t>providing the offers, indicat</w:t>
      </w:r>
      <w:r w:rsidRPr="004D2953">
        <w:rPr>
          <w:rFonts w:ascii="Arial" w:hAnsi="Arial" w:cs="Arial"/>
          <w:sz w:val="22"/>
          <w:szCs w:val="22"/>
          <w:lang w:val="en-US"/>
        </w:rPr>
        <w:t xml:space="preserve">ing </w:t>
      </w:r>
      <w:r w:rsidR="003136C5" w:rsidRPr="004D2953">
        <w:rPr>
          <w:rFonts w:ascii="Arial" w:hAnsi="Arial" w:cs="Arial"/>
          <w:sz w:val="22"/>
          <w:szCs w:val="22"/>
          <w:lang w:val="en-US"/>
        </w:rPr>
        <w:t xml:space="preserve">that the applicant did not respect the procedure for selecting </w:t>
      </w:r>
      <w:r w:rsidRPr="004D2953">
        <w:rPr>
          <w:rFonts w:ascii="Arial" w:hAnsi="Arial" w:cs="Arial"/>
          <w:sz w:val="22"/>
          <w:szCs w:val="22"/>
          <w:lang w:val="en-US"/>
        </w:rPr>
        <w:t xml:space="preserve">the </w:t>
      </w:r>
      <w:r w:rsidR="003136C5" w:rsidRPr="004D2953">
        <w:rPr>
          <w:rFonts w:ascii="Arial" w:hAnsi="Arial" w:cs="Arial"/>
          <w:sz w:val="22"/>
          <w:szCs w:val="22"/>
          <w:lang w:val="en-US"/>
        </w:rPr>
        <w:t xml:space="preserve">most suitable supplier, and has first chosen the supplier and then obtained the offers. </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lastRenderedPageBreak/>
        <w:t xml:space="preserve">During 2018, </w:t>
      </w:r>
      <w:r w:rsidR="00F54DFE" w:rsidRPr="004D2953">
        <w:rPr>
          <w:rFonts w:ascii="Arial" w:hAnsi="Arial" w:cs="Arial"/>
          <w:sz w:val="22"/>
          <w:szCs w:val="22"/>
          <w:lang w:val="en-US"/>
        </w:rPr>
        <w:t>t</w:t>
      </w:r>
      <w:r w:rsidRPr="004D2953">
        <w:rPr>
          <w:rFonts w:ascii="Arial" w:hAnsi="Arial" w:cs="Arial"/>
          <w:sz w:val="22"/>
          <w:szCs w:val="22"/>
          <w:lang w:val="en-US"/>
        </w:rPr>
        <w:t xml:space="preserve">he </w:t>
      </w:r>
      <w:r w:rsidR="00F54DFE" w:rsidRPr="004D2953">
        <w:rPr>
          <w:rFonts w:ascii="Arial" w:hAnsi="Arial" w:cs="Arial"/>
          <w:sz w:val="22"/>
          <w:szCs w:val="22"/>
          <w:lang w:val="en-US"/>
        </w:rPr>
        <w:t xml:space="preserve">Project Approval </w:t>
      </w:r>
      <w:r w:rsidRPr="004D2953">
        <w:rPr>
          <w:rFonts w:ascii="Arial" w:hAnsi="Arial" w:cs="Arial"/>
          <w:sz w:val="22"/>
          <w:szCs w:val="22"/>
          <w:lang w:val="en-US"/>
        </w:rPr>
        <w:t>Sector rejected 502 applications f</w:t>
      </w:r>
      <w:r w:rsidR="00F54DFE" w:rsidRPr="004D2953">
        <w:rPr>
          <w:rFonts w:ascii="Arial" w:hAnsi="Arial" w:cs="Arial"/>
          <w:sz w:val="22"/>
          <w:szCs w:val="22"/>
          <w:lang w:val="en-US"/>
        </w:rPr>
        <w:t>or M</w:t>
      </w:r>
      <w:r w:rsidRPr="004D2953">
        <w:rPr>
          <w:rFonts w:ascii="Arial" w:hAnsi="Arial" w:cs="Arial"/>
          <w:sz w:val="22"/>
          <w:szCs w:val="22"/>
          <w:lang w:val="en-US"/>
        </w:rPr>
        <w:t>easure 11 in total public expenditures of 2</w:t>
      </w:r>
      <w:r w:rsidR="006A196A" w:rsidRPr="004D2953">
        <w:rPr>
          <w:rFonts w:ascii="Arial" w:hAnsi="Arial" w:cs="Arial"/>
          <w:sz w:val="22"/>
          <w:szCs w:val="22"/>
          <w:lang w:val="en-US"/>
        </w:rPr>
        <w:t>,</w:t>
      </w:r>
      <w:r w:rsidRPr="004D2953">
        <w:rPr>
          <w:rFonts w:ascii="Arial" w:hAnsi="Arial" w:cs="Arial"/>
          <w:sz w:val="22"/>
          <w:szCs w:val="22"/>
          <w:lang w:val="en-US"/>
        </w:rPr>
        <w:t>342</w:t>
      </w:r>
      <w:r w:rsidR="006A196A" w:rsidRPr="004D2953">
        <w:rPr>
          <w:rFonts w:ascii="Arial" w:hAnsi="Arial" w:cs="Arial"/>
          <w:sz w:val="22"/>
          <w:szCs w:val="22"/>
          <w:lang w:val="en-US"/>
        </w:rPr>
        <w:t>,</w:t>
      </w:r>
      <w:r w:rsidRPr="004D2953">
        <w:rPr>
          <w:rFonts w:ascii="Arial" w:hAnsi="Arial" w:cs="Arial"/>
          <w:sz w:val="22"/>
          <w:szCs w:val="22"/>
          <w:lang w:val="en-US"/>
        </w:rPr>
        <w:t>916</w:t>
      </w:r>
      <w:r w:rsidR="006A196A" w:rsidRPr="004D2953">
        <w:rPr>
          <w:rFonts w:ascii="Arial" w:hAnsi="Arial" w:cs="Arial"/>
          <w:sz w:val="22"/>
          <w:szCs w:val="22"/>
          <w:lang w:val="en-US"/>
        </w:rPr>
        <w:t>.</w:t>
      </w:r>
      <w:r w:rsidRPr="004D2953">
        <w:rPr>
          <w:rFonts w:ascii="Arial" w:hAnsi="Arial" w:cs="Arial"/>
          <w:sz w:val="22"/>
          <w:szCs w:val="22"/>
          <w:lang w:val="en-US"/>
        </w:rPr>
        <w:t xml:space="preserve">3€, rejected 25 </w:t>
      </w:r>
      <w:r w:rsidR="005A512B" w:rsidRPr="004D2953">
        <w:rPr>
          <w:rFonts w:ascii="Arial" w:hAnsi="Arial" w:cs="Arial"/>
          <w:sz w:val="22"/>
          <w:szCs w:val="22"/>
          <w:lang w:val="en-US"/>
        </w:rPr>
        <w:t xml:space="preserve">applications </w:t>
      </w:r>
      <w:r w:rsidRPr="004D2953">
        <w:rPr>
          <w:rFonts w:ascii="Arial" w:hAnsi="Arial" w:cs="Arial"/>
          <w:sz w:val="22"/>
          <w:szCs w:val="22"/>
          <w:lang w:val="en-US"/>
        </w:rPr>
        <w:t>f</w:t>
      </w:r>
      <w:r w:rsidR="005A512B" w:rsidRPr="004D2953">
        <w:rPr>
          <w:rFonts w:ascii="Arial" w:hAnsi="Arial" w:cs="Arial"/>
          <w:sz w:val="22"/>
          <w:szCs w:val="22"/>
          <w:lang w:val="en-US"/>
        </w:rPr>
        <w:t>o</w:t>
      </w:r>
      <w:r w:rsidRPr="004D2953">
        <w:rPr>
          <w:rFonts w:ascii="Arial" w:hAnsi="Arial" w:cs="Arial"/>
          <w:sz w:val="22"/>
          <w:szCs w:val="22"/>
          <w:lang w:val="en-US"/>
        </w:rPr>
        <w:t xml:space="preserve">r </w:t>
      </w:r>
      <w:r w:rsidR="005A512B" w:rsidRPr="004D2953">
        <w:rPr>
          <w:rFonts w:ascii="Arial" w:hAnsi="Arial" w:cs="Arial"/>
          <w:sz w:val="22"/>
          <w:szCs w:val="22"/>
          <w:lang w:val="en-US"/>
        </w:rPr>
        <w:t>M</w:t>
      </w:r>
      <w:r w:rsidRPr="004D2953">
        <w:rPr>
          <w:rFonts w:ascii="Arial" w:hAnsi="Arial" w:cs="Arial"/>
          <w:sz w:val="22"/>
          <w:szCs w:val="22"/>
          <w:lang w:val="en-US"/>
        </w:rPr>
        <w:t>easure 13 in total public expenditures of 1</w:t>
      </w:r>
      <w:r w:rsidR="006A196A" w:rsidRPr="004D2953">
        <w:rPr>
          <w:rFonts w:ascii="Arial" w:hAnsi="Arial" w:cs="Arial"/>
          <w:sz w:val="22"/>
          <w:szCs w:val="22"/>
          <w:lang w:val="en-US"/>
        </w:rPr>
        <w:t>,</w:t>
      </w:r>
      <w:r w:rsidRPr="004D2953">
        <w:rPr>
          <w:rFonts w:ascii="Arial" w:hAnsi="Arial" w:cs="Arial"/>
          <w:sz w:val="22"/>
          <w:szCs w:val="22"/>
          <w:lang w:val="en-US"/>
        </w:rPr>
        <w:t>193</w:t>
      </w:r>
      <w:r w:rsidR="006A196A" w:rsidRPr="004D2953">
        <w:rPr>
          <w:rFonts w:ascii="Arial" w:hAnsi="Arial" w:cs="Arial"/>
          <w:sz w:val="22"/>
          <w:szCs w:val="22"/>
          <w:lang w:val="en-US"/>
        </w:rPr>
        <w:t>,</w:t>
      </w:r>
      <w:r w:rsidRPr="004D2953">
        <w:rPr>
          <w:rFonts w:ascii="Arial" w:hAnsi="Arial" w:cs="Arial"/>
          <w:sz w:val="22"/>
          <w:szCs w:val="22"/>
          <w:lang w:val="en-US"/>
        </w:rPr>
        <w:t>028</w:t>
      </w:r>
      <w:r w:rsidR="00DA409C" w:rsidRPr="004D2953">
        <w:rPr>
          <w:rFonts w:ascii="Arial" w:hAnsi="Arial" w:cs="Arial"/>
          <w:sz w:val="22"/>
          <w:szCs w:val="22"/>
          <w:lang w:val="en-US"/>
        </w:rPr>
        <w:t xml:space="preserve"> </w:t>
      </w:r>
      <w:r w:rsidRPr="004D2953">
        <w:rPr>
          <w:rFonts w:ascii="Arial" w:hAnsi="Arial" w:cs="Arial"/>
          <w:sz w:val="22"/>
          <w:szCs w:val="22"/>
          <w:lang w:val="en-US"/>
        </w:rPr>
        <w:t>€</w:t>
      </w:r>
      <w:r w:rsidR="005A512B" w:rsidRPr="004D2953">
        <w:rPr>
          <w:rFonts w:ascii="Arial" w:hAnsi="Arial" w:cs="Arial"/>
          <w:sz w:val="22"/>
          <w:szCs w:val="22"/>
          <w:lang w:val="en-US"/>
        </w:rPr>
        <w:t xml:space="preserve"> and </w:t>
      </w:r>
      <w:r w:rsidRPr="004D2953">
        <w:rPr>
          <w:rFonts w:ascii="Arial" w:hAnsi="Arial" w:cs="Arial"/>
          <w:sz w:val="22"/>
          <w:szCs w:val="22"/>
          <w:lang w:val="en-US"/>
        </w:rPr>
        <w:t xml:space="preserve">rejected 189 </w:t>
      </w:r>
      <w:r w:rsidR="005A512B" w:rsidRPr="004D2953">
        <w:rPr>
          <w:rFonts w:ascii="Arial" w:hAnsi="Arial" w:cs="Arial"/>
          <w:sz w:val="22"/>
          <w:szCs w:val="22"/>
          <w:lang w:val="en-US"/>
        </w:rPr>
        <w:t xml:space="preserve">applications </w:t>
      </w:r>
      <w:r w:rsidRPr="004D2953">
        <w:rPr>
          <w:rFonts w:ascii="Arial" w:hAnsi="Arial" w:cs="Arial"/>
          <w:sz w:val="22"/>
          <w:szCs w:val="22"/>
          <w:lang w:val="en-US"/>
        </w:rPr>
        <w:t>fo</w:t>
      </w:r>
      <w:r w:rsidR="005A512B" w:rsidRPr="004D2953">
        <w:rPr>
          <w:rFonts w:ascii="Arial" w:hAnsi="Arial" w:cs="Arial"/>
          <w:sz w:val="22"/>
          <w:szCs w:val="22"/>
          <w:lang w:val="en-US"/>
        </w:rPr>
        <w:t>r</w:t>
      </w:r>
      <w:r w:rsidRPr="004D2953">
        <w:rPr>
          <w:rFonts w:ascii="Arial" w:hAnsi="Arial" w:cs="Arial"/>
          <w:sz w:val="22"/>
          <w:szCs w:val="22"/>
          <w:lang w:val="en-US"/>
        </w:rPr>
        <w:t xml:space="preserve"> </w:t>
      </w:r>
      <w:r w:rsidR="005A512B" w:rsidRPr="004D2953">
        <w:rPr>
          <w:rFonts w:ascii="Arial" w:hAnsi="Arial" w:cs="Arial"/>
          <w:sz w:val="22"/>
          <w:szCs w:val="22"/>
          <w:lang w:val="en-US"/>
        </w:rPr>
        <w:t>M</w:t>
      </w:r>
      <w:r w:rsidRPr="004D2953">
        <w:rPr>
          <w:rFonts w:ascii="Arial" w:hAnsi="Arial" w:cs="Arial"/>
          <w:sz w:val="22"/>
          <w:szCs w:val="22"/>
          <w:lang w:val="en-US"/>
        </w:rPr>
        <w:t>easure 31</w:t>
      </w:r>
      <w:r w:rsidR="00DA409C" w:rsidRPr="004D2953">
        <w:rPr>
          <w:rFonts w:ascii="Arial" w:hAnsi="Arial" w:cs="Arial"/>
          <w:sz w:val="22"/>
          <w:szCs w:val="22"/>
          <w:lang w:val="en-US"/>
        </w:rPr>
        <w:t xml:space="preserve"> </w:t>
      </w:r>
      <w:r w:rsidRPr="004D2953">
        <w:rPr>
          <w:rFonts w:ascii="Arial" w:hAnsi="Arial" w:cs="Arial"/>
          <w:sz w:val="22"/>
          <w:szCs w:val="22"/>
          <w:lang w:val="en-US"/>
        </w:rPr>
        <w:t>in total public expenditures of 13</w:t>
      </w:r>
      <w:r w:rsidR="006A196A" w:rsidRPr="004D2953">
        <w:rPr>
          <w:rFonts w:ascii="Arial" w:hAnsi="Arial" w:cs="Arial"/>
          <w:sz w:val="22"/>
          <w:szCs w:val="22"/>
          <w:lang w:val="en-US"/>
        </w:rPr>
        <w:t>,</w:t>
      </w:r>
      <w:r w:rsidRPr="004D2953">
        <w:rPr>
          <w:rFonts w:ascii="Arial" w:hAnsi="Arial" w:cs="Arial"/>
          <w:sz w:val="22"/>
          <w:szCs w:val="22"/>
          <w:lang w:val="en-US"/>
        </w:rPr>
        <w:t>246</w:t>
      </w:r>
      <w:r w:rsidR="006A196A" w:rsidRPr="004D2953">
        <w:rPr>
          <w:rFonts w:ascii="Arial" w:hAnsi="Arial" w:cs="Arial"/>
          <w:sz w:val="22"/>
          <w:szCs w:val="22"/>
          <w:lang w:val="en-US"/>
        </w:rPr>
        <w:t>,</w:t>
      </w:r>
      <w:r w:rsidRPr="004D2953">
        <w:rPr>
          <w:rFonts w:ascii="Arial" w:hAnsi="Arial" w:cs="Arial"/>
          <w:sz w:val="22"/>
          <w:szCs w:val="22"/>
          <w:lang w:val="en-US"/>
        </w:rPr>
        <w:t>903</w:t>
      </w:r>
      <w:r w:rsidR="00DA409C" w:rsidRPr="004D2953">
        <w:rPr>
          <w:rFonts w:ascii="Arial" w:hAnsi="Arial" w:cs="Arial"/>
          <w:sz w:val="22"/>
          <w:szCs w:val="22"/>
          <w:lang w:val="en-US"/>
        </w:rPr>
        <w:t xml:space="preserve"> </w:t>
      </w:r>
      <w:r w:rsidRPr="004D2953">
        <w:rPr>
          <w:rFonts w:ascii="Arial" w:hAnsi="Arial" w:cs="Arial"/>
          <w:sz w:val="22"/>
          <w:szCs w:val="22"/>
          <w:lang w:val="en-US"/>
        </w:rPr>
        <w:t>€.</w:t>
      </w:r>
      <w:r w:rsidR="00DA409C" w:rsidRPr="004D2953">
        <w:rPr>
          <w:rFonts w:ascii="Arial" w:hAnsi="Arial" w:cs="Arial"/>
          <w:sz w:val="22"/>
          <w:szCs w:val="22"/>
          <w:lang w:val="en-US"/>
        </w:rPr>
        <w:t xml:space="preserve"> </w:t>
      </w:r>
      <w:r w:rsidRPr="004D2953">
        <w:rPr>
          <w:rFonts w:ascii="Arial" w:hAnsi="Arial" w:cs="Arial"/>
          <w:sz w:val="22"/>
          <w:szCs w:val="22"/>
          <w:lang w:val="en-US"/>
        </w:rPr>
        <w:t xml:space="preserve"> </w:t>
      </w:r>
    </w:p>
    <w:p w:rsidR="003136C5" w:rsidRPr="004D2953" w:rsidRDefault="005A512B"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The r</w:t>
      </w:r>
      <w:r w:rsidR="003136C5" w:rsidRPr="004D2953">
        <w:rPr>
          <w:rFonts w:ascii="Arial" w:hAnsi="Arial" w:cs="Arial"/>
          <w:sz w:val="22"/>
          <w:szCs w:val="22"/>
          <w:lang w:val="en-US"/>
        </w:rPr>
        <w:t>easons for reject</w:t>
      </w:r>
      <w:r w:rsidRPr="004D2953">
        <w:rPr>
          <w:rFonts w:ascii="Arial" w:hAnsi="Arial" w:cs="Arial"/>
          <w:sz w:val="22"/>
          <w:szCs w:val="22"/>
          <w:lang w:val="en-US"/>
        </w:rPr>
        <w:t xml:space="preserve">ing the </w:t>
      </w:r>
      <w:r w:rsidR="003136C5" w:rsidRPr="004D2953">
        <w:rPr>
          <w:rFonts w:ascii="Arial" w:hAnsi="Arial" w:cs="Arial"/>
          <w:sz w:val="22"/>
          <w:szCs w:val="22"/>
          <w:lang w:val="en-US"/>
        </w:rPr>
        <w:t xml:space="preserve">received applications </w:t>
      </w:r>
      <w:r w:rsidRPr="004D2953">
        <w:rPr>
          <w:rFonts w:ascii="Arial" w:hAnsi="Arial" w:cs="Arial"/>
          <w:sz w:val="22"/>
          <w:szCs w:val="22"/>
          <w:lang w:val="en-US"/>
        </w:rPr>
        <w:t xml:space="preserve">amount to </w:t>
      </w:r>
      <w:r w:rsidR="003136C5" w:rsidRPr="004D2953">
        <w:rPr>
          <w:rFonts w:ascii="Arial" w:hAnsi="Arial" w:cs="Arial"/>
          <w:sz w:val="22"/>
          <w:szCs w:val="22"/>
          <w:lang w:val="en-US"/>
        </w:rPr>
        <w:t>not fulfill</w:t>
      </w:r>
      <w:r w:rsidRPr="004D2953">
        <w:rPr>
          <w:rFonts w:ascii="Arial" w:hAnsi="Arial" w:cs="Arial"/>
          <w:sz w:val="22"/>
          <w:szCs w:val="22"/>
          <w:lang w:val="en-US"/>
        </w:rPr>
        <w:t xml:space="preserve">ing </w:t>
      </w:r>
      <w:r w:rsidR="003136C5" w:rsidRPr="004D2953">
        <w:rPr>
          <w:rFonts w:ascii="Arial" w:hAnsi="Arial" w:cs="Arial"/>
          <w:sz w:val="22"/>
          <w:szCs w:val="22"/>
          <w:lang w:val="en-US"/>
        </w:rPr>
        <w:t>the IPARD program</w:t>
      </w:r>
      <w:r w:rsidRPr="004D2953">
        <w:rPr>
          <w:rFonts w:ascii="Arial" w:hAnsi="Arial" w:cs="Arial"/>
          <w:sz w:val="22"/>
          <w:szCs w:val="22"/>
          <w:lang w:val="en-US"/>
        </w:rPr>
        <w:t xml:space="preserve"> criteria</w:t>
      </w:r>
      <w:r w:rsidR="003136C5" w:rsidRPr="004D2953">
        <w:rPr>
          <w:rFonts w:ascii="Arial" w:hAnsi="Arial" w:cs="Arial"/>
          <w:sz w:val="22"/>
          <w:szCs w:val="22"/>
          <w:lang w:val="en-US"/>
        </w:rPr>
        <w:t xml:space="preserve">. </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During 2018 the </w:t>
      </w:r>
      <w:r w:rsidR="005A512B" w:rsidRPr="004D2953">
        <w:rPr>
          <w:rFonts w:ascii="Arial" w:hAnsi="Arial" w:cs="Arial"/>
          <w:sz w:val="22"/>
          <w:szCs w:val="22"/>
          <w:lang w:val="en-US"/>
        </w:rPr>
        <w:t xml:space="preserve">Payments Authorization </w:t>
      </w:r>
      <w:r w:rsidRPr="004D2953">
        <w:rPr>
          <w:rFonts w:ascii="Arial" w:hAnsi="Arial" w:cs="Arial"/>
          <w:sz w:val="22"/>
          <w:szCs w:val="22"/>
          <w:lang w:val="en-US"/>
        </w:rPr>
        <w:t xml:space="preserve">received 530 </w:t>
      </w:r>
      <w:r w:rsidR="005A512B" w:rsidRPr="004D2953">
        <w:rPr>
          <w:rFonts w:ascii="Arial" w:hAnsi="Arial" w:cs="Arial"/>
          <w:sz w:val="22"/>
          <w:szCs w:val="22"/>
          <w:lang w:val="en-US"/>
        </w:rPr>
        <w:t xml:space="preserve">payment </w:t>
      </w:r>
      <w:r w:rsidRPr="004D2953">
        <w:rPr>
          <w:rFonts w:ascii="Arial" w:hAnsi="Arial" w:cs="Arial"/>
          <w:sz w:val="22"/>
          <w:szCs w:val="22"/>
          <w:lang w:val="en-US"/>
        </w:rPr>
        <w:t>claims</w:t>
      </w:r>
      <w:r w:rsidR="005A512B" w:rsidRPr="004D2953">
        <w:rPr>
          <w:rFonts w:ascii="Arial" w:hAnsi="Arial" w:cs="Arial"/>
          <w:sz w:val="22"/>
          <w:szCs w:val="22"/>
          <w:lang w:val="en-US"/>
        </w:rPr>
        <w:t xml:space="preserve">, of which 127 claims are in the </w:t>
      </w:r>
      <w:r w:rsidRPr="004D2953">
        <w:rPr>
          <w:rFonts w:ascii="Arial" w:hAnsi="Arial" w:cs="Arial"/>
          <w:sz w:val="22"/>
          <w:szCs w:val="22"/>
          <w:lang w:val="en-US"/>
        </w:rPr>
        <w:t xml:space="preserve">process of </w:t>
      </w:r>
      <w:r w:rsidR="005A512B" w:rsidRPr="004D2953">
        <w:rPr>
          <w:rFonts w:ascii="Arial" w:hAnsi="Arial" w:cs="Arial"/>
          <w:sz w:val="22"/>
          <w:szCs w:val="22"/>
          <w:lang w:val="en-US"/>
        </w:rPr>
        <w:t xml:space="preserve">payment </w:t>
      </w:r>
      <w:r w:rsidRPr="004D2953">
        <w:rPr>
          <w:rFonts w:ascii="Arial" w:hAnsi="Arial" w:cs="Arial"/>
          <w:sz w:val="22"/>
          <w:szCs w:val="22"/>
          <w:lang w:val="en-US"/>
        </w:rPr>
        <w:t xml:space="preserve">approval, 8 claims </w:t>
      </w:r>
      <w:r w:rsidR="005A512B" w:rsidRPr="004D2953">
        <w:rPr>
          <w:rFonts w:ascii="Arial" w:hAnsi="Arial" w:cs="Arial"/>
          <w:sz w:val="22"/>
          <w:szCs w:val="22"/>
          <w:lang w:val="en-US"/>
        </w:rPr>
        <w:t xml:space="preserve">were rejected </w:t>
      </w:r>
      <w:r w:rsidRPr="004D2953">
        <w:rPr>
          <w:rFonts w:ascii="Arial" w:hAnsi="Arial" w:cs="Arial"/>
          <w:sz w:val="22"/>
          <w:szCs w:val="22"/>
          <w:lang w:val="en-US"/>
        </w:rPr>
        <w:t>and 8 contracts</w:t>
      </w:r>
      <w:r w:rsidR="005A512B" w:rsidRPr="004D2953">
        <w:rPr>
          <w:rFonts w:ascii="Arial" w:hAnsi="Arial" w:cs="Arial"/>
          <w:sz w:val="22"/>
          <w:szCs w:val="22"/>
          <w:lang w:val="en-US"/>
        </w:rPr>
        <w:t xml:space="preserve"> were canceled</w:t>
      </w:r>
      <w:r w:rsidRPr="004D2953">
        <w:rPr>
          <w:rFonts w:ascii="Arial" w:hAnsi="Arial" w:cs="Arial"/>
          <w:sz w:val="22"/>
          <w:szCs w:val="22"/>
          <w:lang w:val="en-US"/>
        </w:rPr>
        <w:t>.</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Received claims for authorization of payment in 2018</w:t>
      </w:r>
    </w:p>
    <w:p w:rsidR="003136C5" w:rsidRPr="004D2953" w:rsidRDefault="003136C5" w:rsidP="003136C5">
      <w:pPr>
        <w:pStyle w:val="m343668044302477783m-3986873246552044066msolistparagraph"/>
        <w:numPr>
          <w:ilvl w:val="0"/>
          <w:numId w:val="11"/>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for Measure 1,</w:t>
      </w:r>
      <w:r w:rsidR="00DA409C" w:rsidRPr="004D2953">
        <w:rPr>
          <w:rFonts w:ascii="Arial" w:hAnsi="Arial" w:cs="Arial"/>
          <w:sz w:val="22"/>
          <w:szCs w:val="22"/>
          <w:lang w:val="en-US"/>
        </w:rPr>
        <w:t xml:space="preserve"> </w:t>
      </w:r>
      <w:r w:rsidRPr="004D2953">
        <w:rPr>
          <w:rFonts w:ascii="Arial" w:hAnsi="Arial" w:cs="Arial"/>
          <w:sz w:val="22"/>
          <w:szCs w:val="22"/>
          <w:lang w:val="en-US"/>
        </w:rPr>
        <w:t xml:space="preserve">516 claims </w:t>
      </w:r>
      <w:r w:rsidR="004B4B9F" w:rsidRPr="004D2953">
        <w:rPr>
          <w:rFonts w:ascii="Arial" w:hAnsi="Arial" w:cs="Arial"/>
          <w:sz w:val="22"/>
          <w:szCs w:val="22"/>
          <w:lang w:val="en-US"/>
        </w:rPr>
        <w:t xml:space="preserve">received </w:t>
      </w:r>
      <w:r w:rsidRPr="004D2953">
        <w:rPr>
          <w:rFonts w:ascii="Arial" w:hAnsi="Arial" w:cs="Arial"/>
          <w:sz w:val="22"/>
          <w:szCs w:val="22"/>
          <w:lang w:val="en-US"/>
        </w:rPr>
        <w:t xml:space="preserve">for </w:t>
      </w:r>
      <w:r w:rsidR="004B4B9F" w:rsidRPr="004D2953">
        <w:rPr>
          <w:rFonts w:ascii="Arial" w:hAnsi="Arial" w:cs="Arial"/>
          <w:sz w:val="22"/>
          <w:szCs w:val="22"/>
          <w:lang w:val="en-US"/>
        </w:rPr>
        <w:t xml:space="preserve">payment </w:t>
      </w:r>
      <w:r w:rsidRPr="004D2953">
        <w:rPr>
          <w:rFonts w:ascii="Arial" w:hAnsi="Arial" w:cs="Arial"/>
          <w:sz w:val="22"/>
          <w:szCs w:val="22"/>
          <w:lang w:val="en-US"/>
        </w:rPr>
        <w:t xml:space="preserve">authorization </w:t>
      </w:r>
    </w:p>
    <w:p w:rsidR="003136C5" w:rsidRPr="004D2953" w:rsidRDefault="004B4B9F" w:rsidP="003136C5">
      <w:pPr>
        <w:pStyle w:val="m343668044302477783m-3986873246552044066msolistparagraph"/>
        <w:numPr>
          <w:ilvl w:val="0"/>
          <w:numId w:val="11"/>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f</w:t>
      </w:r>
      <w:r w:rsidR="003136C5" w:rsidRPr="004D2953">
        <w:rPr>
          <w:rFonts w:ascii="Arial" w:hAnsi="Arial" w:cs="Arial"/>
          <w:sz w:val="22"/>
          <w:szCs w:val="22"/>
          <w:lang w:val="en-US"/>
        </w:rPr>
        <w:t xml:space="preserve">or </w:t>
      </w:r>
      <w:r w:rsidRPr="004D2953">
        <w:rPr>
          <w:rFonts w:ascii="Arial" w:hAnsi="Arial" w:cs="Arial"/>
          <w:sz w:val="22"/>
          <w:szCs w:val="22"/>
          <w:lang w:val="en-US"/>
        </w:rPr>
        <w:t xml:space="preserve">Measure </w:t>
      </w:r>
      <w:r w:rsidR="003136C5" w:rsidRPr="004D2953">
        <w:rPr>
          <w:rFonts w:ascii="Arial" w:hAnsi="Arial" w:cs="Arial"/>
          <w:sz w:val="22"/>
          <w:szCs w:val="22"/>
          <w:lang w:val="en-US"/>
        </w:rPr>
        <w:t xml:space="preserve">3, 14 claims </w:t>
      </w:r>
      <w:r w:rsidRPr="004D2953">
        <w:rPr>
          <w:rFonts w:ascii="Arial" w:hAnsi="Arial" w:cs="Arial"/>
          <w:sz w:val="22"/>
          <w:szCs w:val="22"/>
          <w:lang w:val="en-US"/>
        </w:rPr>
        <w:t xml:space="preserve">received </w:t>
      </w:r>
      <w:r w:rsidR="003136C5" w:rsidRPr="004D2953">
        <w:rPr>
          <w:rFonts w:ascii="Arial" w:hAnsi="Arial" w:cs="Arial"/>
          <w:sz w:val="22"/>
          <w:szCs w:val="22"/>
          <w:lang w:val="en-US"/>
        </w:rPr>
        <w:t xml:space="preserve">for </w:t>
      </w:r>
      <w:r w:rsidRPr="004D2953">
        <w:rPr>
          <w:rFonts w:ascii="Arial" w:hAnsi="Arial" w:cs="Arial"/>
          <w:sz w:val="22"/>
          <w:szCs w:val="22"/>
          <w:lang w:val="en-US"/>
        </w:rPr>
        <w:t xml:space="preserve">payment </w:t>
      </w:r>
      <w:r w:rsidR="003136C5" w:rsidRPr="004D2953">
        <w:rPr>
          <w:rFonts w:ascii="Arial" w:hAnsi="Arial" w:cs="Arial"/>
          <w:sz w:val="22"/>
          <w:szCs w:val="22"/>
          <w:lang w:val="en-US"/>
        </w:rPr>
        <w:t>authorization</w:t>
      </w:r>
      <w:r w:rsidR="00DA409C" w:rsidRPr="004D2953">
        <w:rPr>
          <w:rFonts w:ascii="Arial" w:hAnsi="Arial" w:cs="Arial"/>
          <w:sz w:val="22"/>
          <w:szCs w:val="22"/>
          <w:lang w:val="en-US"/>
        </w:rPr>
        <w:t xml:space="preserve"> </w:t>
      </w:r>
    </w:p>
    <w:p w:rsidR="003136C5" w:rsidRPr="004D2953" w:rsidRDefault="003136C5" w:rsidP="003136C5">
      <w:pPr>
        <w:pStyle w:val="m343668044302477783m-3986873246552044066msolistparagraph"/>
        <w:numPr>
          <w:ilvl w:val="0"/>
          <w:numId w:val="11"/>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for Measure 7, 0</w:t>
      </w:r>
      <w:r w:rsidR="00DA409C" w:rsidRPr="004D2953">
        <w:rPr>
          <w:rFonts w:ascii="Arial" w:hAnsi="Arial" w:cs="Arial"/>
          <w:sz w:val="22"/>
          <w:szCs w:val="22"/>
          <w:lang w:val="en-US"/>
        </w:rPr>
        <w:t xml:space="preserve"> </w:t>
      </w:r>
      <w:r w:rsidRPr="004D2953">
        <w:rPr>
          <w:rFonts w:ascii="Arial" w:hAnsi="Arial" w:cs="Arial"/>
          <w:sz w:val="22"/>
          <w:szCs w:val="22"/>
          <w:lang w:val="en-US"/>
        </w:rPr>
        <w:t xml:space="preserve">claims </w:t>
      </w:r>
      <w:r w:rsidR="004B4B9F" w:rsidRPr="004D2953">
        <w:rPr>
          <w:rFonts w:ascii="Arial" w:hAnsi="Arial" w:cs="Arial"/>
          <w:sz w:val="22"/>
          <w:szCs w:val="22"/>
          <w:lang w:val="en-US"/>
        </w:rPr>
        <w:t xml:space="preserve">received </w:t>
      </w:r>
      <w:r w:rsidRPr="004D2953">
        <w:rPr>
          <w:rFonts w:ascii="Arial" w:hAnsi="Arial" w:cs="Arial"/>
          <w:sz w:val="22"/>
          <w:szCs w:val="22"/>
          <w:lang w:val="en-US"/>
        </w:rPr>
        <w:t>for</w:t>
      </w:r>
      <w:r w:rsidR="00DA409C" w:rsidRPr="004D2953">
        <w:rPr>
          <w:rFonts w:ascii="Arial" w:hAnsi="Arial" w:cs="Arial"/>
          <w:sz w:val="22"/>
          <w:szCs w:val="22"/>
          <w:lang w:val="en-US"/>
        </w:rPr>
        <w:t xml:space="preserve"> </w:t>
      </w:r>
      <w:r w:rsidR="004B4B9F" w:rsidRPr="004D2953">
        <w:rPr>
          <w:rFonts w:ascii="Arial" w:hAnsi="Arial" w:cs="Arial"/>
          <w:sz w:val="22"/>
          <w:szCs w:val="22"/>
          <w:lang w:val="en-US"/>
        </w:rPr>
        <w:t xml:space="preserve">payment </w:t>
      </w:r>
      <w:r w:rsidRPr="004D2953">
        <w:rPr>
          <w:rFonts w:ascii="Arial" w:hAnsi="Arial" w:cs="Arial"/>
          <w:sz w:val="22"/>
          <w:szCs w:val="22"/>
          <w:lang w:val="en-US"/>
        </w:rPr>
        <w:t>authorization</w:t>
      </w:r>
    </w:p>
    <w:p w:rsidR="003136C5" w:rsidRPr="004D2953" w:rsidRDefault="003136C5" w:rsidP="003136C5">
      <w:pPr>
        <w:pStyle w:val="m343668044302477783m-3986873246552044066msolistparagraph"/>
        <w:numPr>
          <w:ilvl w:val="0"/>
          <w:numId w:val="11"/>
        </w:numPr>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for Measure</w:t>
      </w:r>
      <w:r w:rsidR="00DA409C" w:rsidRPr="004D2953">
        <w:rPr>
          <w:rFonts w:ascii="Arial" w:hAnsi="Arial" w:cs="Arial"/>
          <w:sz w:val="22"/>
          <w:szCs w:val="22"/>
          <w:lang w:val="en-US"/>
        </w:rPr>
        <w:t xml:space="preserve"> </w:t>
      </w:r>
      <w:r w:rsidRPr="004D2953">
        <w:rPr>
          <w:rFonts w:ascii="Arial" w:hAnsi="Arial" w:cs="Arial"/>
          <w:sz w:val="22"/>
          <w:szCs w:val="22"/>
          <w:lang w:val="en-US"/>
        </w:rPr>
        <w:t>9,</w:t>
      </w:r>
      <w:r w:rsidR="00DA409C" w:rsidRPr="004D2953">
        <w:rPr>
          <w:rFonts w:ascii="Arial" w:hAnsi="Arial" w:cs="Arial"/>
          <w:sz w:val="22"/>
          <w:szCs w:val="22"/>
          <w:lang w:val="en-US"/>
        </w:rPr>
        <w:t xml:space="preserve"> </w:t>
      </w:r>
      <w:r w:rsidRPr="004D2953">
        <w:rPr>
          <w:rFonts w:ascii="Arial" w:hAnsi="Arial" w:cs="Arial"/>
          <w:sz w:val="22"/>
          <w:szCs w:val="22"/>
          <w:lang w:val="en-US"/>
        </w:rPr>
        <w:t>3</w:t>
      </w:r>
      <w:r w:rsidR="00DA409C" w:rsidRPr="004D2953">
        <w:rPr>
          <w:rFonts w:ascii="Arial" w:hAnsi="Arial" w:cs="Arial"/>
          <w:sz w:val="22"/>
          <w:szCs w:val="22"/>
          <w:lang w:val="en-US"/>
        </w:rPr>
        <w:t xml:space="preserve"> </w:t>
      </w:r>
      <w:r w:rsidRPr="004D2953">
        <w:rPr>
          <w:rFonts w:ascii="Arial" w:hAnsi="Arial" w:cs="Arial"/>
          <w:sz w:val="22"/>
          <w:szCs w:val="22"/>
          <w:lang w:val="en-US"/>
        </w:rPr>
        <w:t xml:space="preserve">claims </w:t>
      </w:r>
      <w:r w:rsidR="004B4B9F" w:rsidRPr="004D2953">
        <w:rPr>
          <w:rFonts w:ascii="Arial" w:hAnsi="Arial" w:cs="Arial"/>
          <w:sz w:val="22"/>
          <w:szCs w:val="22"/>
          <w:lang w:val="en-US"/>
        </w:rPr>
        <w:t xml:space="preserve">received </w:t>
      </w:r>
      <w:r w:rsidRPr="004D2953">
        <w:rPr>
          <w:rFonts w:ascii="Arial" w:hAnsi="Arial" w:cs="Arial"/>
          <w:sz w:val="22"/>
          <w:szCs w:val="22"/>
          <w:lang w:val="en-US"/>
        </w:rPr>
        <w:t xml:space="preserve">for </w:t>
      </w:r>
      <w:r w:rsidR="004B4B9F" w:rsidRPr="004D2953">
        <w:rPr>
          <w:rFonts w:ascii="Arial" w:hAnsi="Arial" w:cs="Arial"/>
          <w:sz w:val="22"/>
          <w:szCs w:val="22"/>
          <w:lang w:val="en-US"/>
        </w:rPr>
        <w:t xml:space="preserve">payment </w:t>
      </w:r>
      <w:r w:rsidRPr="004D2953">
        <w:rPr>
          <w:rFonts w:ascii="Arial" w:hAnsi="Arial" w:cs="Arial"/>
          <w:sz w:val="22"/>
          <w:szCs w:val="22"/>
          <w:lang w:val="en-US"/>
        </w:rPr>
        <w:t>authorization</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The reasons for </w:t>
      </w:r>
      <w:r w:rsidR="004B4B9F" w:rsidRPr="004D2953">
        <w:rPr>
          <w:rFonts w:ascii="Arial" w:hAnsi="Arial" w:cs="Arial"/>
          <w:sz w:val="22"/>
          <w:szCs w:val="22"/>
          <w:lang w:val="en-US"/>
        </w:rPr>
        <w:t xml:space="preserve">claims </w:t>
      </w:r>
      <w:r w:rsidRPr="004D2953">
        <w:rPr>
          <w:rFonts w:ascii="Arial" w:hAnsi="Arial" w:cs="Arial"/>
          <w:sz w:val="22"/>
          <w:szCs w:val="22"/>
          <w:lang w:val="en-US"/>
        </w:rPr>
        <w:t>rejection/</w:t>
      </w:r>
      <w:r w:rsidR="004B4B9F" w:rsidRPr="004D2953">
        <w:rPr>
          <w:rFonts w:ascii="Arial" w:hAnsi="Arial" w:cs="Arial"/>
          <w:sz w:val="22"/>
          <w:szCs w:val="22"/>
          <w:lang w:val="en-US"/>
        </w:rPr>
        <w:t xml:space="preserve">contracts </w:t>
      </w:r>
      <w:r w:rsidRPr="004D2953">
        <w:rPr>
          <w:rFonts w:ascii="Arial" w:hAnsi="Arial" w:cs="Arial"/>
          <w:sz w:val="22"/>
          <w:szCs w:val="22"/>
          <w:lang w:val="en-US"/>
        </w:rPr>
        <w:t xml:space="preserve">cancelation are infringement of contract, undelivered </w:t>
      </w:r>
      <w:r w:rsidR="004B4B9F" w:rsidRPr="004D2953">
        <w:rPr>
          <w:rFonts w:ascii="Arial" w:hAnsi="Arial" w:cs="Arial"/>
          <w:sz w:val="22"/>
          <w:szCs w:val="22"/>
          <w:lang w:val="en-US"/>
        </w:rPr>
        <w:t xml:space="preserve">payment </w:t>
      </w:r>
      <w:r w:rsidRPr="004D2953">
        <w:rPr>
          <w:rFonts w:ascii="Arial" w:hAnsi="Arial" w:cs="Arial"/>
          <w:sz w:val="22"/>
          <w:szCs w:val="22"/>
          <w:lang w:val="en-US"/>
        </w:rPr>
        <w:t>claims.</w:t>
      </w:r>
    </w:p>
    <w:p w:rsidR="003136C5" w:rsidRPr="004D2953" w:rsidRDefault="002252B1"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The r</w:t>
      </w:r>
      <w:r w:rsidR="003136C5" w:rsidRPr="004D2953">
        <w:rPr>
          <w:rFonts w:ascii="Arial" w:hAnsi="Arial" w:cs="Arial"/>
          <w:sz w:val="22"/>
          <w:szCs w:val="22"/>
          <w:lang w:val="en-US"/>
        </w:rPr>
        <w:t xml:space="preserve">easons for issuing Decisions for </w:t>
      </w:r>
      <w:r w:rsidRPr="004D2953">
        <w:rPr>
          <w:rFonts w:ascii="Arial" w:hAnsi="Arial" w:cs="Arial"/>
          <w:sz w:val="22"/>
          <w:szCs w:val="22"/>
          <w:lang w:val="en-US"/>
        </w:rPr>
        <w:t xml:space="preserve">Funds Recovery include: contract </w:t>
      </w:r>
      <w:r w:rsidR="003136C5" w:rsidRPr="004D2953">
        <w:rPr>
          <w:rFonts w:ascii="Arial" w:hAnsi="Arial" w:cs="Arial"/>
          <w:sz w:val="22"/>
          <w:szCs w:val="22"/>
          <w:lang w:val="en-US"/>
        </w:rPr>
        <w:t xml:space="preserve">infringement, overpayment, administrative mistake. </w:t>
      </w:r>
    </w:p>
    <w:p w:rsidR="003136C5" w:rsidRPr="004D2953" w:rsidRDefault="003136C5" w:rsidP="003B72A1">
      <w:pPr>
        <w:pStyle w:val="m343668044302477783m-3986873246552044066msolistparagraph"/>
        <w:tabs>
          <w:tab w:val="left" w:pos="284"/>
        </w:tabs>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II.</w:t>
      </w:r>
      <w:r w:rsidRPr="004D2953">
        <w:rPr>
          <w:rFonts w:ascii="Arial" w:hAnsi="Arial" w:cs="Arial"/>
          <w:sz w:val="22"/>
          <w:szCs w:val="22"/>
          <w:lang w:val="en-US"/>
        </w:rPr>
        <w:tab/>
        <w:t>As regard</w:t>
      </w:r>
      <w:r w:rsidR="002252B1" w:rsidRPr="004D2953">
        <w:rPr>
          <w:rFonts w:ascii="Arial" w:hAnsi="Arial" w:cs="Arial"/>
          <w:sz w:val="22"/>
          <w:szCs w:val="22"/>
          <w:lang w:val="en-US"/>
        </w:rPr>
        <w:t xml:space="preserve">s the </w:t>
      </w:r>
      <w:r w:rsidRPr="004D2953">
        <w:rPr>
          <w:rFonts w:ascii="Arial" w:hAnsi="Arial" w:cs="Arial"/>
          <w:sz w:val="22"/>
          <w:szCs w:val="22"/>
          <w:lang w:val="en-US"/>
        </w:rPr>
        <w:t xml:space="preserve">on-the-spot controls, </w:t>
      </w:r>
      <w:r w:rsidR="002252B1" w:rsidRPr="004D2953">
        <w:rPr>
          <w:rFonts w:ascii="Arial" w:hAnsi="Arial" w:cs="Arial"/>
          <w:sz w:val="22"/>
          <w:szCs w:val="22"/>
          <w:lang w:val="en-US"/>
        </w:rPr>
        <w:t xml:space="preserve">the On-the-spot Control </w:t>
      </w:r>
      <w:r w:rsidRPr="004D2953">
        <w:rPr>
          <w:rFonts w:ascii="Arial" w:hAnsi="Arial" w:cs="Arial"/>
          <w:sz w:val="22"/>
          <w:szCs w:val="22"/>
          <w:lang w:val="en-US"/>
        </w:rPr>
        <w:t xml:space="preserve">Sector carried out </w:t>
      </w:r>
      <w:r w:rsidR="002252B1" w:rsidRPr="004D2953">
        <w:rPr>
          <w:rFonts w:ascii="Arial" w:hAnsi="Arial" w:cs="Arial"/>
          <w:sz w:val="22"/>
          <w:szCs w:val="22"/>
          <w:lang w:val="en-US"/>
        </w:rPr>
        <w:t xml:space="preserve">a </w:t>
      </w:r>
      <w:r w:rsidRPr="004D2953">
        <w:rPr>
          <w:rFonts w:ascii="Arial" w:hAnsi="Arial" w:cs="Arial"/>
          <w:sz w:val="22"/>
          <w:szCs w:val="22"/>
          <w:lang w:val="en-US"/>
        </w:rPr>
        <w:t>total</w:t>
      </w:r>
      <w:r w:rsidR="002252B1" w:rsidRPr="004D2953">
        <w:rPr>
          <w:rFonts w:ascii="Arial" w:hAnsi="Arial" w:cs="Arial"/>
          <w:sz w:val="22"/>
          <w:szCs w:val="22"/>
          <w:lang w:val="en-US"/>
        </w:rPr>
        <w:t xml:space="preserve"> of</w:t>
      </w:r>
      <w:r w:rsidRPr="004D2953">
        <w:rPr>
          <w:rFonts w:ascii="Arial" w:hAnsi="Arial" w:cs="Arial"/>
          <w:sz w:val="22"/>
          <w:szCs w:val="22"/>
          <w:lang w:val="en-US"/>
        </w:rPr>
        <w:t xml:space="preserve">: </w:t>
      </w:r>
    </w:p>
    <w:p w:rsidR="003136C5" w:rsidRPr="004D2953" w:rsidRDefault="003136C5" w:rsidP="003B72A1">
      <w:pPr>
        <w:pStyle w:val="m343668044302477783m-3986873246552044066msolistparagraph"/>
        <w:spacing w:before="120" w:beforeAutospacing="0" w:after="0" w:afterAutospacing="0"/>
        <w:ind w:firstLine="426"/>
        <w:jc w:val="both"/>
        <w:rPr>
          <w:rFonts w:ascii="Arial" w:hAnsi="Arial" w:cs="Arial"/>
          <w:sz w:val="22"/>
          <w:szCs w:val="22"/>
          <w:lang w:val="en-US"/>
        </w:rPr>
      </w:pPr>
      <w:r w:rsidRPr="004D2953">
        <w:rPr>
          <w:rFonts w:ascii="Arial" w:hAnsi="Arial" w:cs="Arial"/>
          <w:sz w:val="22"/>
          <w:szCs w:val="22"/>
          <w:lang w:val="en-US"/>
        </w:rPr>
        <w:t>-</w:t>
      </w:r>
      <w:r w:rsidR="00DA409C" w:rsidRPr="004D2953">
        <w:rPr>
          <w:rFonts w:ascii="Arial" w:hAnsi="Arial" w:cs="Arial"/>
          <w:sz w:val="22"/>
          <w:szCs w:val="22"/>
          <w:lang w:val="en-US"/>
        </w:rPr>
        <w:t xml:space="preserve"> </w:t>
      </w:r>
      <w:r w:rsidRPr="004D2953">
        <w:rPr>
          <w:rFonts w:ascii="Arial" w:hAnsi="Arial" w:cs="Arial"/>
          <w:sz w:val="22"/>
          <w:szCs w:val="22"/>
          <w:lang w:val="en-US"/>
        </w:rPr>
        <w:t xml:space="preserve">902 on-the-spot controls </w:t>
      </w:r>
      <w:r w:rsidR="002252B1" w:rsidRPr="004D2953">
        <w:rPr>
          <w:rFonts w:ascii="Arial" w:hAnsi="Arial" w:cs="Arial"/>
          <w:sz w:val="22"/>
          <w:szCs w:val="22"/>
          <w:lang w:val="en-US"/>
        </w:rPr>
        <w:t xml:space="preserve">upon </w:t>
      </w:r>
      <w:r w:rsidRPr="004D2953">
        <w:rPr>
          <w:rFonts w:ascii="Arial" w:hAnsi="Arial" w:cs="Arial"/>
          <w:sz w:val="22"/>
          <w:szCs w:val="22"/>
          <w:lang w:val="en-US"/>
        </w:rPr>
        <w:t>investments under Measure 1</w:t>
      </w:r>
    </w:p>
    <w:p w:rsidR="003136C5" w:rsidRPr="004D2953" w:rsidRDefault="003136C5" w:rsidP="003B72A1">
      <w:pPr>
        <w:pStyle w:val="m343668044302477783m-3986873246552044066msolistparagraph"/>
        <w:spacing w:before="120" w:beforeAutospacing="0" w:after="0" w:afterAutospacing="0"/>
        <w:ind w:left="567" w:hanging="141"/>
        <w:jc w:val="both"/>
        <w:rPr>
          <w:rFonts w:ascii="Arial" w:hAnsi="Arial" w:cs="Arial"/>
          <w:sz w:val="22"/>
          <w:szCs w:val="22"/>
          <w:lang w:val="en-US"/>
        </w:rPr>
      </w:pPr>
      <w:r w:rsidRPr="004D2953">
        <w:rPr>
          <w:rFonts w:ascii="Arial" w:hAnsi="Arial" w:cs="Arial"/>
          <w:sz w:val="22"/>
          <w:szCs w:val="22"/>
          <w:lang w:val="en-US"/>
        </w:rPr>
        <w:t>- 27</w:t>
      </w:r>
      <w:r w:rsidR="00DA409C" w:rsidRPr="004D2953">
        <w:rPr>
          <w:rFonts w:ascii="Arial" w:hAnsi="Arial" w:cs="Arial"/>
          <w:sz w:val="22"/>
          <w:szCs w:val="22"/>
          <w:lang w:val="en-US"/>
        </w:rPr>
        <w:t xml:space="preserve"> </w:t>
      </w:r>
      <w:r w:rsidRPr="004D2953">
        <w:rPr>
          <w:rFonts w:ascii="Arial" w:hAnsi="Arial" w:cs="Arial"/>
          <w:sz w:val="22"/>
          <w:szCs w:val="22"/>
          <w:lang w:val="en-US"/>
        </w:rPr>
        <w:t xml:space="preserve">on-the-spot controls </w:t>
      </w:r>
      <w:r w:rsidR="002252B1" w:rsidRPr="004D2953">
        <w:rPr>
          <w:rFonts w:ascii="Arial" w:hAnsi="Arial" w:cs="Arial"/>
          <w:sz w:val="22"/>
          <w:szCs w:val="22"/>
          <w:lang w:val="en-US"/>
        </w:rPr>
        <w:t xml:space="preserve">upon </w:t>
      </w:r>
      <w:r w:rsidRPr="004D2953">
        <w:rPr>
          <w:rFonts w:ascii="Arial" w:hAnsi="Arial" w:cs="Arial"/>
          <w:sz w:val="22"/>
          <w:szCs w:val="22"/>
          <w:lang w:val="en-US"/>
        </w:rPr>
        <w:t>investments under Measure 3</w:t>
      </w:r>
    </w:p>
    <w:p w:rsidR="003136C5" w:rsidRPr="004D2953" w:rsidRDefault="003136C5" w:rsidP="003B72A1">
      <w:pPr>
        <w:pStyle w:val="m343668044302477783m-3986873246552044066msolistparagraph"/>
        <w:spacing w:before="120" w:beforeAutospacing="0" w:after="0" w:afterAutospacing="0"/>
        <w:ind w:left="567" w:hanging="141"/>
        <w:jc w:val="both"/>
        <w:rPr>
          <w:rFonts w:ascii="Arial" w:hAnsi="Arial" w:cs="Arial"/>
          <w:sz w:val="22"/>
          <w:szCs w:val="22"/>
          <w:lang w:val="en-US"/>
        </w:rPr>
      </w:pPr>
      <w:r w:rsidRPr="004D2953">
        <w:rPr>
          <w:rFonts w:ascii="Arial" w:hAnsi="Arial" w:cs="Arial"/>
          <w:sz w:val="22"/>
          <w:szCs w:val="22"/>
          <w:lang w:val="en-US"/>
        </w:rPr>
        <w:t>- 3</w:t>
      </w:r>
      <w:r w:rsidR="00DA409C" w:rsidRPr="004D2953">
        <w:rPr>
          <w:rFonts w:ascii="Arial" w:hAnsi="Arial" w:cs="Arial"/>
          <w:sz w:val="22"/>
          <w:szCs w:val="22"/>
          <w:lang w:val="en-US"/>
        </w:rPr>
        <w:t xml:space="preserve"> </w:t>
      </w:r>
      <w:r w:rsidRPr="004D2953">
        <w:rPr>
          <w:rFonts w:ascii="Arial" w:hAnsi="Arial" w:cs="Arial"/>
          <w:sz w:val="22"/>
          <w:szCs w:val="22"/>
          <w:lang w:val="en-US"/>
        </w:rPr>
        <w:t xml:space="preserve">on-the-spot controls </w:t>
      </w:r>
      <w:r w:rsidR="002252B1" w:rsidRPr="004D2953">
        <w:rPr>
          <w:rFonts w:ascii="Arial" w:hAnsi="Arial" w:cs="Arial"/>
          <w:sz w:val="22"/>
          <w:szCs w:val="22"/>
          <w:lang w:val="en-US"/>
        </w:rPr>
        <w:t xml:space="preserve">upon </w:t>
      </w:r>
      <w:r w:rsidRPr="004D2953">
        <w:rPr>
          <w:rFonts w:ascii="Arial" w:hAnsi="Arial" w:cs="Arial"/>
          <w:sz w:val="22"/>
          <w:szCs w:val="22"/>
          <w:lang w:val="en-US"/>
        </w:rPr>
        <w:t>investments under Measure 7</w:t>
      </w:r>
    </w:p>
    <w:p w:rsidR="003136C5" w:rsidRPr="004D2953" w:rsidRDefault="003136C5" w:rsidP="00DA409C">
      <w:pPr>
        <w:pStyle w:val="m343668044302477783m-3986873246552044066msolistparagraph"/>
        <w:spacing w:before="120" w:beforeAutospacing="0" w:after="0" w:afterAutospacing="0"/>
        <w:ind w:firstLine="426"/>
        <w:jc w:val="both"/>
        <w:rPr>
          <w:rFonts w:ascii="Arial" w:hAnsi="Arial" w:cs="Arial"/>
          <w:sz w:val="22"/>
          <w:szCs w:val="22"/>
          <w:lang w:val="en-US"/>
        </w:rPr>
      </w:pPr>
      <w:r w:rsidRPr="004D2953">
        <w:rPr>
          <w:rFonts w:ascii="Arial" w:hAnsi="Arial" w:cs="Arial"/>
          <w:sz w:val="22"/>
          <w:szCs w:val="22"/>
          <w:lang w:val="en-US"/>
        </w:rPr>
        <w:t>-</w:t>
      </w:r>
      <w:r w:rsidR="00DA409C" w:rsidRPr="004D2953">
        <w:rPr>
          <w:rFonts w:ascii="Arial" w:hAnsi="Arial" w:cs="Arial"/>
          <w:sz w:val="22"/>
          <w:szCs w:val="22"/>
          <w:lang w:val="en-US"/>
        </w:rPr>
        <w:t xml:space="preserve"> </w:t>
      </w:r>
      <w:r w:rsidRPr="004D2953">
        <w:rPr>
          <w:rFonts w:ascii="Arial" w:hAnsi="Arial" w:cs="Arial"/>
          <w:sz w:val="22"/>
          <w:szCs w:val="22"/>
          <w:lang w:val="en-US"/>
        </w:rPr>
        <w:t xml:space="preserve">319 on-the-spot controls prior </w:t>
      </w:r>
      <w:r w:rsidR="002252B1" w:rsidRPr="004D2953">
        <w:rPr>
          <w:rFonts w:ascii="Arial" w:hAnsi="Arial" w:cs="Arial"/>
          <w:sz w:val="22"/>
          <w:szCs w:val="22"/>
          <w:lang w:val="en-US"/>
        </w:rPr>
        <w:t xml:space="preserve">to </w:t>
      </w:r>
      <w:r w:rsidRPr="004D2953">
        <w:rPr>
          <w:rFonts w:ascii="Arial" w:hAnsi="Arial" w:cs="Arial"/>
          <w:sz w:val="22"/>
          <w:szCs w:val="22"/>
          <w:lang w:val="en-US"/>
        </w:rPr>
        <w:t>payment, of which:</w:t>
      </w:r>
    </w:p>
    <w:p w:rsidR="003136C5" w:rsidRPr="004D2953" w:rsidRDefault="003136C5" w:rsidP="002252B1">
      <w:pPr>
        <w:pStyle w:val="m343668044302477783m-3986873246552044066msolistparagraph"/>
        <w:spacing w:before="120" w:beforeAutospacing="0" w:after="0" w:afterAutospacing="0"/>
        <w:ind w:left="567" w:firstLine="426"/>
        <w:jc w:val="both"/>
        <w:rPr>
          <w:rFonts w:ascii="Arial" w:hAnsi="Arial" w:cs="Arial"/>
          <w:sz w:val="22"/>
          <w:szCs w:val="22"/>
          <w:lang w:val="en-US"/>
        </w:rPr>
      </w:pPr>
      <w:r w:rsidRPr="004D2953">
        <w:rPr>
          <w:rFonts w:ascii="Arial" w:hAnsi="Arial" w:cs="Arial"/>
          <w:sz w:val="22"/>
          <w:szCs w:val="22"/>
          <w:lang w:val="en-US"/>
        </w:rPr>
        <w:t xml:space="preserve">- 308 on-the-spot controls </w:t>
      </w:r>
      <w:r w:rsidR="002252B1" w:rsidRPr="004D2953">
        <w:rPr>
          <w:rFonts w:ascii="Arial" w:hAnsi="Arial" w:cs="Arial"/>
          <w:sz w:val="22"/>
          <w:szCs w:val="22"/>
          <w:lang w:val="en-US"/>
        </w:rPr>
        <w:t xml:space="preserve">upon </w:t>
      </w:r>
      <w:r w:rsidRPr="004D2953">
        <w:rPr>
          <w:rFonts w:ascii="Arial" w:hAnsi="Arial" w:cs="Arial"/>
          <w:sz w:val="22"/>
          <w:szCs w:val="22"/>
          <w:lang w:val="en-US"/>
        </w:rPr>
        <w:t>investments under Measure 1</w:t>
      </w:r>
    </w:p>
    <w:p w:rsidR="003136C5" w:rsidRPr="004D2953" w:rsidRDefault="003136C5" w:rsidP="002252B1">
      <w:pPr>
        <w:pStyle w:val="m343668044302477783m-3986873246552044066msolistparagraph"/>
        <w:spacing w:before="120" w:beforeAutospacing="0" w:after="0" w:afterAutospacing="0"/>
        <w:ind w:left="567" w:firstLine="426"/>
        <w:jc w:val="both"/>
        <w:rPr>
          <w:rFonts w:ascii="Arial" w:hAnsi="Arial" w:cs="Arial"/>
          <w:sz w:val="22"/>
          <w:szCs w:val="22"/>
          <w:lang w:val="en-US"/>
        </w:rPr>
      </w:pPr>
      <w:r w:rsidRPr="004D2953">
        <w:rPr>
          <w:rFonts w:ascii="Arial" w:hAnsi="Arial" w:cs="Arial"/>
          <w:sz w:val="22"/>
          <w:szCs w:val="22"/>
          <w:lang w:val="en-US"/>
        </w:rPr>
        <w:t xml:space="preserve">- 11 on-the-spot controls </w:t>
      </w:r>
      <w:r w:rsidR="002252B1" w:rsidRPr="004D2953">
        <w:rPr>
          <w:rFonts w:ascii="Arial" w:hAnsi="Arial" w:cs="Arial"/>
          <w:sz w:val="22"/>
          <w:szCs w:val="22"/>
          <w:lang w:val="en-US"/>
        </w:rPr>
        <w:t xml:space="preserve">upon </w:t>
      </w:r>
      <w:r w:rsidRPr="004D2953">
        <w:rPr>
          <w:rFonts w:ascii="Arial" w:hAnsi="Arial" w:cs="Arial"/>
          <w:sz w:val="22"/>
          <w:szCs w:val="22"/>
          <w:lang w:val="en-US"/>
        </w:rPr>
        <w:t>investments under Measure 3</w:t>
      </w:r>
    </w:p>
    <w:p w:rsidR="003136C5" w:rsidRPr="004D2953" w:rsidRDefault="003136C5" w:rsidP="00DA409C">
      <w:pPr>
        <w:pStyle w:val="m343668044302477783m-3986873246552044066msolistparagraph"/>
        <w:spacing w:before="120" w:beforeAutospacing="0" w:after="0" w:afterAutospacing="0"/>
        <w:ind w:firstLine="426"/>
        <w:jc w:val="both"/>
        <w:rPr>
          <w:rFonts w:ascii="Arial" w:hAnsi="Arial" w:cs="Arial"/>
          <w:sz w:val="22"/>
          <w:szCs w:val="22"/>
          <w:lang w:val="en-US"/>
        </w:rPr>
      </w:pPr>
      <w:r w:rsidRPr="004D2953">
        <w:rPr>
          <w:rFonts w:ascii="Arial" w:hAnsi="Arial" w:cs="Arial"/>
          <w:sz w:val="22"/>
          <w:szCs w:val="22"/>
          <w:lang w:val="en-US"/>
        </w:rPr>
        <w:t>-</w:t>
      </w:r>
      <w:r w:rsidR="00DA409C" w:rsidRPr="004D2953">
        <w:rPr>
          <w:rFonts w:ascii="Arial" w:hAnsi="Arial" w:cs="Arial"/>
          <w:sz w:val="22"/>
          <w:szCs w:val="22"/>
          <w:lang w:val="en-US"/>
        </w:rPr>
        <w:t xml:space="preserve"> </w:t>
      </w:r>
      <w:r w:rsidRPr="004D2953">
        <w:rPr>
          <w:rFonts w:ascii="Arial" w:hAnsi="Arial" w:cs="Arial"/>
          <w:sz w:val="22"/>
          <w:szCs w:val="22"/>
          <w:lang w:val="en-US"/>
        </w:rPr>
        <w:t>157 ex-post on-the-spot controls, of which:</w:t>
      </w:r>
    </w:p>
    <w:p w:rsidR="003136C5" w:rsidRPr="004D2953" w:rsidRDefault="003136C5" w:rsidP="002252B1">
      <w:pPr>
        <w:pStyle w:val="m343668044302477783m-3986873246552044066msolistparagraph"/>
        <w:spacing w:before="120" w:beforeAutospacing="0" w:after="0" w:afterAutospacing="0"/>
        <w:ind w:left="567" w:firstLine="426"/>
        <w:jc w:val="both"/>
        <w:rPr>
          <w:rFonts w:ascii="Arial" w:hAnsi="Arial" w:cs="Arial"/>
          <w:sz w:val="22"/>
          <w:szCs w:val="22"/>
          <w:lang w:val="en-US"/>
        </w:rPr>
      </w:pPr>
      <w:r w:rsidRPr="004D2953">
        <w:rPr>
          <w:rFonts w:ascii="Arial" w:hAnsi="Arial" w:cs="Arial"/>
          <w:sz w:val="22"/>
          <w:szCs w:val="22"/>
          <w:lang w:val="en-US"/>
        </w:rPr>
        <w:t xml:space="preserve">- 149 on-the-spot controls </w:t>
      </w:r>
      <w:r w:rsidR="002252B1" w:rsidRPr="004D2953">
        <w:rPr>
          <w:rFonts w:ascii="Arial" w:hAnsi="Arial" w:cs="Arial"/>
          <w:sz w:val="22"/>
          <w:szCs w:val="22"/>
          <w:lang w:val="en-US"/>
        </w:rPr>
        <w:t xml:space="preserve">upon </w:t>
      </w:r>
      <w:r w:rsidRPr="004D2953">
        <w:rPr>
          <w:rFonts w:ascii="Arial" w:hAnsi="Arial" w:cs="Arial"/>
          <w:sz w:val="22"/>
          <w:szCs w:val="22"/>
          <w:lang w:val="en-US"/>
        </w:rPr>
        <w:t>investments under Measure 1</w:t>
      </w:r>
    </w:p>
    <w:p w:rsidR="003136C5" w:rsidRPr="004D2953" w:rsidRDefault="003136C5" w:rsidP="002252B1">
      <w:pPr>
        <w:pStyle w:val="m343668044302477783m-3986873246552044066msolistparagraph"/>
        <w:spacing w:before="120" w:beforeAutospacing="0" w:after="0" w:afterAutospacing="0"/>
        <w:ind w:left="567" w:firstLine="426"/>
        <w:jc w:val="both"/>
        <w:rPr>
          <w:rFonts w:ascii="Arial" w:hAnsi="Arial" w:cs="Arial"/>
          <w:sz w:val="22"/>
          <w:szCs w:val="22"/>
          <w:lang w:val="en-US"/>
        </w:rPr>
      </w:pPr>
      <w:r w:rsidRPr="004D2953">
        <w:rPr>
          <w:rFonts w:ascii="Arial" w:hAnsi="Arial" w:cs="Arial"/>
          <w:sz w:val="22"/>
          <w:szCs w:val="22"/>
          <w:lang w:val="en-US"/>
        </w:rPr>
        <w:t>- 3</w:t>
      </w:r>
      <w:r w:rsidR="00DA409C" w:rsidRPr="004D2953">
        <w:rPr>
          <w:rFonts w:ascii="Arial" w:hAnsi="Arial" w:cs="Arial"/>
          <w:sz w:val="22"/>
          <w:szCs w:val="22"/>
          <w:lang w:val="en-US"/>
        </w:rPr>
        <w:t xml:space="preserve"> </w:t>
      </w:r>
      <w:r w:rsidRPr="004D2953">
        <w:rPr>
          <w:rFonts w:ascii="Arial" w:hAnsi="Arial" w:cs="Arial"/>
          <w:sz w:val="22"/>
          <w:szCs w:val="22"/>
          <w:lang w:val="en-US"/>
        </w:rPr>
        <w:t xml:space="preserve">on-the-spot controls </w:t>
      </w:r>
      <w:r w:rsidR="002252B1" w:rsidRPr="004D2953">
        <w:rPr>
          <w:rFonts w:ascii="Arial" w:hAnsi="Arial" w:cs="Arial"/>
          <w:sz w:val="22"/>
          <w:szCs w:val="22"/>
          <w:lang w:val="en-US"/>
        </w:rPr>
        <w:t xml:space="preserve">upon </w:t>
      </w:r>
      <w:r w:rsidRPr="004D2953">
        <w:rPr>
          <w:rFonts w:ascii="Arial" w:hAnsi="Arial" w:cs="Arial"/>
          <w:sz w:val="22"/>
          <w:szCs w:val="22"/>
          <w:lang w:val="en-US"/>
        </w:rPr>
        <w:t>investments under Measure 3</w:t>
      </w:r>
    </w:p>
    <w:p w:rsidR="003136C5" w:rsidRPr="004D2953" w:rsidRDefault="003136C5" w:rsidP="002252B1">
      <w:pPr>
        <w:pStyle w:val="m343668044302477783m-3986873246552044066msolistparagraph"/>
        <w:spacing w:before="120" w:beforeAutospacing="0" w:after="0" w:afterAutospacing="0"/>
        <w:ind w:left="567" w:firstLine="426"/>
        <w:jc w:val="both"/>
        <w:rPr>
          <w:rFonts w:ascii="Arial" w:hAnsi="Arial" w:cs="Arial"/>
          <w:sz w:val="22"/>
          <w:szCs w:val="22"/>
          <w:lang w:val="en-US"/>
        </w:rPr>
      </w:pPr>
      <w:r w:rsidRPr="004D2953">
        <w:rPr>
          <w:rFonts w:ascii="Arial" w:hAnsi="Arial" w:cs="Arial"/>
          <w:sz w:val="22"/>
          <w:szCs w:val="22"/>
          <w:lang w:val="en-US"/>
        </w:rPr>
        <w:t xml:space="preserve">- 5 on-the-spot controls </w:t>
      </w:r>
      <w:r w:rsidR="002252B1" w:rsidRPr="004D2953">
        <w:rPr>
          <w:rFonts w:ascii="Arial" w:hAnsi="Arial" w:cs="Arial"/>
          <w:sz w:val="22"/>
          <w:szCs w:val="22"/>
          <w:lang w:val="en-US"/>
        </w:rPr>
        <w:t xml:space="preserve">upon </w:t>
      </w:r>
      <w:r w:rsidRPr="004D2953">
        <w:rPr>
          <w:rFonts w:ascii="Arial" w:hAnsi="Arial" w:cs="Arial"/>
          <w:sz w:val="22"/>
          <w:szCs w:val="22"/>
          <w:lang w:val="en-US"/>
        </w:rPr>
        <w:t>investments under Measure 7</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 xml:space="preserve">The </w:t>
      </w:r>
      <w:r w:rsidR="002252B1" w:rsidRPr="004D2953">
        <w:rPr>
          <w:rFonts w:ascii="Arial" w:hAnsi="Arial" w:cs="Arial"/>
          <w:sz w:val="22"/>
          <w:szCs w:val="22"/>
          <w:lang w:val="en-US"/>
        </w:rPr>
        <w:t xml:space="preserve">the On-the-spot Control Sector </w:t>
      </w:r>
      <w:r w:rsidRPr="004D2953">
        <w:rPr>
          <w:rFonts w:ascii="Arial" w:hAnsi="Arial" w:cs="Arial"/>
          <w:sz w:val="22"/>
          <w:szCs w:val="22"/>
          <w:lang w:val="en-US"/>
        </w:rPr>
        <w:t xml:space="preserve">has carried out 5 on-the-spot controls for establishing hidden works during realization of investment </w:t>
      </w:r>
    </w:p>
    <w:p w:rsidR="003136C5" w:rsidRPr="004D2953"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4D2953">
        <w:rPr>
          <w:rFonts w:ascii="Arial" w:hAnsi="Arial" w:cs="Arial"/>
          <w:sz w:val="22"/>
          <w:szCs w:val="22"/>
          <w:lang w:val="en-US"/>
        </w:rPr>
        <w:t>Two on-the-spot controls after contract sign</w:t>
      </w:r>
      <w:r w:rsidR="002252B1" w:rsidRPr="004D2953">
        <w:rPr>
          <w:rFonts w:ascii="Arial" w:hAnsi="Arial" w:cs="Arial"/>
          <w:sz w:val="22"/>
          <w:szCs w:val="22"/>
          <w:lang w:val="en-US"/>
        </w:rPr>
        <w:t xml:space="preserve">ing, </w:t>
      </w:r>
      <w:r w:rsidRPr="004D2953">
        <w:rPr>
          <w:rFonts w:ascii="Arial" w:hAnsi="Arial" w:cs="Arial"/>
          <w:sz w:val="22"/>
          <w:szCs w:val="22"/>
          <w:lang w:val="en-US"/>
        </w:rPr>
        <w:t xml:space="preserve">but before </w:t>
      </w:r>
      <w:r w:rsidR="002252B1" w:rsidRPr="004D2953">
        <w:rPr>
          <w:rFonts w:ascii="Arial" w:hAnsi="Arial" w:cs="Arial"/>
          <w:sz w:val="22"/>
          <w:szCs w:val="22"/>
          <w:lang w:val="en-US"/>
        </w:rPr>
        <w:t xml:space="preserve">payment </w:t>
      </w:r>
      <w:r w:rsidRPr="004D2953">
        <w:rPr>
          <w:rFonts w:ascii="Arial" w:hAnsi="Arial" w:cs="Arial"/>
          <w:sz w:val="22"/>
          <w:szCs w:val="22"/>
          <w:lang w:val="en-US"/>
        </w:rPr>
        <w:t xml:space="preserve">claim is sent under Measure Technical assistance </w:t>
      </w:r>
      <w:r w:rsidR="002252B1" w:rsidRPr="004D2953">
        <w:rPr>
          <w:rFonts w:ascii="Arial" w:hAnsi="Arial" w:cs="Arial"/>
          <w:sz w:val="22"/>
          <w:szCs w:val="22"/>
          <w:lang w:val="en-US"/>
        </w:rPr>
        <w:t xml:space="preserve">were </w:t>
      </w:r>
      <w:r w:rsidRPr="004D2953">
        <w:rPr>
          <w:rFonts w:ascii="Arial" w:hAnsi="Arial" w:cs="Arial"/>
          <w:sz w:val="22"/>
          <w:szCs w:val="22"/>
          <w:lang w:val="en-US"/>
        </w:rPr>
        <w:t>carried out in 2018.</w:t>
      </w:r>
    </w:p>
    <w:p w:rsidR="003136C5" w:rsidRPr="009C5096" w:rsidRDefault="003136C5" w:rsidP="00097EED">
      <w:pPr>
        <w:pStyle w:val="m343668044302477783m-3986873246552044066msolistparagraph"/>
        <w:numPr>
          <w:ilvl w:val="1"/>
          <w:numId w:val="2"/>
        </w:numPr>
        <w:spacing w:before="120" w:beforeAutospacing="0" w:after="120" w:afterAutospacing="0"/>
        <w:jc w:val="both"/>
        <w:outlineLvl w:val="1"/>
        <w:rPr>
          <w:rFonts w:ascii="Arial" w:hAnsi="Arial" w:cs="Arial"/>
          <w:b/>
          <w:lang w:val="en-US"/>
        </w:rPr>
      </w:pPr>
      <w:bookmarkStart w:id="68" w:name="_Toc8649820"/>
      <w:r w:rsidRPr="009C5096">
        <w:rPr>
          <w:rFonts w:ascii="Arial" w:hAnsi="Arial" w:cs="Arial"/>
          <w:b/>
          <w:lang w:val="en-US"/>
        </w:rPr>
        <w:t>Report on the work of the IPARD Monitoring Committee</w:t>
      </w:r>
      <w:bookmarkEnd w:id="68"/>
    </w:p>
    <w:p w:rsidR="003136C5" w:rsidRDefault="003136C5" w:rsidP="003136C5">
      <w:pPr>
        <w:pStyle w:val="m343668044302477783m-3986873246552044066msolistparagraph"/>
        <w:spacing w:before="120" w:beforeAutospacing="0" w:after="120" w:afterAutospacing="0"/>
        <w:jc w:val="both"/>
        <w:rPr>
          <w:rFonts w:ascii="Arial" w:hAnsi="Arial" w:cs="Arial"/>
          <w:sz w:val="22"/>
          <w:szCs w:val="22"/>
          <w:lang w:val="en-US"/>
        </w:rPr>
      </w:pPr>
      <w:r w:rsidRPr="009C5096">
        <w:rPr>
          <w:rFonts w:ascii="Arial" w:hAnsi="Arial" w:cs="Arial"/>
          <w:sz w:val="22"/>
          <w:szCs w:val="22"/>
          <w:lang w:val="en-US"/>
        </w:rPr>
        <w:t xml:space="preserve">Since its inception in January 2016, the IPARD Monitoring Committee has held 4 meetings. The change in the Government has reflected in the change </w:t>
      </w:r>
      <w:r w:rsidR="00B57F15">
        <w:rPr>
          <w:rFonts w:ascii="Arial" w:hAnsi="Arial" w:cs="Arial"/>
          <w:sz w:val="22"/>
          <w:szCs w:val="22"/>
          <w:lang w:val="en-US"/>
        </w:rPr>
        <w:t xml:space="preserve">of </w:t>
      </w:r>
      <w:r w:rsidRPr="009C5096">
        <w:rPr>
          <w:rFonts w:ascii="Arial" w:hAnsi="Arial" w:cs="Arial"/>
          <w:sz w:val="22"/>
          <w:szCs w:val="22"/>
          <w:lang w:val="en-US"/>
        </w:rPr>
        <w:t xml:space="preserve">the Monitoring Committee. </w:t>
      </w:r>
      <w:r w:rsidR="00B57F15">
        <w:rPr>
          <w:rFonts w:ascii="Arial" w:hAnsi="Arial" w:cs="Arial"/>
          <w:sz w:val="22"/>
          <w:szCs w:val="22"/>
          <w:lang w:val="en-US"/>
        </w:rPr>
        <w:t>A n</w:t>
      </w:r>
      <w:r w:rsidRPr="009C5096">
        <w:rPr>
          <w:rFonts w:ascii="Arial" w:hAnsi="Arial" w:cs="Arial"/>
          <w:sz w:val="22"/>
          <w:szCs w:val="22"/>
          <w:lang w:val="en-US"/>
        </w:rPr>
        <w:t>ew Decision for establish</w:t>
      </w:r>
      <w:r w:rsidR="00B57F15">
        <w:rPr>
          <w:rFonts w:ascii="Arial" w:hAnsi="Arial" w:cs="Arial"/>
          <w:sz w:val="22"/>
          <w:szCs w:val="22"/>
          <w:lang w:val="en-US"/>
        </w:rPr>
        <w:t xml:space="preserve">ing a </w:t>
      </w:r>
      <w:r w:rsidRPr="009C5096">
        <w:rPr>
          <w:rFonts w:ascii="Arial" w:hAnsi="Arial" w:cs="Arial"/>
          <w:sz w:val="22"/>
          <w:szCs w:val="22"/>
          <w:lang w:val="en-US"/>
        </w:rPr>
        <w:t xml:space="preserve">Monitoring Committee </w:t>
      </w:r>
      <w:r w:rsidR="00B57F15">
        <w:rPr>
          <w:rFonts w:ascii="Arial" w:hAnsi="Arial" w:cs="Arial"/>
          <w:sz w:val="22"/>
          <w:szCs w:val="22"/>
          <w:lang w:val="en-US"/>
        </w:rPr>
        <w:t xml:space="preserve">was </w:t>
      </w:r>
      <w:r w:rsidRPr="009C5096">
        <w:rPr>
          <w:rFonts w:ascii="Arial" w:hAnsi="Arial" w:cs="Arial"/>
          <w:sz w:val="22"/>
          <w:szCs w:val="22"/>
          <w:lang w:val="en-US"/>
        </w:rPr>
        <w:t xml:space="preserve">signed by the Minister in October 2017. Consequently, new members </w:t>
      </w:r>
      <w:r w:rsidR="00B57F15">
        <w:rPr>
          <w:rFonts w:ascii="Arial" w:hAnsi="Arial" w:cs="Arial"/>
          <w:sz w:val="22"/>
          <w:szCs w:val="22"/>
          <w:lang w:val="en-US"/>
        </w:rPr>
        <w:t xml:space="preserve">were </w:t>
      </w:r>
      <w:r w:rsidRPr="009C5096">
        <w:rPr>
          <w:rFonts w:ascii="Arial" w:hAnsi="Arial" w:cs="Arial"/>
          <w:sz w:val="22"/>
          <w:szCs w:val="22"/>
          <w:lang w:val="en-US"/>
        </w:rPr>
        <w:t>appoi</w:t>
      </w:r>
      <w:r w:rsidR="00B57F15">
        <w:rPr>
          <w:rFonts w:ascii="Arial" w:hAnsi="Arial" w:cs="Arial"/>
          <w:sz w:val="22"/>
          <w:szCs w:val="22"/>
          <w:lang w:val="en-US"/>
        </w:rPr>
        <w:t>n</w:t>
      </w:r>
      <w:r w:rsidRPr="009C5096">
        <w:rPr>
          <w:rFonts w:ascii="Arial" w:hAnsi="Arial" w:cs="Arial"/>
          <w:sz w:val="22"/>
          <w:szCs w:val="22"/>
          <w:lang w:val="en-US"/>
        </w:rPr>
        <w:t>ted in the Monitoring Committee, so at the moment it comprises of 14 government representatives (4 from MAFWE), 15 representatives of social and economic partners and the Chairperson. The Committee adopted new Rules of Procedure in February 2018.</w:t>
      </w:r>
    </w:p>
    <w:p w:rsidR="00541237" w:rsidRPr="009C5096" w:rsidRDefault="00541237" w:rsidP="003136C5">
      <w:pPr>
        <w:pStyle w:val="m343668044302477783m-3986873246552044066msolistparagraph"/>
        <w:spacing w:before="120" w:beforeAutospacing="0" w:after="120" w:afterAutospacing="0"/>
        <w:jc w:val="both"/>
        <w:rPr>
          <w:rFonts w:ascii="Arial" w:hAnsi="Arial" w:cs="Arial"/>
          <w:sz w:val="22"/>
          <w:szCs w:val="22"/>
          <w:lang w:val="en-US"/>
        </w:rPr>
      </w:pPr>
    </w:p>
    <w:p w:rsidR="003136C5" w:rsidRPr="009C5096" w:rsidRDefault="003136C5" w:rsidP="00097EED">
      <w:pPr>
        <w:pStyle w:val="m343668044302477783m-3986873246552044066msolistparagraph"/>
        <w:numPr>
          <w:ilvl w:val="1"/>
          <w:numId w:val="2"/>
        </w:numPr>
        <w:spacing w:before="120" w:beforeAutospacing="0" w:after="120" w:afterAutospacing="0"/>
        <w:jc w:val="both"/>
        <w:outlineLvl w:val="1"/>
        <w:rPr>
          <w:rFonts w:ascii="Arial" w:hAnsi="Arial" w:cs="Arial"/>
          <w:b/>
          <w:lang w:val="en-US"/>
        </w:rPr>
      </w:pPr>
      <w:bookmarkStart w:id="69" w:name="_Toc8649821"/>
      <w:r w:rsidRPr="009C5096">
        <w:rPr>
          <w:rFonts w:ascii="Arial" w:hAnsi="Arial" w:cs="Arial"/>
          <w:b/>
          <w:lang w:val="en-US"/>
        </w:rPr>
        <w:lastRenderedPageBreak/>
        <w:t>Evaluation of the IPARD Programme</w:t>
      </w:r>
      <w:bookmarkEnd w:id="69"/>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Evaluations shall aim to improve the quality, effectiveness and consistency of the assistance from Union funds and the strategy and implementation of the IPARD II Programme. The IPARD II Programme shall be subject to ex-ante and ex-post and, where considered as appropriate by the Commission, interim evaluations carried out by independent evaluators under the responsibility of the MA. </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The evaluations shall assess the implementation of the IPARD II Programme towards the achievement of its objectives and shall examine the degree of utilization of resources, the effectiveness and efficiency of the programming, its socio-economic impact and its impact on the defined objectives and priorities. They shall identify the factors that contributed to the success or failure of the implementation of the IPARD II Programme, including the sustainability of actions and identifications of best practices. </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In accordance </w:t>
      </w:r>
      <w:r w:rsidR="00B57F15">
        <w:rPr>
          <w:rFonts w:ascii="Arial" w:hAnsi="Arial" w:cs="Arial"/>
          <w:sz w:val="22"/>
          <w:szCs w:val="22"/>
          <w:lang w:val="en-US"/>
        </w:rPr>
        <w:t xml:space="preserve">with </w:t>
      </w:r>
      <w:r w:rsidRPr="009C5096">
        <w:rPr>
          <w:rFonts w:ascii="Arial" w:hAnsi="Arial" w:cs="Arial"/>
          <w:sz w:val="22"/>
          <w:szCs w:val="22"/>
          <w:lang w:val="en-US"/>
        </w:rPr>
        <w:t>the evaluation plan for the IPARD II Programme drawn up by the Managing Authority and approved by the Monitoring Committee, the Managing Authority shall report each year on the results achieved under the evaluation plan to the IPARD II Monitoring Committee.</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b/>
          <w:sz w:val="22"/>
          <w:szCs w:val="22"/>
          <w:u w:val="single"/>
          <w:lang w:val="en-US"/>
        </w:rPr>
      </w:pPr>
      <w:r w:rsidRPr="009C5096">
        <w:rPr>
          <w:rFonts w:ascii="Arial" w:hAnsi="Arial" w:cs="Arial"/>
          <w:b/>
          <w:sz w:val="22"/>
          <w:szCs w:val="22"/>
          <w:u w:val="single"/>
          <w:lang w:val="en-US"/>
        </w:rPr>
        <w:t>Responsibilities and coordination</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In order to ensure that the monitoring and evaluation system is able to deliver results</w:t>
      </w:r>
      <w:r w:rsidR="00A7195C">
        <w:rPr>
          <w:rFonts w:ascii="Arial" w:hAnsi="Arial" w:cs="Arial"/>
          <w:sz w:val="22"/>
          <w:szCs w:val="22"/>
          <w:lang w:val="en-US"/>
        </w:rPr>
        <w:t>,</w:t>
      </w:r>
      <w:r w:rsidRPr="009C5096">
        <w:rPr>
          <w:rFonts w:ascii="Arial" w:hAnsi="Arial" w:cs="Arial"/>
          <w:sz w:val="22"/>
          <w:szCs w:val="22"/>
          <w:lang w:val="en-US"/>
        </w:rPr>
        <w:t xml:space="preserve"> a well-designed and robust governance and coordination system is a prerequisite. The Framework and Sectoral Agreements set the legal requirements and defin</w:t>
      </w:r>
      <w:r w:rsidR="00A7195C">
        <w:rPr>
          <w:rFonts w:ascii="Arial" w:hAnsi="Arial" w:cs="Arial"/>
          <w:sz w:val="22"/>
          <w:szCs w:val="22"/>
          <w:lang w:val="en-US"/>
        </w:rPr>
        <w:t xml:space="preserve">e </w:t>
      </w:r>
      <w:r w:rsidRPr="009C5096">
        <w:rPr>
          <w:rFonts w:ascii="Arial" w:hAnsi="Arial" w:cs="Arial"/>
          <w:sz w:val="22"/>
          <w:szCs w:val="22"/>
          <w:lang w:val="en-US"/>
        </w:rPr>
        <w:t xml:space="preserve">responsible bodies for implementation of the monitoring and evaluation tasks. </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The overall responsibility for organizing the </w:t>
      </w:r>
      <w:r w:rsidR="00A7195C" w:rsidRPr="009C5096">
        <w:rPr>
          <w:rFonts w:ascii="Arial" w:hAnsi="Arial" w:cs="Arial"/>
          <w:sz w:val="22"/>
          <w:szCs w:val="22"/>
          <w:lang w:val="en-US"/>
        </w:rPr>
        <w:t xml:space="preserve">evaluation </w:t>
      </w:r>
      <w:r w:rsidRPr="009C5096">
        <w:rPr>
          <w:rFonts w:ascii="Arial" w:hAnsi="Arial" w:cs="Arial"/>
          <w:sz w:val="22"/>
          <w:szCs w:val="22"/>
          <w:lang w:val="en-US"/>
        </w:rPr>
        <w:t xml:space="preserve">process of the IPARD II Programme </w:t>
      </w:r>
      <w:r w:rsidR="00A7195C">
        <w:rPr>
          <w:rFonts w:ascii="Arial" w:hAnsi="Arial" w:cs="Arial"/>
          <w:sz w:val="22"/>
          <w:szCs w:val="22"/>
          <w:lang w:val="en-US"/>
        </w:rPr>
        <w:t xml:space="preserve">lies with </w:t>
      </w:r>
      <w:r w:rsidRPr="009C5096">
        <w:rPr>
          <w:rFonts w:ascii="Arial" w:hAnsi="Arial" w:cs="Arial"/>
          <w:sz w:val="22"/>
          <w:szCs w:val="22"/>
          <w:lang w:val="en-US"/>
        </w:rPr>
        <w:t>the Unit for IPARD Programming and Evaluation, within the IPARD Managing Authority. They are responsible for drawing up an evaluation plan and coordinate its implementation. The Managing Authority is also responsible for communicating each evaluation to the European Commission and for making evaluation reports public. In addition, the Head of the Managing Authority chair</w:t>
      </w:r>
      <w:r w:rsidR="00A7195C">
        <w:rPr>
          <w:rFonts w:ascii="Arial" w:hAnsi="Arial" w:cs="Arial"/>
          <w:sz w:val="22"/>
          <w:szCs w:val="22"/>
          <w:lang w:val="en-US"/>
        </w:rPr>
        <w:t xml:space="preserve">s </w:t>
      </w:r>
      <w:r w:rsidRPr="009C5096">
        <w:rPr>
          <w:rFonts w:ascii="Arial" w:hAnsi="Arial" w:cs="Arial"/>
          <w:sz w:val="22"/>
          <w:szCs w:val="22"/>
          <w:lang w:val="en-US"/>
        </w:rPr>
        <w:t>the Evaluation Steering Committee, facilitating cooperation amongst the monitoring and evaluation stakeholders and ensuring capacity building of stakeholders. The MA is also directly involved in collecting and processing monitoring data.</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The Monitoring Committee has the responsibility to monitor the implementation of the programme and progress towards its objectives, principally with indicators, and considers and approves the Agriculture Implementation Reports (AIRs) before they sent to the EC.</w:t>
      </w:r>
    </w:p>
    <w:p w:rsidR="003136C5" w:rsidRPr="003B72A1" w:rsidRDefault="003136C5" w:rsidP="003136C5">
      <w:pPr>
        <w:spacing w:before="120"/>
        <w:rPr>
          <w:rFonts w:ascii="Arial" w:hAnsi="Arial" w:cs="Arial"/>
          <w:b/>
          <w:sz w:val="22"/>
          <w:u w:val="single"/>
        </w:rPr>
      </w:pPr>
      <w:r w:rsidRPr="003B72A1">
        <w:rPr>
          <w:rFonts w:ascii="Arial" w:hAnsi="Arial" w:cs="Arial"/>
          <w:b/>
          <w:sz w:val="22"/>
          <w:u w:val="single"/>
        </w:rPr>
        <w:t>Evaluation plan 2014 – 2020</w:t>
      </w:r>
    </w:p>
    <w:p w:rsidR="003136C5" w:rsidRPr="003B72A1" w:rsidRDefault="003136C5" w:rsidP="003136C5">
      <w:pPr>
        <w:spacing w:before="120"/>
        <w:jc w:val="both"/>
        <w:rPr>
          <w:rFonts w:ascii="Arial" w:hAnsi="Arial" w:cs="Arial"/>
          <w:sz w:val="22"/>
        </w:rPr>
      </w:pPr>
      <w:r w:rsidRPr="003B72A1">
        <w:rPr>
          <w:rFonts w:ascii="Arial" w:hAnsi="Arial" w:cs="Arial"/>
          <w:sz w:val="22"/>
        </w:rPr>
        <w:t xml:space="preserve">The following indicative outline explains the time plan for evaluation activities for the IPARD II Programme: </w:t>
      </w:r>
    </w:p>
    <w:p w:rsidR="003136C5" w:rsidRPr="003B72A1" w:rsidRDefault="003136C5" w:rsidP="006A196A">
      <w:pPr>
        <w:pStyle w:val="ListParagraph"/>
        <w:numPr>
          <w:ilvl w:val="0"/>
          <w:numId w:val="13"/>
        </w:numPr>
        <w:spacing w:before="120"/>
        <w:contextualSpacing/>
        <w:jc w:val="both"/>
        <w:rPr>
          <w:rFonts w:ascii="Arial" w:hAnsi="Arial" w:cs="Arial"/>
          <w:sz w:val="22"/>
        </w:rPr>
      </w:pPr>
      <w:r w:rsidRPr="003B72A1">
        <w:rPr>
          <w:rFonts w:ascii="Arial" w:hAnsi="Arial" w:cs="Arial"/>
          <w:sz w:val="22"/>
        </w:rPr>
        <w:t xml:space="preserve">2016 </w:t>
      </w:r>
      <w:r w:rsidR="006A196A" w:rsidRPr="003B72A1">
        <w:rPr>
          <w:rFonts w:ascii="Arial" w:hAnsi="Arial" w:cs="Arial"/>
          <w:sz w:val="22"/>
        </w:rPr>
        <w:t>–</w:t>
      </w:r>
      <w:r w:rsidRPr="003B72A1">
        <w:rPr>
          <w:rFonts w:ascii="Arial" w:hAnsi="Arial" w:cs="Arial"/>
          <w:sz w:val="22"/>
        </w:rPr>
        <w:t xml:space="preserve"> Identifying Programme-specific evaluation needs, defining Programme-specific evaluation questions and indicators, identifying evaluation data requirements and screening data sources; deciding on the data to be collected for evaluation through the monitoring system from application forms, payment requests and other monitoring tools.</w:t>
      </w:r>
    </w:p>
    <w:p w:rsidR="003136C5" w:rsidRPr="003B72A1" w:rsidRDefault="003136C5" w:rsidP="006A196A">
      <w:pPr>
        <w:pStyle w:val="ListParagraph"/>
        <w:numPr>
          <w:ilvl w:val="0"/>
          <w:numId w:val="13"/>
        </w:numPr>
        <w:spacing w:before="120"/>
        <w:contextualSpacing/>
        <w:jc w:val="both"/>
        <w:rPr>
          <w:rFonts w:ascii="Arial" w:hAnsi="Arial" w:cs="Arial"/>
          <w:sz w:val="22"/>
        </w:rPr>
      </w:pPr>
      <w:r w:rsidRPr="003B72A1">
        <w:rPr>
          <w:rFonts w:ascii="Arial" w:hAnsi="Arial" w:cs="Arial"/>
          <w:sz w:val="22"/>
        </w:rPr>
        <w:t xml:space="preserve">2017 </w:t>
      </w:r>
      <w:r w:rsidR="006A196A" w:rsidRPr="003B72A1">
        <w:rPr>
          <w:rFonts w:ascii="Arial" w:hAnsi="Arial" w:cs="Arial"/>
          <w:sz w:val="22"/>
        </w:rPr>
        <w:t>–</w:t>
      </w:r>
      <w:r w:rsidRPr="003B72A1">
        <w:rPr>
          <w:rFonts w:ascii="Arial" w:hAnsi="Arial" w:cs="Arial"/>
          <w:sz w:val="22"/>
        </w:rPr>
        <w:t xml:space="preserve"> The Managing Authority observe</w:t>
      </w:r>
      <w:r w:rsidR="00A7195C">
        <w:rPr>
          <w:rFonts w:ascii="Arial" w:hAnsi="Arial" w:cs="Arial"/>
          <w:sz w:val="22"/>
        </w:rPr>
        <w:t>s</w:t>
      </w:r>
      <w:r w:rsidRPr="003B72A1">
        <w:rPr>
          <w:rFonts w:ascii="Arial" w:hAnsi="Arial" w:cs="Arial"/>
          <w:sz w:val="22"/>
        </w:rPr>
        <w:t xml:space="preserve"> the progress of the Programme and collect</w:t>
      </w:r>
      <w:r w:rsidR="00A7195C">
        <w:rPr>
          <w:rFonts w:ascii="Arial" w:hAnsi="Arial" w:cs="Arial"/>
          <w:sz w:val="22"/>
        </w:rPr>
        <w:t>s</w:t>
      </w:r>
      <w:r w:rsidRPr="003B72A1">
        <w:rPr>
          <w:rFonts w:ascii="Arial" w:hAnsi="Arial" w:cs="Arial"/>
          <w:sz w:val="22"/>
        </w:rPr>
        <w:t xml:space="preserve"> beneficiary data via monitoring systems for output, target and complementary result indicators, preparation of the ToR and tendering and contracting procedures for external evaluators/experts.</w:t>
      </w:r>
    </w:p>
    <w:p w:rsidR="003136C5" w:rsidRPr="003B72A1" w:rsidRDefault="003136C5" w:rsidP="003136C5">
      <w:pPr>
        <w:pStyle w:val="ListParagraph"/>
        <w:numPr>
          <w:ilvl w:val="0"/>
          <w:numId w:val="13"/>
        </w:numPr>
        <w:spacing w:before="120"/>
        <w:contextualSpacing/>
        <w:jc w:val="both"/>
        <w:rPr>
          <w:rFonts w:ascii="Arial" w:hAnsi="Arial" w:cs="Arial"/>
          <w:sz w:val="22"/>
        </w:rPr>
      </w:pPr>
      <w:r w:rsidRPr="003B72A1">
        <w:rPr>
          <w:rFonts w:ascii="Arial" w:hAnsi="Arial" w:cs="Arial"/>
          <w:sz w:val="22"/>
        </w:rPr>
        <w:t>2018 – The external evaluator</w:t>
      </w:r>
      <w:r w:rsidR="00A7195C">
        <w:rPr>
          <w:rFonts w:ascii="Arial" w:hAnsi="Arial" w:cs="Arial"/>
          <w:sz w:val="22"/>
        </w:rPr>
        <w:t>s</w:t>
      </w:r>
      <w:r w:rsidRPr="003B72A1">
        <w:rPr>
          <w:rFonts w:ascii="Arial" w:hAnsi="Arial" w:cs="Arial"/>
          <w:sz w:val="22"/>
        </w:rPr>
        <w:t>/experts are contracted to collect additional information/data to fill data and information gaps and to conduct ad hoc evaluations to prepare inputs for the AIR 2018.</w:t>
      </w:r>
    </w:p>
    <w:p w:rsidR="003136C5" w:rsidRPr="003B72A1" w:rsidRDefault="003136C5" w:rsidP="003136C5">
      <w:pPr>
        <w:pStyle w:val="ListParagraph"/>
        <w:numPr>
          <w:ilvl w:val="0"/>
          <w:numId w:val="13"/>
        </w:numPr>
        <w:spacing w:before="120"/>
        <w:contextualSpacing/>
        <w:jc w:val="both"/>
        <w:rPr>
          <w:rFonts w:ascii="Arial" w:hAnsi="Arial" w:cs="Arial"/>
          <w:sz w:val="22"/>
        </w:rPr>
      </w:pPr>
      <w:r w:rsidRPr="003B72A1">
        <w:rPr>
          <w:rFonts w:ascii="Arial" w:hAnsi="Arial" w:cs="Arial"/>
          <w:sz w:val="22"/>
        </w:rPr>
        <w:t xml:space="preserve">2019 </w:t>
      </w:r>
      <w:r w:rsidR="00DA409C" w:rsidRPr="003B72A1">
        <w:rPr>
          <w:rFonts w:ascii="Arial" w:hAnsi="Arial" w:cs="Arial"/>
          <w:sz w:val="22"/>
        </w:rPr>
        <w:t>–</w:t>
      </w:r>
      <w:r w:rsidRPr="003B72A1">
        <w:rPr>
          <w:rFonts w:ascii="Arial" w:hAnsi="Arial" w:cs="Arial"/>
          <w:sz w:val="22"/>
        </w:rPr>
        <w:t xml:space="preserve"> The Managing Authority conducts a quality control of evaluation findings and of any other input the evaluator provides; evaluation results discussed </w:t>
      </w:r>
      <w:r w:rsidR="00A7195C">
        <w:rPr>
          <w:rFonts w:ascii="Arial" w:hAnsi="Arial" w:cs="Arial"/>
          <w:sz w:val="22"/>
        </w:rPr>
        <w:t xml:space="preserve">in the </w:t>
      </w:r>
      <w:r w:rsidRPr="003B72A1">
        <w:rPr>
          <w:rFonts w:ascii="Arial" w:hAnsi="Arial" w:cs="Arial"/>
          <w:sz w:val="22"/>
        </w:rPr>
        <w:lastRenderedPageBreak/>
        <w:t>evaluation steering group and with the Monitoring Committee; regarding the evaluation findings if need</w:t>
      </w:r>
      <w:r w:rsidR="00A7195C">
        <w:rPr>
          <w:rFonts w:ascii="Arial" w:hAnsi="Arial" w:cs="Arial"/>
          <w:sz w:val="22"/>
        </w:rPr>
        <w:t xml:space="preserve"> be,</w:t>
      </w:r>
      <w:r w:rsidRPr="003B72A1">
        <w:rPr>
          <w:rFonts w:ascii="Arial" w:hAnsi="Arial" w:cs="Arial"/>
          <w:sz w:val="22"/>
        </w:rPr>
        <w:t xml:space="preserve"> the MA shall prepare IPARD II Programme modification proposal.</w:t>
      </w:r>
      <w:r w:rsidR="00DA409C" w:rsidRPr="003B72A1">
        <w:rPr>
          <w:rFonts w:ascii="Arial" w:hAnsi="Arial" w:cs="Arial"/>
          <w:sz w:val="22"/>
        </w:rPr>
        <w:t xml:space="preserve"> </w:t>
      </w:r>
    </w:p>
    <w:p w:rsidR="003136C5" w:rsidRPr="003B72A1" w:rsidRDefault="003136C5" w:rsidP="003136C5">
      <w:pPr>
        <w:pStyle w:val="ListParagraph"/>
        <w:numPr>
          <w:ilvl w:val="0"/>
          <w:numId w:val="13"/>
        </w:numPr>
        <w:spacing w:before="120"/>
        <w:contextualSpacing/>
        <w:jc w:val="both"/>
        <w:rPr>
          <w:rFonts w:ascii="Arial" w:hAnsi="Arial" w:cs="Arial"/>
          <w:sz w:val="22"/>
        </w:rPr>
      </w:pPr>
      <w:r w:rsidRPr="003B72A1">
        <w:rPr>
          <w:rFonts w:ascii="Arial" w:hAnsi="Arial" w:cs="Arial"/>
          <w:sz w:val="22"/>
        </w:rPr>
        <w:t xml:space="preserve">2020 – Conducting ad hoc evaluation studies if needed; </w:t>
      </w:r>
    </w:p>
    <w:p w:rsidR="003136C5" w:rsidRPr="003B72A1" w:rsidRDefault="003136C5" w:rsidP="003136C5">
      <w:pPr>
        <w:pStyle w:val="ListParagraph"/>
        <w:numPr>
          <w:ilvl w:val="0"/>
          <w:numId w:val="13"/>
        </w:numPr>
        <w:spacing w:before="120"/>
        <w:contextualSpacing/>
        <w:jc w:val="both"/>
        <w:rPr>
          <w:rFonts w:ascii="Arial" w:hAnsi="Arial" w:cs="Arial"/>
          <w:sz w:val="22"/>
        </w:rPr>
      </w:pPr>
      <w:r w:rsidRPr="003B72A1">
        <w:rPr>
          <w:rFonts w:ascii="Arial" w:hAnsi="Arial" w:cs="Arial"/>
          <w:sz w:val="22"/>
        </w:rPr>
        <w:t xml:space="preserve">2021 </w:t>
      </w:r>
      <w:r w:rsidR="00DA409C" w:rsidRPr="003B72A1">
        <w:rPr>
          <w:rFonts w:ascii="Arial" w:hAnsi="Arial" w:cs="Arial"/>
          <w:sz w:val="22"/>
        </w:rPr>
        <w:t>–</w:t>
      </w:r>
      <w:r w:rsidRPr="003B72A1">
        <w:rPr>
          <w:rFonts w:ascii="Arial" w:hAnsi="Arial" w:cs="Arial"/>
          <w:sz w:val="22"/>
        </w:rPr>
        <w:t xml:space="preserve"> The Managing Authority ensures that the necessary resources are available to undertake evaluation tasks until 2024.</w:t>
      </w:r>
    </w:p>
    <w:p w:rsidR="003136C5" w:rsidRPr="003B72A1" w:rsidRDefault="003136C5" w:rsidP="003136C5">
      <w:pPr>
        <w:pStyle w:val="ListParagraph"/>
        <w:numPr>
          <w:ilvl w:val="0"/>
          <w:numId w:val="13"/>
        </w:numPr>
        <w:spacing w:before="120"/>
        <w:contextualSpacing/>
        <w:jc w:val="both"/>
        <w:rPr>
          <w:rFonts w:ascii="Arial" w:hAnsi="Arial" w:cs="Arial"/>
          <w:sz w:val="22"/>
        </w:rPr>
      </w:pPr>
      <w:r w:rsidRPr="003B72A1">
        <w:rPr>
          <w:rFonts w:ascii="Arial" w:hAnsi="Arial" w:cs="Arial"/>
          <w:sz w:val="22"/>
        </w:rPr>
        <w:t>2022 – Preparation of the ToR and conducting tendering procedure, to ensure that adequate time is given to the external evaluator to conduct a quality ex post evaluation.</w:t>
      </w:r>
    </w:p>
    <w:p w:rsidR="003136C5" w:rsidRPr="003B72A1" w:rsidRDefault="003136C5" w:rsidP="003136C5">
      <w:pPr>
        <w:pStyle w:val="ListParagraph"/>
        <w:numPr>
          <w:ilvl w:val="0"/>
          <w:numId w:val="13"/>
        </w:numPr>
        <w:spacing w:before="120"/>
        <w:contextualSpacing/>
        <w:jc w:val="both"/>
        <w:rPr>
          <w:rFonts w:ascii="Arial" w:hAnsi="Arial" w:cs="Arial"/>
          <w:sz w:val="22"/>
        </w:rPr>
      </w:pPr>
      <w:r w:rsidRPr="003B72A1">
        <w:rPr>
          <w:rFonts w:ascii="Arial" w:hAnsi="Arial" w:cs="Arial"/>
          <w:sz w:val="22"/>
        </w:rPr>
        <w:t xml:space="preserve">2023 </w:t>
      </w:r>
      <w:r w:rsidR="00DA409C" w:rsidRPr="003B72A1">
        <w:rPr>
          <w:rFonts w:ascii="Arial" w:hAnsi="Arial" w:cs="Arial"/>
          <w:sz w:val="22"/>
        </w:rPr>
        <w:t>–</w:t>
      </w:r>
      <w:r w:rsidRPr="003B72A1">
        <w:rPr>
          <w:rFonts w:ascii="Arial" w:hAnsi="Arial" w:cs="Arial"/>
          <w:sz w:val="22"/>
        </w:rPr>
        <w:t xml:space="preserve"> All projects contracted under the IPARD 2014–2020 programming period will be finalized, including the collection of monitoring data on beneficiaries for output, target and complementary result indicators. In addition, data on non-beneficiaries </w:t>
      </w:r>
      <w:r w:rsidR="00A7195C">
        <w:rPr>
          <w:rFonts w:ascii="Arial" w:hAnsi="Arial" w:cs="Arial"/>
          <w:sz w:val="22"/>
        </w:rPr>
        <w:t xml:space="preserve">is </w:t>
      </w:r>
      <w:r w:rsidRPr="003B72A1">
        <w:rPr>
          <w:rFonts w:ascii="Arial" w:hAnsi="Arial" w:cs="Arial"/>
          <w:sz w:val="22"/>
        </w:rPr>
        <w:t>collected, processed and synthesized in line with the selected evaluation methods and reporting requirements, in order to enable the assessment of Programme impacts and achievement towards the EU and rural development objectives in the IPARD ex post evaluation of 2024.</w:t>
      </w:r>
    </w:p>
    <w:p w:rsidR="003136C5" w:rsidRPr="003B72A1" w:rsidRDefault="003136C5" w:rsidP="00A7195C">
      <w:pPr>
        <w:pStyle w:val="ListParagraph"/>
        <w:numPr>
          <w:ilvl w:val="0"/>
          <w:numId w:val="13"/>
        </w:numPr>
        <w:spacing w:before="120"/>
        <w:contextualSpacing/>
        <w:jc w:val="both"/>
        <w:rPr>
          <w:rFonts w:ascii="Arial" w:hAnsi="Arial" w:cs="Arial"/>
          <w:sz w:val="22"/>
        </w:rPr>
      </w:pPr>
      <w:r w:rsidRPr="003B72A1">
        <w:rPr>
          <w:rFonts w:ascii="Arial" w:hAnsi="Arial" w:cs="Arial"/>
          <w:sz w:val="22"/>
        </w:rPr>
        <w:t xml:space="preserve">2024 </w:t>
      </w:r>
      <w:r w:rsidR="00DA409C" w:rsidRPr="003B72A1">
        <w:rPr>
          <w:rFonts w:ascii="Arial" w:hAnsi="Arial" w:cs="Arial"/>
          <w:sz w:val="22"/>
        </w:rPr>
        <w:t>–</w:t>
      </w:r>
      <w:r w:rsidRPr="003B72A1">
        <w:rPr>
          <w:rFonts w:ascii="Arial" w:hAnsi="Arial" w:cs="Arial"/>
          <w:sz w:val="22"/>
        </w:rPr>
        <w:t xml:space="preserve"> By June 30</w:t>
      </w:r>
      <w:r w:rsidRPr="003B72A1">
        <w:rPr>
          <w:rFonts w:ascii="Arial" w:hAnsi="Arial" w:cs="Arial"/>
          <w:sz w:val="22"/>
          <w:vertAlign w:val="superscript"/>
        </w:rPr>
        <w:t>th</w:t>
      </w:r>
      <w:r w:rsidRPr="003B72A1">
        <w:rPr>
          <w:rFonts w:ascii="Arial" w:hAnsi="Arial" w:cs="Arial"/>
          <w:sz w:val="22"/>
        </w:rPr>
        <w:t xml:space="preserve"> 2024 the MA </w:t>
      </w:r>
      <w:r w:rsidR="00A7195C">
        <w:rPr>
          <w:rFonts w:ascii="Arial" w:hAnsi="Arial" w:cs="Arial"/>
          <w:sz w:val="22"/>
        </w:rPr>
        <w:t xml:space="preserve">will </w:t>
      </w:r>
      <w:r w:rsidRPr="003B72A1">
        <w:rPr>
          <w:rFonts w:ascii="Arial" w:hAnsi="Arial" w:cs="Arial"/>
          <w:sz w:val="22"/>
        </w:rPr>
        <w:t>prepare and submit the standard 2024 AIR (covering the year 2023) and by December 31</w:t>
      </w:r>
      <w:r w:rsidRPr="003B72A1">
        <w:rPr>
          <w:rFonts w:ascii="Arial" w:hAnsi="Arial" w:cs="Arial"/>
          <w:sz w:val="22"/>
          <w:vertAlign w:val="superscript"/>
        </w:rPr>
        <w:t>st</w:t>
      </w:r>
      <w:r w:rsidRPr="003B72A1">
        <w:rPr>
          <w:rFonts w:ascii="Arial" w:hAnsi="Arial" w:cs="Arial"/>
          <w:sz w:val="22"/>
        </w:rPr>
        <w:t xml:space="preserve"> 2024 the Ex post evaluation report.</w:t>
      </w:r>
    </w:p>
    <w:p w:rsidR="003136C5" w:rsidRPr="003B72A1" w:rsidRDefault="003136C5" w:rsidP="00097EED">
      <w:pPr>
        <w:pStyle w:val="m343668044302477783m-3986873246552044066msolistparagraph"/>
        <w:numPr>
          <w:ilvl w:val="1"/>
          <w:numId w:val="2"/>
        </w:numPr>
        <w:spacing w:before="120" w:beforeAutospacing="0" w:after="120" w:afterAutospacing="0"/>
        <w:jc w:val="both"/>
        <w:outlineLvl w:val="1"/>
        <w:rPr>
          <w:rFonts w:ascii="Arial" w:hAnsi="Arial" w:cs="Arial"/>
          <w:b/>
          <w:sz w:val="22"/>
          <w:lang w:val="en-US"/>
        </w:rPr>
      </w:pPr>
      <w:bookmarkStart w:id="70" w:name="_Toc8649822"/>
      <w:r w:rsidRPr="003B72A1">
        <w:rPr>
          <w:rFonts w:ascii="Arial" w:hAnsi="Arial" w:cs="Arial"/>
          <w:b/>
          <w:sz w:val="22"/>
          <w:lang w:val="en-US"/>
        </w:rPr>
        <w:t>The use of Technical Assistance</w:t>
      </w:r>
      <w:bookmarkEnd w:id="70"/>
    </w:p>
    <w:p w:rsidR="003136C5" w:rsidRPr="003B72A1" w:rsidRDefault="0044289E" w:rsidP="003136C5">
      <w:pPr>
        <w:spacing w:before="120"/>
        <w:jc w:val="both"/>
        <w:rPr>
          <w:rFonts w:ascii="Arial" w:hAnsi="Arial" w:cs="Arial"/>
          <w:sz w:val="22"/>
        </w:rPr>
      </w:pPr>
      <w:r>
        <w:rPr>
          <w:rFonts w:ascii="Arial" w:hAnsi="Arial" w:cs="Arial"/>
          <w:sz w:val="22"/>
        </w:rPr>
        <w:t>A</w:t>
      </w:r>
      <w:r w:rsidR="003136C5" w:rsidRPr="003B72A1">
        <w:rPr>
          <w:rFonts w:ascii="Arial" w:hAnsi="Arial" w:cs="Arial"/>
          <w:sz w:val="22"/>
        </w:rPr>
        <w:t>n Action Plan for the Technical Assistance measure for 2018 (APTA 2018), was adopted by the IPARD Monitoring Committee members</w:t>
      </w:r>
      <w:r w:rsidRPr="0044289E">
        <w:rPr>
          <w:rFonts w:ascii="Arial" w:hAnsi="Arial" w:cs="Arial"/>
          <w:sz w:val="22"/>
        </w:rPr>
        <w:t xml:space="preserve"> </w:t>
      </w:r>
      <w:r>
        <w:rPr>
          <w:rFonts w:ascii="Arial" w:hAnsi="Arial" w:cs="Arial"/>
          <w:sz w:val="22"/>
        </w:rPr>
        <w:t xml:space="preserve">through a </w:t>
      </w:r>
      <w:r w:rsidRPr="001A2014">
        <w:rPr>
          <w:rFonts w:ascii="Arial" w:hAnsi="Arial" w:cs="Arial"/>
          <w:sz w:val="22"/>
        </w:rPr>
        <w:t>written procedure</w:t>
      </w:r>
      <w:r w:rsidR="003136C5" w:rsidRPr="003B72A1">
        <w:rPr>
          <w:rFonts w:ascii="Arial" w:hAnsi="Arial" w:cs="Arial"/>
          <w:sz w:val="22"/>
        </w:rPr>
        <w:t xml:space="preserve">. The modification of APTA 2018 </w:t>
      </w:r>
      <w:r>
        <w:rPr>
          <w:rFonts w:ascii="Arial" w:hAnsi="Arial" w:cs="Arial"/>
          <w:sz w:val="22"/>
        </w:rPr>
        <w:t xml:space="preserve">was </w:t>
      </w:r>
      <w:r w:rsidR="003136C5" w:rsidRPr="003B72A1">
        <w:rPr>
          <w:rFonts w:ascii="Arial" w:hAnsi="Arial" w:cs="Arial"/>
          <w:sz w:val="22"/>
        </w:rPr>
        <w:t xml:space="preserve">submitted to the IPARD Monitoring Committee members for adoption by written procedure on September 18, 2018. The modification was done for the purpose of </w:t>
      </w:r>
      <w:r w:rsidR="006A196A" w:rsidRPr="003B72A1">
        <w:rPr>
          <w:rFonts w:ascii="Arial" w:hAnsi="Arial" w:cs="Arial"/>
          <w:sz w:val="22"/>
        </w:rPr>
        <w:t>organiz</w:t>
      </w:r>
      <w:r>
        <w:rPr>
          <w:rFonts w:ascii="Arial" w:hAnsi="Arial" w:cs="Arial"/>
          <w:sz w:val="22"/>
        </w:rPr>
        <w:t xml:space="preserve">ing </w:t>
      </w:r>
      <w:r w:rsidR="003136C5" w:rsidRPr="003B72A1">
        <w:rPr>
          <w:rFonts w:ascii="Arial" w:hAnsi="Arial" w:cs="Arial"/>
          <w:sz w:val="22"/>
        </w:rPr>
        <w:t xml:space="preserve">two Monitoring Committee meetings (the fourth and the fifth) </w:t>
      </w:r>
      <w:r>
        <w:rPr>
          <w:rFonts w:ascii="Arial" w:hAnsi="Arial" w:cs="Arial"/>
          <w:sz w:val="22"/>
        </w:rPr>
        <w:t xml:space="preserve">under </w:t>
      </w:r>
      <w:r w:rsidR="003136C5" w:rsidRPr="003B72A1">
        <w:rPr>
          <w:rFonts w:ascii="Arial" w:hAnsi="Arial" w:cs="Arial"/>
          <w:sz w:val="22"/>
        </w:rPr>
        <w:t>one procurement, as well as changing the estimated value of the “EX-post evaluation of the IPARD programme 2007-2013” and changing the tendering procedure from competitive negotiated procedure to simplified procedure (in accordance with the new PRAG from August 2018).</w:t>
      </w:r>
    </w:p>
    <w:p w:rsidR="003136C5" w:rsidRPr="003B72A1" w:rsidRDefault="003136C5" w:rsidP="003136C5">
      <w:pPr>
        <w:spacing w:before="120"/>
        <w:jc w:val="both"/>
        <w:rPr>
          <w:rFonts w:ascii="Arial" w:hAnsi="Arial" w:cs="Arial"/>
          <w:sz w:val="22"/>
        </w:rPr>
      </w:pPr>
      <w:r w:rsidRPr="003B72A1">
        <w:rPr>
          <w:rFonts w:ascii="Arial" w:hAnsi="Arial" w:cs="Arial"/>
          <w:sz w:val="22"/>
        </w:rPr>
        <w:t>On 17</w:t>
      </w:r>
      <w:r w:rsidRPr="003B72A1">
        <w:rPr>
          <w:rFonts w:ascii="Arial" w:hAnsi="Arial" w:cs="Arial"/>
          <w:sz w:val="22"/>
          <w:vertAlign w:val="superscript"/>
        </w:rPr>
        <w:t>th</w:t>
      </w:r>
      <w:r w:rsidRPr="003B72A1">
        <w:rPr>
          <w:rFonts w:ascii="Arial" w:hAnsi="Arial" w:cs="Arial"/>
          <w:sz w:val="22"/>
        </w:rPr>
        <w:t xml:space="preserve"> of May, after the previously selected best rank offer procurement, the organization of the IPARD Monitoring Committee </w:t>
      </w:r>
      <w:r w:rsidR="0044289E">
        <w:rPr>
          <w:rFonts w:ascii="Arial" w:hAnsi="Arial" w:cs="Arial"/>
          <w:sz w:val="22"/>
        </w:rPr>
        <w:t xml:space="preserve">was </w:t>
      </w:r>
      <w:r w:rsidRPr="003B72A1">
        <w:rPr>
          <w:rFonts w:ascii="Arial" w:hAnsi="Arial" w:cs="Arial"/>
          <w:sz w:val="22"/>
        </w:rPr>
        <w:t>implemented.</w:t>
      </w:r>
    </w:p>
    <w:p w:rsidR="003136C5" w:rsidRPr="003B72A1" w:rsidRDefault="0044289E" w:rsidP="003136C5">
      <w:pPr>
        <w:spacing w:before="120"/>
        <w:jc w:val="both"/>
        <w:rPr>
          <w:rFonts w:ascii="Arial" w:hAnsi="Arial" w:cs="Arial"/>
          <w:sz w:val="22"/>
        </w:rPr>
      </w:pPr>
      <w:r>
        <w:rPr>
          <w:rFonts w:ascii="Arial" w:hAnsi="Arial" w:cs="Arial"/>
          <w:sz w:val="22"/>
        </w:rPr>
        <w:t xml:space="preserve">The </w:t>
      </w:r>
      <w:r w:rsidR="003136C5" w:rsidRPr="003B72A1">
        <w:rPr>
          <w:rFonts w:ascii="Arial" w:hAnsi="Arial" w:cs="Arial"/>
          <w:sz w:val="22"/>
        </w:rPr>
        <w:t xml:space="preserve">Managing Authority also </w:t>
      </w:r>
      <w:r w:rsidR="005015CA">
        <w:rPr>
          <w:rFonts w:ascii="Arial" w:hAnsi="Arial" w:cs="Arial"/>
          <w:sz w:val="22"/>
        </w:rPr>
        <w:t xml:space="preserve">began </w:t>
      </w:r>
      <w:r w:rsidR="003136C5" w:rsidRPr="003B72A1">
        <w:rPr>
          <w:rFonts w:ascii="Arial" w:hAnsi="Arial" w:cs="Arial"/>
          <w:sz w:val="22"/>
        </w:rPr>
        <w:t>the implementation of the procurement for upgrading and maintaining the existing website.</w:t>
      </w:r>
      <w:r w:rsidR="00DA409C" w:rsidRPr="003B72A1">
        <w:rPr>
          <w:rFonts w:ascii="Arial" w:hAnsi="Arial" w:cs="Arial"/>
          <w:sz w:val="22"/>
        </w:rPr>
        <w:t xml:space="preserve"> </w:t>
      </w:r>
      <w:r w:rsidR="003136C5" w:rsidRPr="003B72A1">
        <w:rPr>
          <w:rFonts w:ascii="Arial" w:hAnsi="Arial" w:cs="Arial"/>
          <w:sz w:val="22"/>
        </w:rPr>
        <w:t xml:space="preserve">Three offers were received and the best rank offer </w:t>
      </w:r>
      <w:r w:rsidR="005015CA">
        <w:rPr>
          <w:rFonts w:ascii="Arial" w:hAnsi="Arial" w:cs="Arial"/>
          <w:sz w:val="22"/>
        </w:rPr>
        <w:t xml:space="preserve">was </w:t>
      </w:r>
      <w:r w:rsidR="003136C5" w:rsidRPr="003B72A1">
        <w:rPr>
          <w:rFonts w:ascii="Arial" w:hAnsi="Arial" w:cs="Arial"/>
          <w:sz w:val="22"/>
        </w:rPr>
        <w:t>selected. The contract for implementation of this activity was signed between the Managing Authority and the selected company, which will upgrade, host and maintain the www.ipard.gov.mk website.</w:t>
      </w:r>
    </w:p>
    <w:p w:rsidR="003136C5" w:rsidRPr="003B72A1" w:rsidRDefault="005015CA" w:rsidP="003136C5">
      <w:pPr>
        <w:spacing w:before="120"/>
        <w:jc w:val="both"/>
        <w:rPr>
          <w:rFonts w:ascii="Arial" w:hAnsi="Arial" w:cs="Arial"/>
          <w:sz w:val="22"/>
        </w:rPr>
      </w:pPr>
      <w:r>
        <w:rPr>
          <w:rFonts w:ascii="Arial" w:hAnsi="Arial" w:cs="Arial"/>
          <w:sz w:val="22"/>
        </w:rPr>
        <w:t xml:space="preserve">The </w:t>
      </w:r>
      <w:r w:rsidR="003136C5" w:rsidRPr="003B72A1">
        <w:rPr>
          <w:rFonts w:ascii="Arial" w:hAnsi="Arial" w:cs="Arial"/>
          <w:sz w:val="22"/>
        </w:rPr>
        <w:t xml:space="preserve">Managing Authority started implementing project “Publicity Campaign”. In the scope of this project several events have been envisaged (some of them already implemented – one IPARD forum in Strumica in December), materials for </w:t>
      </w:r>
      <w:r w:rsidRPr="00D121FE">
        <w:rPr>
          <w:rFonts w:ascii="Arial" w:hAnsi="Arial" w:cs="Arial"/>
          <w:sz w:val="22"/>
        </w:rPr>
        <w:t xml:space="preserve">Programme </w:t>
      </w:r>
      <w:r w:rsidR="003136C5" w:rsidRPr="003B72A1">
        <w:rPr>
          <w:rFonts w:ascii="Arial" w:hAnsi="Arial" w:cs="Arial"/>
          <w:sz w:val="22"/>
        </w:rPr>
        <w:t>publicity have been foreseen for printing (Guidelines for beneficiaries, brochures, banners</w:t>
      </w:r>
      <w:r w:rsidRPr="005015CA">
        <w:rPr>
          <w:rFonts w:ascii="Arial" w:hAnsi="Arial" w:cs="Arial"/>
          <w:sz w:val="22"/>
        </w:rPr>
        <w:t xml:space="preserve"> </w:t>
      </w:r>
      <w:r>
        <w:rPr>
          <w:rFonts w:ascii="Arial" w:hAnsi="Arial" w:cs="Arial"/>
          <w:sz w:val="22"/>
        </w:rPr>
        <w:t xml:space="preserve">have </w:t>
      </w:r>
      <w:r w:rsidRPr="00FF75A2">
        <w:rPr>
          <w:rFonts w:ascii="Arial" w:hAnsi="Arial" w:cs="Arial"/>
          <w:sz w:val="22"/>
        </w:rPr>
        <w:t xml:space="preserve">already </w:t>
      </w:r>
      <w:r>
        <w:rPr>
          <w:rFonts w:ascii="Arial" w:hAnsi="Arial" w:cs="Arial"/>
          <w:sz w:val="22"/>
        </w:rPr>
        <w:t xml:space="preserve">been </w:t>
      </w:r>
      <w:r w:rsidRPr="00FF75A2">
        <w:rPr>
          <w:rFonts w:ascii="Arial" w:hAnsi="Arial" w:cs="Arial"/>
          <w:sz w:val="22"/>
        </w:rPr>
        <w:t>printed</w:t>
      </w:r>
      <w:r w:rsidR="003136C5" w:rsidRPr="003B72A1">
        <w:rPr>
          <w:rFonts w:ascii="Arial" w:hAnsi="Arial" w:cs="Arial"/>
          <w:sz w:val="22"/>
        </w:rPr>
        <w:t xml:space="preserve">) and promotional videos </w:t>
      </w:r>
      <w:r>
        <w:rPr>
          <w:rFonts w:ascii="Arial" w:hAnsi="Arial" w:cs="Arial"/>
          <w:sz w:val="22"/>
        </w:rPr>
        <w:t xml:space="preserve">are </w:t>
      </w:r>
      <w:r w:rsidR="003136C5" w:rsidRPr="003B72A1">
        <w:rPr>
          <w:rFonts w:ascii="Arial" w:hAnsi="Arial" w:cs="Arial"/>
          <w:sz w:val="22"/>
        </w:rPr>
        <w:t xml:space="preserve">to be prepared. </w:t>
      </w:r>
    </w:p>
    <w:p w:rsidR="003136C5" w:rsidRPr="003B72A1" w:rsidRDefault="005015CA" w:rsidP="003136C5">
      <w:pPr>
        <w:spacing w:before="120"/>
        <w:jc w:val="both"/>
        <w:rPr>
          <w:rFonts w:ascii="Arial" w:hAnsi="Arial" w:cs="Arial"/>
          <w:sz w:val="22"/>
        </w:rPr>
      </w:pPr>
      <w:r>
        <w:rPr>
          <w:rFonts w:ascii="Arial" w:hAnsi="Arial" w:cs="Arial"/>
          <w:sz w:val="22"/>
        </w:rPr>
        <w:t xml:space="preserve">The </w:t>
      </w:r>
      <w:r w:rsidR="003136C5" w:rsidRPr="003B72A1">
        <w:rPr>
          <w:rFonts w:ascii="Arial" w:hAnsi="Arial" w:cs="Arial"/>
          <w:sz w:val="22"/>
        </w:rPr>
        <w:t xml:space="preserve">Managing Authority has also implemented procurement of stationery. The procurement will be implemented according to the procedure </w:t>
      </w:r>
      <w:r>
        <w:rPr>
          <w:rFonts w:ascii="Arial" w:hAnsi="Arial" w:cs="Arial"/>
          <w:sz w:val="22"/>
        </w:rPr>
        <w:t xml:space="preserve">for procurements </w:t>
      </w:r>
      <w:r w:rsidR="003136C5" w:rsidRPr="003B72A1">
        <w:rPr>
          <w:rFonts w:ascii="Arial" w:hAnsi="Arial" w:cs="Arial"/>
          <w:sz w:val="22"/>
        </w:rPr>
        <w:t>under 2</w:t>
      </w:r>
      <w:r w:rsidR="006A196A" w:rsidRPr="003B72A1">
        <w:rPr>
          <w:rFonts w:ascii="Arial" w:hAnsi="Arial" w:cs="Arial"/>
          <w:sz w:val="22"/>
        </w:rPr>
        <w:t>,</w:t>
      </w:r>
      <w:r w:rsidR="003136C5" w:rsidRPr="003B72A1">
        <w:rPr>
          <w:rFonts w:ascii="Arial" w:hAnsi="Arial" w:cs="Arial"/>
          <w:sz w:val="22"/>
        </w:rPr>
        <w:t>500€.</w:t>
      </w:r>
      <w:r w:rsidR="00DA409C" w:rsidRPr="003B72A1">
        <w:rPr>
          <w:rFonts w:ascii="Arial" w:hAnsi="Arial" w:cs="Arial"/>
          <w:sz w:val="22"/>
        </w:rPr>
        <w:t xml:space="preserve"> </w:t>
      </w:r>
    </w:p>
    <w:p w:rsidR="003136C5" w:rsidRPr="003B72A1" w:rsidRDefault="005015CA" w:rsidP="003136C5">
      <w:pPr>
        <w:spacing w:before="120"/>
        <w:jc w:val="both"/>
        <w:rPr>
          <w:rFonts w:ascii="Arial" w:hAnsi="Arial" w:cs="Arial"/>
          <w:sz w:val="22"/>
        </w:rPr>
      </w:pPr>
      <w:r>
        <w:rPr>
          <w:rFonts w:ascii="Arial" w:hAnsi="Arial" w:cs="Arial"/>
          <w:sz w:val="22"/>
        </w:rPr>
        <w:t xml:space="preserve">The </w:t>
      </w:r>
      <w:r w:rsidR="003136C5" w:rsidRPr="003B72A1">
        <w:rPr>
          <w:rFonts w:ascii="Arial" w:hAnsi="Arial" w:cs="Arial"/>
          <w:sz w:val="22"/>
        </w:rPr>
        <w:t xml:space="preserve">Managing Authority has received the reimbursed funds from </w:t>
      </w:r>
      <w:r>
        <w:rPr>
          <w:rFonts w:ascii="Arial" w:hAnsi="Arial" w:cs="Arial"/>
          <w:sz w:val="22"/>
        </w:rPr>
        <w:t xml:space="preserve">the </w:t>
      </w:r>
      <w:r w:rsidR="003136C5" w:rsidRPr="003B72A1">
        <w:rPr>
          <w:rFonts w:ascii="Arial" w:hAnsi="Arial" w:cs="Arial"/>
          <w:sz w:val="22"/>
        </w:rPr>
        <w:t>IPARD Agency on its own bank account regarding the previously completed procurement for the implementation of the Monitoring Committee.</w:t>
      </w:r>
    </w:p>
    <w:p w:rsidR="003136C5" w:rsidRPr="003B72A1" w:rsidRDefault="003136C5" w:rsidP="003136C5">
      <w:pPr>
        <w:spacing w:before="120"/>
        <w:jc w:val="both"/>
        <w:rPr>
          <w:rFonts w:ascii="Arial" w:hAnsi="Arial" w:cs="Arial"/>
          <w:sz w:val="22"/>
        </w:rPr>
      </w:pPr>
      <w:r w:rsidRPr="003B72A1">
        <w:rPr>
          <w:rFonts w:ascii="Arial" w:hAnsi="Arial" w:cs="Arial"/>
          <w:sz w:val="22"/>
        </w:rPr>
        <w:t>On 4</w:t>
      </w:r>
      <w:r w:rsidRPr="003B72A1">
        <w:rPr>
          <w:rFonts w:ascii="Arial" w:hAnsi="Arial" w:cs="Arial"/>
          <w:sz w:val="22"/>
          <w:vertAlign w:val="superscript"/>
        </w:rPr>
        <w:t>th</w:t>
      </w:r>
      <w:r w:rsidRPr="003B72A1">
        <w:rPr>
          <w:rFonts w:ascii="Arial" w:hAnsi="Arial" w:cs="Arial"/>
          <w:sz w:val="22"/>
        </w:rPr>
        <w:t xml:space="preserve"> December 2018 </w:t>
      </w:r>
      <w:r w:rsidR="005015CA">
        <w:rPr>
          <w:rFonts w:ascii="Arial" w:hAnsi="Arial" w:cs="Arial"/>
          <w:sz w:val="22"/>
        </w:rPr>
        <w:t xml:space="preserve">an </w:t>
      </w:r>
      <w:r w:rsidRPr="003B72A1">
        <w:rPr>
          <w:rFonts w:ascii="Arial" w:hAnsi="Arial" w:cs="Arial"/>
          <w:sz w:val="22"/>
        </w:rPr>
        <w:t>Action Plan for the intended operations under the Technical Assistance measure (APTA) 2019 was approved by the IPARD Monitoring Committee.</w:t>
      </w:r>
    </w:p>
    <w:p w:rsidR="003136C5" w:rsidRPr="003B72A1" w:rsidRDefault="00DA409C" w:rsidP="003136C5">
      <w:pPr>
        <w:spacing w:before="120"/>
        <w:jc w:val="both"/>
        <w:rPr>
          <w:rFonts w:ascii="Arial" w:hAnsi="Arial" w:cs="Arial"/>
          <w:sz w:val="22"/>
        </w:rPr>
      </w:pPr>
      <w:r w:rsidRPr="003B72A1">
        <w:rPr>
          <w:rFonts w:ascii="Arial" w:hAnsi="Arial" w:cs="Arial"/>
          <w:sz w:val="22"/>
        </w:rPr>
        <w:t>Activities</w:t>
      </w:r>
      <w:r w:rsidR="003136C5" w:rsidRPr="003B72A1">
        <w:rPr>
          <w:rFonts w:ascii="Arial" w:hAnsi="Arial" w:cs="Arial"/>
          <w:sz w:val="22"/>
        </w:rPr>
        <w:t xml:space="preserve"> under APTA 2019 </w:t>
      </w:r>
      <w:r w:rsidR="005015CA">
        <w:rPr>
          <w:rFonts w:ascii="Arial" w:hAnsi="Arial" w:cs="Arial"/>
          <w:sz w:val="22"/>
        </w:rPr>
        <w:t xml:space="preserve">initiated </w:t>
      </w:r>
      <w:r w:rsidR="003136C5" w:rsidRPr="003B72A1">
        <w:rPr>
          <w:rFonts w:ascii="Arial" w:hAnsi="Arial" w:cs="Arial"/>
          <w:sz w:val="22"/>
        </w:rPr>
        <w:t>in 2018</w:t>
      </w:r>
      <w:r w:rsidR="005015CA">
        <w:rPr>
          <w:rFonts w:ascii="Arial" w:hAnsi="Arial" w:cs="Arial"/>
          <w:sz w:val="22"/>
        </w:rPr>
        <w:t xml:space="preserve"> include</w:t>
      </w:r>
      <w:r w:rsidR="003136C5" w:rsidRPr="003B72A1">
        <w:rPr>
          <w:rFonts w:ascii="Arial" w:hAnsi="Arial" w:cs="Arial"/>
          <w:sz w:val="22"/>
        </w:rPr>
        <w:t>:</w:t>
      </w:r>
    </w:p>
    <w:p w:rsidR="003136C5" w:rsidRPr="003B72A1" w:rsidRDefault="003136C5" w:rsidP="003136C5">
      <w:pPr>
        <w:pStyle w:val="ListParagraph"/>
        <w:numPr>
          <w:ilvl w:val="0"/>
          <w:numId w:val="12"/>
        </w:numPr>
        <w:spacing w:before="120"/>
        <w:contextualSpacing/>
        <w:jc w:val="both"/>
        <w:rPr>
          <w:rFonts w:ascii="Arial" w:hAnsi="Arial" w:cs="Arial"/>
          <w:sz w:val="22"/>
        </w:rPr>
      </w:pPr>
      <w:r w:rsidRPr="003B72A1">
        <w:rPr>
          <w:rFonts w:ascii="Arial" w:hAnsi="Arial" w:cs="Arial"/>
          <w:sz w:val="22"/>
        </w:rPr>
        <w:t xml:space="preserve">Procurement of services for ex-post evaluation of the IPARD Programme 2007-2013, </w:t>
      </w:r>
      <w:r w:rsidR="005015CA">
        <w:rPr>
          <w:rFonts w:ascii="Arial" w:hAnsi="Arial" w:cs="Arial"/>
          <w:sz w:val="22"/>
        </w:rPr>
        <w:t xml:space="preserve">currently </w:t>
      </w:r>
      <w:r w:rsidRPr="003B72A1">
        <w:rPr>
          <w:rFonts w:ascii="Arial" w:hAnsi="Arial" w:cs="Arial"/>
          <w:sz w:val="22"/>
        </w:rPr>
        <w:t>in the phase of collection of offers.</w:t>
      </w:r>
    </w:p>
    <w:p w:rsidR="003136C5" w:rsidRPr="003B72A1" w:rsidRDefault="003136C5" w:rsidP="003136C5">
      <w:pPr>
        <w:pStyle w:val="ListParagraph"/>
        <w:numPr>
          <w:ilvl w:val="0"/>
          <w:numId w:val="12"/>
        </w:numPr>
        <w:spacing w:before="120"/>
        <w:contextualSpacing/>
        <w:jc w:val="both"/>
        <w:rPr>
          <w:rFonts w:ascii="Arial" w:hAnsi="Arial" w:cs="Arial"/>
          <w:sz w:val="22"/>
        </w:rPr>
      </w:pPr>
      <w:r w:rsidRPr="003B72A1">
        <w:rPr>
          <w:rFonts w:ascii="Arial" w:hAnsi="Arial" w:cs="Arial"/>
          <w:sz w:val="22"/>
        </w:rPr>
        <w:lastRenderedPageBreak/>
        <w:t>Procurement of services for organization of meetings of Monitoring Committee</w:t>
      </w:r>
      <w:r w:rsidR="005015CA">
        <w:rPr>
          <w:rFonts w:ascii="Arial" w:hAnsi="Arial" w:cs="Arial"/>
          <w:sz w:val="22"/>
        </w:rPr>
        <w:t>.</w:t>
      </w:r>
    </w:p>
    <w:p w:rsidR="003136C5" w:rsidRPr="003B72A1" w:rsidRDefault="003136C5" w:rsidP="003136C5">
      <w:pPr>
        <w:pStyle w:val="ListParagraph"/>
        <w:numPr>
          <w:ilvl w:val="0"/>
          <w:numId w:val="12"/>
        </w:numPr>
        <w:spacing w:before="120" w:after="120"/>
        <w:contextualSpacing/>
        <w:jc w:val="both"/>
        <w:rPr>
          <w:rFonts w:ascii="Arial" w:hAnsi="Arial" w:cs="Arial"/>
          <w:sz w:val="22"/>
        </w:rPr>
      </w:pPr>
      <w:r w:rsidRPr="003B72A1">
        <w:rPr>
          <w:rFonts w:ascii="Arial" w:hAnsi="Arial" w:cs="Arial"/>
          <w:sz w:val="22"/>
        </w:rPr>
        <w:t>Procurement of services for translation of IPARD Programme 2014-2020.</w:t>
      </w:r>
    </w:p>
    <w:p w:rsidR="003136C5" w:rsidRPr="003B72A1" w:rsidRDefault="003136C5" w:rsidP="00097EED">
      <w:pPr>
        <w:pStyle w:val="m343668044302477783m-3986873246552044066msolistparagraph"/>
        <w:numPr>
          <w:ilvl w:val="1"/>
          <w:numId w:val="2"/>
        </w:numPr>
        <w:spacing w:before="120" w:beforeAutospacing="0" w:after="120" w:afterAutospacing="0"/>
        <w:jc w:val="both"/>
        <w:outlineLvl w:val="1"/>
        <w:rPr>
          <w:rFonts w:ascii="Arial" w:hAnsi="Arial" w:cs="Arial"/>
          <w:b/>
          <w:sz w:val="22"/>
          <w:lang w:val="en-US"/>
        </w:rPr>
      </w:pPr>
      <w:bookmarkStart w:id="71" w:name="_Toc8649823"/>
      <w:r w:rsidRPr="003B72A1">
        <w:rPr>
          <w:rFonts w:ascii="Arial" w:hAnsi="Arial" w:cs="Arial"/>
          <w:b/>
          <w:sz w:val="22"/>
          <w:lang w:val="en-US"/>
        </w:rPr>
        <w:t>Implementation of the Communication Plan</w:t>
      </w:r>
      <w:bookmarkEnd w:id="71"/>
    </w:p>
    <w:p w:rsidR="003136C5" w:rsidRPr="009C5096" w:rsidRDefault="003136C5" w:rsidP="003136C5">
      <w:pPr>
        <w:pStyle w:val="m343668044302477783m-3986873246552044066msolistparagraph"/>
        <w:spacing w:before="120" w:beforeAutospacing="0" w:after="120" w:afterAutospacing="0"/>
        <w:jc w:val="both"/>
        <w:rPr>
          <w:rFonts w:ascii="Arial" w:hAnsi="Arial" w:cs="Arial"/>
          <w:sz w:val="22"/>
          <w:szCs w:val="22"/>
          <w:lang w:val="en-US"/>
        </w:rPr>
      </w:pPr>
      <w:r w:rsidRPr="009C5096">
        <w:rPr>
          <w:rFonts w:ascii="Arial" w:hAnsi="Arial" w:cs="Arial"/>
          <w:sz w:val="22"/>
          <w:szCs w:val="22"/>
          <w:lang w:val="en-US"/>
        </w:rPr>
        <w:t xml:space="preserve">At the beginning of 2018, and in accordance with the dynamics of planned activities for accreditation of the measure </w:t>
      </w:r>
      <w:r w:rsidR="00341F7C">
        <w:rPr>
          <w:rFonts w:ascii="Arial" w:hAnsi="Arial" w:cs="Arial"/>
          <w:sz w:val="22"/>
          <w:szCs w:val="22"/>
          <w:lang w:val="en-US"/>
        </w:rPr>
        <w:t>“</w:t>
      </w:r>
      <w:r w:rsidRPr="009C5096">
        <w:rPr>
          <w:rFonts w:ascii="Arial" w:hAnsi="Arial" w:cs="Arial"/>
          <w:sz w:val="22"/>
          <w:szCs w:val="22"/>
          <w:lang w:val="en-US"/>
        </w:rPr>
        <w:t>Investments in rural public infrastructure</w:t>
      </w:r>
      <w:r w:rsidR="00341F7C">
        <w:rPr>
          <w:rFonts w:ascii="Arial" w:hAnsi="Arial" w:cs="Arial"/>
          <w:sz w:val="22"/>
          <w:szCs w:val="22"/>
          <w:lang w:val="en-US"/>
        </w:rPr>
        <w:t>”</w:t>
      </w:r>
      <w:r w:rsidRPr="009C5096">
        <w:rPr>
          <w:rFonts w:ascii="Arial" w:hAnsi="Arial" w:cs="Arial"/>
          <w:sz w:val="22"/>
          <w:szCs w:val="22"/>
          <w:lang w:val="en-US"/>
        </w:rPr>
        <w:t>, in order to have proper preparation of the local self-government administration for u</w:t>
      </w:r>
      <w:r w:rsidR="00341F7C">
        <w:rPr>
          <w:rFonts w:ascii="Arial" w:hAnsi="Arial" w:cs="Arial"/>
          <w:sz w:val="22"/>
          <w:szCs w:val="22"/>
          <w:lang w:val="en-US"/>
        </w:rPr>
        <w:t xml:space="preserve">sing </w:t>
      </w:r>
      <w:r w:rsidRPr="009C5096">
        <w:rPr>
          <w:rFonts w:ascii="Arial" w:hAnsi="Arial" w:cs="Arial"/>
          <w:sz w:val="22"/>
          <w:szCs w:val="22"/>
          <w:lang w:val="en-US"/>
        </w:rPr>
        <w:t xml:space="preserve">the funds from the measure, </w:t>
      </w:r>
      <w:r w:rsidR="00341F7C">
        <w:rPr>
          <w:rFonts w:ascii="Arial" w:hAnsi="Arial" w:cs="Arial"/>
          <w:sz w:val="22"/>
          <w:szCs w:val="22"/>
          <w:lang w:val="en-US"/>
        </w:rPr>
        <w:t xml:space="preserve">the </w:t>
      </w:r>
      <w:r w:rsidRPr="009C5096">
        <w:rPr>
          <w:rFonts w:ascii="Arial" w:hAnsi="Arial" w:cs="Arial"/>
          <w:sz w:val="22"/>
          <w:szCs w:val="22"/>
          <w:lang w:val="en-US"/>
        </w:rPr>
        <w:t xml:space="preserve">Managing Authority in cooperation with the Development </w:t>
      </w:r>
      <w:r w:rsidR="00341F7C" w:rsidRPr="009C5096">
        <w:rPr>
          <w:rFonts w:ascii="Arial" w:hAnsi="Arial" w:cs="Arial"/>
          <w:sz w:val="22"/>
          <w:szCs w:val="22"/>
          <w:lang w:val="en-US"/>
        </w:rPr>
        <w:t>Cent</w:t>
      </w:r>
      <w:r w:rsidR="00341F7C">
        <w:rPr>
          <w:rFonts w:ascii="Arial" w:hAnsi="Arial" w:cs="Arial"/>
          <w:sz w:val="22"/>
          <w:szCs w:val="22"/>
          <w:lang w:val="en-US"/>
        </w:rPr>
        <w:t>e</w:t>
      </w:r>
      <w:r w:rsidR="00341F7C" w:rsidRPr="009C5096">
        <w:rPr>
          <w:rFonts w:ascii="Arial" w:hAnsi="Arial" w:cs="Arial"/>
          <w:sz w:val="22"/>
          <w:szCs w:val="22"/>
          <w:lang w:val="en-US"/>
        </w:rPr>
        <w:t xml:space="preserve">rs </w:t>
      </w:r>
      <w:r w:rsidRPr="009C5096">
        <w:rPr>
          <w:rFonts w:ascii="Arial" w:hAnsi="Arial" w:cs="Arial"/>
          <w:sz w:val="22"/>
          <w:szCs w:val="22"/>
          <w:lang w:val="en-US"/>
        </w:rPr>
        <w:t>of the eight planning regions in the Republic of Macedonia, held meetings with the municipal administration from all municipalities. The meetings, besides basic exchange of information regarding the possibilities offered by the measure, were aimed at determining the needs of the units of local self-government, their priorities, as well as determining the municipal capacities for the implementation of the measure.</w:t>
      </w:r>
    </w:p>
    <w:p w:rsidR="003136C5" w:rsidRPr="009C5096" w:rsidRDefault="003136C5" w:rsidP="003136C5">
      <w:pPr>
        <w:pStyle w:val="m343668044302477783m-3986873246552044066msolistparagraph"/>
        <w:spacing w:before="120" w:beforeAutospacing="0" w:after="120" w:afterAutospacing="0"/>
        <w:jc w:val="both"/>
        <w:rPr>
          <w:rFonts w:ascii="Arial" w:hAnsi="Arial" w:cs="Arial"/>
          <w:sz w:val="22"/>
          <w:szCs w:val="22"/>
          <w:lang w:val="en-US"/>
        </w:rPr>
      </w:pPr>
      <w:r w:rsidRPr="009C5096">
        <w:rPr>
          <w:rFonts w:ascii="Arial" w:hAnsi="Arial" w:cs="Arial"/>
          <w:sz w:val="22"/>
          <w:szCs w:val="22"/>
          <w:lang w:val="en-US"/>
        </w:rPr>
        <w:t xml:space="preserve">The annual </w:t>
      </w:r>
      <w:r w:rsidR="003D31BB">
        <w:rPr>
          <w:rFonts w:ascii="Arial" w:hAnsi="Arial" w:cs="Arial"/>
          <w:sz w:val="22"/>
          <w:szCs w:val="22"/>
          <w:lang w:val="en-US"/>
        </w:rPr>
        <w:t>A</w:t>
      </w:r>
      <w:r w:rsidR="003D31BB" w:rsidRPr="009C5096">
        <w:rPr>
          <w:rFonts w:ascii="Arial" w:hAnsi="Arial" w:cs="Arial"/>
          <w:sz w:val="22"/>
          <w:szCs w:val="22"/>
          <w:lang w:val="en-US"/>
        </w:rPr>
        <w:t xml:space="preserve">ction </w:t>
      </w:r>
      <w:r w:rsidR="003D31BB">
        <w:rPr>
          <w:rFonts w:ascii="Arial" w:hAnsi="Arial" w:cs="Arial"/>
          <w:sz w:val="22"/>
          <w:szCs w:val="22"/>
          <w:lang w:val="en-US"/>
        </w:rPr>
        <w:t>P</w:t>
      </w:r>
      <w:r w:rsidR="003D31BB" w:rsidRPr="009C5096">
        <w:rPr>
          <w:rFonts w:ascii="Arial" w:hAnsi="Arial" w:cs="Arial"/>
          <w:sz w:val="22"/>
          <w:szCs w:val="22"/>
          <w:lang w:val="en-US"/>
        </w:rPr>
        <w:t xml:space="preserve">lan </w:t>
      </w:r>
      <w:r w:rsidRPr="009C5096">
        <w:rPr>
          <w:rFonts w:ascii="Arial" w:hAnsi="Arial" w:cs="Arial"/>
          <w:sz w:val="22"/>
          <w:szCs w:val="22"/>
          <w:lang w:val="en-US"/>
        </w:rPr>
        <w:t xml:space="preserve">for </w:t>
      </w:r>
      <w:r w:rsidR="003D31BB">
        <w:rPr>
          <w:rFonts w:ascii="Arial" w:hAnsi="Arial" w:cs="Arial"/>
          <w:sz w:val="22"/>
          <w:szCs w:val="22"/>
          <w:lang w:val="en-US"/>
        </w:rPr>
        <w:t>P</w:t>
      </w:r>
      <w:r w:rsidRPr="009C5096">
        <w:rPr>
          <w:rFonts w:ascii="Arial" w:hAnsi="Arial" w:cs="Arial"/>
          <w:sz w:val="22"/>
          <w:szCs w:val="22"/>
          <w:lang w:val="en-US"/>
        </w:rPr>
        <w:t xml:space="preserve">ublicity and </w:t>
      </w:r>
      <w:r w:rsidR="003D31BB">
        <w:rPr>
          <w:rFonts w:ascii="Arial" w:hAnsi="Arial" w:cs="Arial"/>
          <w:sz w:val="22"/>
          <w:szCs w:val="22"/>
          <w:lang w:val="en-US"/>
        </w:rPr>
        <w:t>C</w:t>
      </w:r>
      <w:r w:rsidRPr="009C5096">
        <w:rPr>
          <w:rFonts w:ascii="Arial" w:hAnsi="Arial" w:cs="Arial"/>
          <w:sz w:val="22"/>
          <w:szCs w:val="22"/>
          <w:lang w:val="en-US"/>
        </w:rPr>
        <w:t xml:space="preserve">ommunication of IPARD II Programme for 2018 was adopted and presented </w:t>
      </w:r>
      <w:r w:rsidR="003D31BB">
        <w:rPr>
          <w:rFonts w:ascii="Arial" w:hAnsi="Arial" w:cs="Arial"/>
          <w:sz w:val="22"/>
          <w:szCs w:val="22"/>
          <w:lang w:val="en-US"/>
        </w:rPr>
        <w:t xml:space="preserve">at </w:t>
      </w:r>
      <w:r w:rsidRPr="009C5096">
        <w:rPr>
          <w:rFonts w:ascii="Arial" w:hAnsi="Arial" w:cs="Arial"/>
          <w:sz w:val="22"/>
          <w:szCs w:val="22"/>
          <w:lang w:val="en-US"/>
        </w:rPr>
        <w:t>the third IPARD Monitoring Committee meeting held in May. It included:</w:t>
      </w:r>
    </w:p>
    <w:p w:rsidR="003136C5" w:rsidRPr="009C5096" w:rsidRDefault="003136C5" w:rsidP="003136C5">
      <w:pPr>
        <w:pStyle w:val="m343668044302477783m-3986873246552044066msolistparagraph"/>
        <w:numPr>
          <w:ilvl w:val="0"/>
          <w:numId w:val="14"/>
        </w:numPr>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organization of informative days (target 35),</w:t>
      </w:r>
    </w:p>
    <w:p w:rsidR="003136C5" w:rsidRPr="009C5096" w:rsidRDefault="003136C5" w:rsidP="003136C5">
      <w:pPr>
        <w:pStyle w:val="m343668044302477783m-3986873246552044066msolistparagraph"/>
        <w:numPr>
          <w:ilvl w:val="0"/>
          <w:numId w:val="14"/>
        </w:numPr>
        <w:spacing w:before="0" w:beforeAutospacing="0" w:after="0" w:afterAutospacing="0"/>
        <w:jc w:val="both"/>
        <w:rPr>
          <w:rFonts w:ascii="Arial" w:hAnsi="Arial" w:cs="Arial"/>
          <w:sz w:val="22"/>
          <w:szCs w:val="22"/>
          <w:lang w:val="en-US"/>
        </w:rPr>
      </w:pPr>
      <w:r w:rsidRPr="009C5096">
        <w:rPr>
          <w:rFonts w:ascii="Arial" w:hAnsi="Arial" w:cs="Arial"/>
          <w:sz w:val="22"/>
          <w:szCs w:val="22"/>
          <w:lang w:val="en-US"/>
        </w:rPr>
        <w:t>IPARD forum (target 1),</w:t>
      </w:r>
    </w:p>
    <w:p w:rsidR="003136C5" w:rsidRPr="009C5096" w:rsidRDefault="003136C5" w:rsidP="003136C5">
      <w:pPr>
        <w:pStyle w:val="m343668044302477783m-3986873246552044066msolistparagraph"/>
        <w:numPr>
          <w:ilvl w:val="0"/>
          <w:numId w:val="14"/>
        </w:numPr>
        <w:spacing w:before="0" w:beforeAutospacing="0" w:after="0" w:afterAutospacing="0"/>
        <w:jc w:val="both"/>
        <w:rPr>
          <w:rFonts w:ascii="Arial" w:hAnsi="Arial" w:cs="Arial"/>
          <w:sz w:val="22"/>
          <w:szCs w:val="22"/>
          <w:lang w:val="en-US"/>
        </w:rPr>
      </w:pPr>
      <w:r w:rsidRPr="009C5096">
        <w:rPr>
          <w:rFonts w:ascii="Arial" w:hAnsi="Arial" w:cs="Arial"/>
          <w:sz w:val="22"/>
          <w:szCs w:val="22"/>
          <w:lang w:val="en-US"/>
        </w:rPr>
        <w:t>workshops (target 2),</w:t>
      </w:r>
    </w:p>
    <w:p w:rsidR="003136C5" w:rsidRPr="009C5096" w:rsidRDefault="00DA409C" w:rsidP="003136C5">
      <w:pPr>
        <w:pStyle w:val="m343668044302477783m-3986873246552044066msolistparagraph"/>
        <w:numPr>
          <w:ilvl w:val="0"/>
          <w:numId w:val="14"/>
        </w:numPr>
        <w:spacing w:before="0" w:beforeAutospacing="0" w:after="0" w:afterAutospacing="0"/>
        <w:jc w:val="both"/>
        <w:rPr>
          <w:rFonts w:ascii="Arial" w:hAnsi="Arial" w:cs="Arial"/>
          <w:sz w:val="22"/>
          <w:szCs w:val="22"/>
          <w:lang w:val="en-US"/>
        </w:rPr>
      </w:pPr>
      <w:r w:rsidRPr="009C5096">
        <w:rPr>
          <w:rFonts w:ascii="Arial" w:hAnsi="Arial" w:cs="Arial"/>
          <w:sz w:val="22"/>
          <w:szCs w:val="22"/>
          <w:lang w:val="en-US"/>
        </w:rPr>
        <w:t>appearance</w:t>
      </w:r>
      <w:r w:rsidR="003136C5" w:rsidRPr="009C5096">
        <w:rPr>
          <w:rFonts w:ascii="Arial" w:hAnsi="Arial" w:cs="Arial"/>
          <w:sz w:val="22"/>
          <w:szCs w:val="22"/>
          <w:lang w:val="en-US"/>
        </w:rPr>
        <w:t xml:space="preserve"> </w:t>
      </w:r>
      <w:r w:rsidR="003D31BB">
        <w:rPr>
          <w:rFonts w:ascii="Arial" w:hAnsi="Arial" w:cs="Arial"/>
          <w:sz w:val="22"/>
          <w:szCs w:val="22"/>
          <w:lang w:val="en-US"/>
        </w:rPr>
        <w:t>i</w:t>
      </w:r>
      <w:r w:rsidR="003136C5" w:rsidRPr="009C5096">
        <w:rPr>
          <w:rFonts w:ascii="Arial" w:hAnsi="Arial" w:cs="Arial"/>
          <w:sz w:val="22"/>
          <w:szCs w:val="22"/>
          <w:lang w:val="en-US"/>
        </w:rPr>
        <w:t>n written and electronic media (target 200),</w:t>
      </w:r>
    </w:p>
    <w:p w:rsidR="003136C5" w:rsidRPr="009C5096" w:rsidRDefault="003136C5" w:rsidP="003136C5">
      <w:pPr>
        <w:pStyle w:val="m343668044302477783m-3986873246552044066msolistparagraph"/>
        <w:numPr>
          <w:ilvl w:val="0"/>
          <w:numId w:val="14"/>
        </w:numPr>
        <w:spacing w:before="0" w:beforeAutospacing="0" w:after="0" w:afterAutospacing="0"/>
        <w:jc w:val="both"/>
        <w:rPr>
          <w:rFonts w:ascii="Arial" w:hAnsi="Arial" w:cs="Arial"/>
          <w:sz w:val="22"/>
          <w:szCs w:val="22"/>
          <w:lang w:val="en-US"/>
        </w:rPr>
      </w:pPr>
      <w:r w:rsidRPr="009C5096">
        <w:rPr>
          <w:rFonts w:ascii="Arial" w:hAnsi="Arial" w:cs="Arial"/>
          <w:sz w:val="22"/>
          <w:szCs w:val="22"/>
          <w:lang w:val="en-US"/>
        </w:rPr>
        <w:t>annual publication of the list of final beneficiaries,</w:t>
      </w:r>
    </w:p>
    <w:p w:rsidR="003136C5" w:rsidRPr="009C5096" w:rsidRDefault="003136C5" w:rsidP="003136C5">
      <w:pPr>
        <w:pStyle w:val="m343668044302477783m-3986873246552044066msolistparagraph"/>
        <w:numPr>
          <w:ilvl w:val="0"/>
          <w:numId w:val="14"/>
        </w:numPr>
        <w:spacing w:before="0" w:beforeAutospacing="0" w:after="0" w:afterAutospacing="0"/>
        <w:jc w:val="both"/>
        <w:rPr>
          <w:rFonts w:ascii="Arial" w:hAnsi="Arial" w:cs="Arial"/>
          <w:sz w:val="22"/>
          <w:szCs w:val="22"/>
          <w:lang w:val="en-US"/>
        </w:rPr>
      </w:pPr>
      <w:r w:rsidRPr="009C5096">
        <w:rPr>
          <w:rFonts w:ascii="Arial" w:hAnsi="Arial" w:cs="Arial"/>
          <w:sz w:val="22"/>
          <w:szCs w:val="22"/>
          <w:lang w:val="en-US"/>
        </w:rPr>
        <w:t>preparation and distribution of brochures (target 6</w:t>
      </w:r>
      <w:r w:rsidR="006A196A">
        <w:rPr>
          <w:rFonts w:ascii="Arial" w:hAnsi="Arial" w:cs="Arial"/>
          <w:sz w:val="22"/>
          <w:szCs w:val="22"/>
          <w:lang w:val="en-US"/>
        </w:rPr>
        <w:t>,</w:t>
      </w:r>
      <w:r w:rsidRPr="009C5096">
        <w:rPr>
          <w:rFonts w:ascii="Arial" w:hAnsi="Arial" w:cs="Arial"/>
          <w:sz w:val="22"/>
          <w:szCs w:val="22"/>
          <w:lang w:val="en-US"/>
        </w:rPr>
        <w:t>000),</w:t>
      </w:r>
    </w:p>
    <w:p w:rsidR="003136C5" w:rsidRPr="009C5096" w:rsidRDefault="003136C5" w:rsidP="003136C5">
      <w:pPr>
        <w:pStyle w:val="m343668044302477783m-3986873246552044066msolistparagraph"/>
        <w:numPr>
          <w:ilvl w:val="0"/>
          <w:numId w:val="14"/>
        </w:numPr>
        <w:spacing w:before="0" w:beforeAutospacing="0" w:after="0" w:afterAutospacing="0"/>
        <w:jc w:val="both"/>
        <w:rPr>
          <w:rFonts w:ascii="Arial" w:hAnsi="Arial" w:cs="Arial"/>
          <w:sz w:val="22"/>
          <w:szCs w:val="22"/>
          <w:lang w:val="en-US"/>
        </w:rPr>
      </w:pPr>
      <w:r w:rsidRPr="009C5096">
        <w:rPr>
          <w:rFonts w:ascii="Arial" w:hAnsi="Arial" w:cs="Arial"/>
          <w:sz w:val="22"/>
          <w:szCs w:val="22"/>
          <w:lang w:val="en-US"/>
        </w:rPr>
        <w:t>preparation of posters (target 650),</w:t>
      </w:r>
    </w:p>
    <w:p w:rsidR="003136C5" w:rsidRPr="009C5096" w:rsidRDefault="003136C5" w:rsidP="003136C5">
      <w:pPr>
        <w:pStyle w:val="m343668044302477783m-3986873246552044066msolistparagraph"/>
        <w:numPr>
          <w:ilvl w:val="0"/>
          <w:numId w:val="14"/>
        </w:numPr>
        <w:spacing w:before="0" w:beforeAutospacing="0" w:after="0" w:afterAutospacing="0"/>
        <w:jc w:val="both"/>
        <w:rPr>
          <w:rFonts w:ascii="Arial" w:hAnsi="Arial" w:cs="Arial"/>
          <w:sz w:val="22"/>
          <w:szCs w:val="22"/>
          <w:lang w:val="en-US"/>
        </w:rPr>
      </w:pPr>
      <w:r w:rsidRPr="009C5096">
        <w:rPr>
          <w:rFonts w:ascii="Arial" w:hAnsi="Arial" w:cs="Arial"/>
          <w:sz w:val="22"/>
          <w:szCs w:val="22"/>
          <w:lang w:val="en-US"/>
        </w:rPr>
        <w:t>preparation and publication of audio and video materials (target 3),</w:t>
      </w:r>
    </w:p>
    <w:p w:rsidR="003136C5" w:rsidRPr="009C5096" w:rsidRDefault="003136C5" w:rsidP="003136C5">
      <w:pPr>
        <w:pStyle w:val="m343668044302477783m-3986873246552044066msolistparagraph"/>
        <w:numPr>
          <w:ilvl w:val="0"/>
          <w:numId w:val="14"/>
        </w:numPr>
        <w:spacing w:before="0" w:beforeAutospacing="0" w:after="0" w:afterAutospacing="0"/>
        <w:jc w:val="both"/>
        <w:rPr>
          <w:rFonts w:ascii="Arial" w:hAnsi="Arial" w:cs="Arial"/>
          <w:sz w:val="22"/>
          <w:szCs w:val="22"/>
          <w:lang w:val="en-US"/>
        </w:rPr>
      </w:pPr>
      <w:r w:rsidRPr="009C5096">
        <w:rPr>
          <w:rFonts w:ascii="Arial" w:hAnsi="Arial" w:cs="Arial"/>
          <w:sz w:val="22"/>
          <w:szCs w:val="22"/>
          <w:lang w:val="en-US"/>
        </w:rPr>
        <w:t>regular update of IPARD web page.</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Due to the large number of applications submitted </w:t>
      </w:r>
      <w:r w:rsidR="003D31BB">
        <w:rPr>
          <w:rFonts w:ascii="Arial" w:hAnsi="Arial" w:cs="Arial"/>
          <w:sz w:val="22"/>
          <w:szCs w:val="22"/>
          <w:lang w:val="en-US"/>
        </w:rPr>
        <w:t xml:space="preserve">under </w:t>
      </w:r>
      <w:r w:rsidRPr="009C5096">
        <w:rPr>
          <w:rFonts w:ascii="Arial" w:hAnsi="Arial" w:cs="Arial"/>
          <w:sz w:val="22"/>
          <w:szCs w:val="22"/>
          <w:lang w:val="en-US"/>
        </w:rPr>
        <w:t xml:space="preserve">public call 01/2017 and the delay in </w:t>
      </w:r>
      <w:r w:rsidR="003D31BB">
        <w:rPr>
          <w:rFonts w:ascii="Arial" w:hAnsi="Arial" w:cs="Arial"/>
          <w:sz w:val="22"/>
          <w:szCs w:val="22"/>
          <w:lang w:val="en-US"/>
        </w:rPr>
        <w:t xml:space="preserve">signing </w:t>
      </w:r>
      <w:r w:rsidRPr="009C5096">
        <w:rPr>
          <w:rFonts w:ascii="Arial" w:hAnsi="Arial" w:cs="Arial"/>
          <w:sz w:val="22"/>
          <w:szCs w:val="22"/>
          <w:lang w:val="en-US"/>
        </w:rPr>
        <w:t xml:space="preserve">the contracts, the following public calls were announced at the end of 2018. This contributed to some of the publicity activities planned for 2018 not to be realized, </w:t>
      </w:r>
      <w:r w:rsidR="003D31BB">
        <w:rPr>
          <w:rFonts w:ascii="Arial" w:hAnsi="Arial" w:cs="Arial"/>
          <w:sz w:val="22"/>
          <w:szCs w:val="22"/>
          <w:lang w:val="en-US"/>
        </w:rPr>
        <w:t xml:space="preserve">to be </w:t>
      </w:r>
      <w:r w:rsidRPr="009C5096">
        <w:rPr>
          <w:rFonts w:ascii="Arial" w:hAnsi="Arial" w:cs="Arial"/>
          <w:sz w:val="22"/>
          <w:szCs w:val="22"/>
          <w:lang w:val="en-US"/>
        </w:rPr>
        <w:t>postponed or realized</w:t>
      </w:r>
      <w:r w:rsidR="003D31BB">
        <w:rPr>
          <w:rFonts w:ascii="Arial" w:hAnsi="Arial" w:cs="Arial"/>
          <w:sz w:val="22"/>
          <w:szCs w:val="22"/>
          <w:lang w:val="en-US"/>
        </w:rPr>
        <w:t>,</w:t>
      </w:r>
      <w:r w:rsidRPr="009C5096">
        <w:rPr>
          <w:rFonts w:ascii="Arial" w:hAnsi="Arial" w:cs="Arial"/>
          <w:sz w:val="22"/>
          <w:szCs w:val="22"/>
          <w:lang w:val="en-US"/>
        </w:rPr>
        <w:t xml:space="preserve"> but with significant reduced intensity.</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According to the annual </w:t>
      </w:r>
      <w:r w:rsidR="003D31BB">
        <w:rPr>
          <w:rFonts w:ascii="Arial" w:hAnsi="Arial" w:cs="Arial"/>
          <w:sz w:val="22"/>
          <w:szCs w:val="22"/>
          <w:lang w:val="en-US"/>
        </w:rPr>
        <w:t>A</w:t>
      </w:r>
      <w:r w:rsidR="003D31BB" w:rsidRPr="009C5096">
        <w:rPr>
          <w:rFonts w:ascii="Arial" w:hAnsi="Arial" w:cs="Arial"/>
          <w:sz w:val="22"/>
          <w:szCs w:val="22"/>
          <w:lang w:val="en-US"/>
        </w:rPr>
        <w:t xml:space="preserve">ction </w:t>
      </w:r>
      <w:r w:rsidR="003D31BB">
        <w:rPr>
          <w:rFonts w:ascii="Arial" w:hAnsi="Arial" w:cs="Arial"/>
          <w:sz w:val="22"/>
          <w:szCs w:val="22"/>
          <w:lang w:val="en-US"/>
        </w:rPr>
        <w:t>P</w:t>
      </w:r>
      <w:r w:rsidR="003D31BB" w:rsidRPr="009C5096">
        <w:rPr>
          <w:rFonts w:ascii="Arial" w:hAnsi="Arial" w:cs="Arial"/>
          <w:sz w:val="22"/>
          <w:szCs w:val="22"/>
          <w:lang w:val="en-US"/>
        </w:rPr>
        <w:t xml:space="preserve">lan </w:t>
      </w:r>
      <w:r w:rsidRPr="009C5096">
        <w:rPr>
          <w:rFonts w:ascii="Arial" w:hAnsi="Arial" w:cs="Arial"/>
          <w:sz w:val="22"/>
          <w:szCs w:val="22"/>
          <w:lang w:val="en-US"/>
        </w:rPr>
        <w:t>for Communication and Publicity for 2018 regarding IPARD Programme 2014-2020, the following activities were realized</w:t>
      </w:r>
      <w:r w:rsidR="003D31BB" w:rsidRPr="003D31BB">
        <w:rPr>
          <w:rFonts w:ascii="Arial" w:hAnsi="Arial" w:cs="Arial"/>
          <w:sz w:val="22"/>
          <w:szCs w:val="22"/>
          <w:lang w:val="en-US"/>
        </w:rPr>
        <w:t xml:space="preserve"> </w:t>
      </w:r>
      <w:r w:rsidR="003D31BB" w:rsidRPr="009C5096">
        <w:rPr>
          <w:rFonts w:ascii="Arial" w:hAnsi="Arial" w:cs="Arial"/>
          <w:sz w:val="22"/>
          <w:szCs w:val="22"/>
          <w:lang w:val="en-US"/>
        </w:rPr>
        <w:t>during 2018</w:t>
      </w:r>
      <w:r w:rsidRPr="009C5096">
        <w:rPr>
          <w:rFonts w:ascii="Arial" w:hAnsi="Arial" w:cs="Arial"/>
          <w:sz w:val="22"/>
          <w:szCs w:val="22"/>
          <w:lang w:val="en-US"/>
        </w:rPr>
        <w:t>:</w:t>
      </w:r>
    </w:p>
    <w:p w:rsidR="003136C5" w:rsidRPr="009C5096" w:rsidRDefault="003136C5" w:rsidP="003136C5">
      <w:pPr>
        <w:pStyle w:val="m343668044302477783m-3986873246552044066msolistparagraph"/>
        <w:numPr>
          <w:ilvl w:val="0"/>
          <w:numId w:val="14"/>
        </w:numPr>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the contract with the selected company for upgrading, hosting and maintaining the website www.ipard.gov.mk (for a period of one year) is in the p</w:t>
      </w:r>
      <w:r w:rsidR="003D31BB">
        <w:rPr>
          <w:rFonts w:ascii="Arial" w:hAnsi="Arial" w:cs="Arial"/>
          <w:sz w:val="22"/>
          <w:szCs w:val="22"/>
          <w:lang w:val="en-US"/>
        </w:rPr>
        <w:t xml:space="preserve">hase </w:t>
      </w:r>
      <w:r w:rsidRPr="009C5096">
        <w:rPr>
          <w:rFonts w:ascii="Arial" w:hAnsi="Arial" w:cs="Arial"/>
          <w:sz w:val="22"/>
          <w:szCs w:val="22"/>
          <w:lang w:val="en-US"/>
        </w:rPr>
        <w:t>of realization and the web site is updated and improved regarding the contract requirements;</w:t>
      </w:r>
    </w:p>
    <w:p w:rsidR="003136C5" w:rsidRPr="009C5096" w:rsidRDefault="003136C5" w:rsidP="003136C5">
      <w:pPr>
        <w:pStyle w:val="m343668044302477783m-3986873246552044066msolistparagraph"/>
        <w:numPr>
          <w:ilvl w:val="0"/>
          <w:numId w:val="14"/>
        </w:numPr>
        <w:spacing w:before="0" w:beforeAutospacing="0" w:after="0" w:afterAutospacing="0"/>
        <w:jc w:val="both"/>
        <w:rPr>
          <w:rFonts w:ascii="Arial" w:hAnsi="Arial" w:cs="Arial"/>
          <w:sz w:val="22"/>
          <w:szCs w:val="22"/>
          <w:lang w:val="en-US"/>
        </w:rPr>
      </w:pPr>
      <w:r w:rsidRPr="009C5096">
        <w:rPr>
          <w:rFonts w:ascii="Arial" w:hAnsi="Arial" w:cs="Arial"/>
          <w:sz w:val="22"/>
          <w:szCs w:val="22"/>
          <w:lang w:val="en-US"/>
        </w:rPr>
        <w:t>increased communication with the public was recorded through email and the call cente</w:t>
      </w:r>
      <w:r w:rsidR="003D31BB">
        <w:rPr>
          <w:rFonts w:ascii="Arial" w:hAnsi="Arial" w:cs="Arial"/>
          <w:sz w:val="22"/>
          <w:szCs w:val="22"/>
          <w:lang w:val="en-US"/>
        </w:rPr>
        <w:t>r</w:t>
      </w:r>
      <w:r w:rsidRPr="009C5096">
        <w:rPr>
          <w:rFonts w:ascii="Arial" w:hAnsi="Arial" w:cs="Arial"/>
          <w:sz w:val="22"/>
          <w:szCs w:val="22"/>
          <w:lang w:val="en-US"/>
        </w:rPr>
        <w:t xml:space="preserve"> (only in July there were 120 calls, </w:t>
      </w:r>
      <w:r w:rsidR="003D31BB">
        <w:rPr>
          <w:rFonts w:ascii="Arial" w:hAnsi="Arial" w:cs="Arial"/>
          <w:sz w:val="22"/>
          <w:szCs w:val="22"/>
          <w:lang w:val="en-US"/>
        </w:rPr>
        <w:t xml:space="preserve">due to </w:t>
      </w:r>
      <w:r w:rsidRPr="009C5096">
        <w:rPr>
          <w:rFonts w:ascii="Arial" w:hAnsi="Arial" w:cs="Arial"/>
          <w:sz w:val="22"/>
          <w:szCs w:val="22"/>
          <w:lang w:val="en-US"/>
        </w:rPr>
        <w:t>signing the contracts for tractors);</w:t>
      </w:r>
    </w:p>
    <w:p w:rsidR="003136C5" w:rsidRPr="009C5096" w:rsidRDefault="003136C5" w:rsidP="003136C5">
      <w:pPr>
        <w:pStyle w:val="m343668044302477783m-3986873246552044066msolistparagraph"/>
        <w:numPr>
          <w:ilvl w:val="0"/>
          <w:numId w:val="14"/>
        </w:numPr>
        <w:spacing w:before="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in regards to the Public calls </w:t>
      </w:r>
      <w:r w:rsidR="003D31BB">
        <w:rPr>
          <w:rFonts w:ascii="Arial" w:hAnsi="Arial" w:cs="Arial"/>
          <w:sz w:val="22"/>
          <w:szCs w:val="22"/>
          <w:lang w:val="en-US"/>
        </w:rPr>
        <w:t xml:space="preserve">there was a </w:t>
      </w:r>
      <w:r w:rsidRPr="009C5096">
        <w:rPr>
          <w:rFonts w:ascii="Arial" w:hAnsi="Arial" w:cs="Arial"/>
          <w:sz w:val="22"/>
          <w:szCs w:val="22"/>
          <w:lang w:val="en-US"/>
        </w:rPr>
        <w:t>significant number (above 126) of press releases and written interviews (daily newspapers and internet portals) and there were 180 calls in the call cent</w:t>
      </w:r>
      <w:r w:rsidR="003D31BB">
        <w:rPr>
          <w:rFonts w:ascii="Arial" w:hAnsi="Arial" w:cs="Arial"/>
          <w:sz w:val="22"/>
          <w:szCs w:val="22"/>
          <w:lang w:val="en-US"/>
        </w:rPr>
        <w:t>e</w:t>
      </w:r>
      <w:r w:rsidRPr="009C5096">
        <w:rPr>
          <w:rFonts w:ascii="Arial" w:hAnsi="Arial" w:cs="Arial"/>
          <w:sz w:val="22"/>
          <w:szCs w:val="22"/>
          <w:lang w:val="en-US"/>
        </w:rPr>
        <w:t>r of</w:t>
      </w:r>
      <w:r w:rsidR="00DA409C">
        <w:rPr>
          <w:rFonts w:ascii="Arial" w:hAnsi="Arial" w:cs="Arial"/>
          <w:sz w:val="22"/>
          <w:szCs w:val="22"/>
          <w:lang w:val="en-US"/>
        </w:rPr>
        <w:t xml:space="preserve"> </w:t>
      </w:r>
      <w:r w:rsidRPr="009C5096">
        <w:rPr>
          <w:rFonts w:ascii="Arial" w:hAnsi="Arial" w:cs="Arial"/>
          <w:sz w:val="22"/>
          <w:szCs w:val="22"/>
          <w:lang w:val="en-US"/>
        </w:rPr>
        <w:t>IPARD Agency and 110 visits;</w:t>
      </w:r>
    </w:p>
    <w:p w:rsidR="003136C5" w:rsidRPr="009C5096" w:rsidRDefault="003136C5" w:rsidP="003136C5">
      <w:pPr>
        <w:pStyle w:val="m343668044302477783m-3986873246552044066msolistparagraph"/>
        <w:numPr>
          <w:ilvl w:val="0"/>
          <w:numId w:val="14"/>
        </w:numPr>
        <w:spacing w:before="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the Public call 01/2018 for </w:t>
      </w:r>
      <w:r w:rsidR="003D31BB">
        <w:rPr>
          <w:rFonts w:ascii="Arial" w:hAnsi="Arial" w:cs="Arial"/>
          <w:sz w:val="22"/>
          <w:szCs w:val="22"/>
          <w:lang w:val="en-US"/>
        </w:rPr>
        <w:t>M</w:t>
      </w:r>
      <w:r w:rsidR="003D31BB" w:rsidRPr="009C5096">
        <w:rPr>
          <w:rFonts w:ascii="Arial" w:hAnsi="Arial" w:cs="Arial"/>
          <w:sz w:val="22"/>
          <w:szCs w:val="22"/>
          <w:lang w:val="en-US"/>
        </w:rPr>
        <w:t xml:space="preserve">easure </w:t>
      </w:r>
      <w:r w:rsidRPr="009C5096">
        <w:rPr>
          <w:rFonts w:ascii="Arial" w:hAnsi="Arial" w:cs="Arial"/>
          <w:sz w:val="22"/>
          <w:szCs w:val="22"/>
          <w:lang w:val="en-US"/>
        </w:rPr>
        <w:t>3 of the IPARD Programme 2014-2020 was published</w:t>
      </w:r>
      <w:r w:rsidR="00DA409C">
        <w:rPr>
          <w:rFonts w:ascii="Arial" w:hAnsi="Arial" w:cs="Arial"/>
          <w:sz w:val="22"/>
          <w:szCs w:val="22"/>
          <w:lang w:val="en-US"/>
        </w:rPr>
        <w:t xml:space="preserve"> </w:t>
      </w:r>
      <w:r w:rsidRPr="009C5096">
        <w:rPr>
          <w:rFonts w:ascii="Arial" w:hAnsi="Arial" w:cs="Arial"/>
          <w:sz w:val="22"/>
          <w:szCs w:val="22"/>
          <w:lang w:val="en-US"/>
        </w:rPr>
        <w:t xml:space="preserve">on 30 November 2018 on the website of the IPARD Agency, </w:t>
      </w:r>
      <w:r w:rsidR="003D31BB">
        <w:rPr>
          <w:rFonts w:ascii="Arial" w:hAnsi="Arial" w:cs="Arial"/>
          <w:sz w:val="22"/>
          <w:szCs w:val="22"/>
          <w:lang w:val="en-US"/>
        </w:rPr>
        <w:t xml:space="preserve">the </w:t>
      </w:r>
      <w:r w:rsidRPr="009C5096">
        <w:rPr>
          <w:rFonts w:ascii="Arial" w:hAnsi="Arial" w:cs="Arial"/>
          <w:sz w:val="22"/>
          <w:szCs w:val="22"/>
          <w:lang w:val="en-US"/>
        </w:rPr>
        <w:t>website of the IPARD Managing Authority</w:t>
      </w:r>
      <w:r w:rsidR="003D31BB">
        <w:rPr>
          <w:rFonts w:ascii="Arial" w:hAnsi="Arial" w:cs="Arial"/>
          <w:sz w:val="22"/>
          <w:szCs w:val="22"/>
          <w:lang w:val="en-US"/>
        </w:rPr>
        <w:t>,</w:t>
      </w:r>
      <w:r w:rsidRPr="009C5096">
        <w:rPr>
          <w:rFonts w:ascii="Arial" w:hAnsi="Arial" w:cs="Arial"/>
          <w:sz w:val="22"/>
          <w:szCs w:val="22"/>
          <w:lang w:val="en-US"/>
        </w:rPr>
        <w:t xml:space="preserve"> as well as in the printed media;</w:t>
      </w:r>
    </w:p>
    <w:p w:rsidR="003136C5" w:rsidRPr="009C5096" w:rsidRDefault="003136C5" w:rsidP="003136C5">
      <w:pPr>
        <w:pStyle w:val="m343668044302477783m-3986873246552044066msolistparagraph"/>
        <w:numPr>
          <w:ilvl w:val="0"/>
          <w:numId w:val="14"/>
        </w:numPr>
        <w:spacing w:before="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the Public call 02/2018 for </w:t>
      </w:r>
      <w:r w:rsidR="003D31BB">
        <w:rPr>
          <w:rFonts w:ascii="Arial" w:hAnsi="Arial" w:cs="Arial"/>
          <w:sz w:val="22"/>
          <w:szCs w:val="22"/>
          <w:lang w:val="en-US"/>
        </w:rPr>
        <w:t>M</w:t>
      </w:r>
      <w:r w:rsidRPr="009C5096">
        <w:rPr>
          <w:rFonts w:ascii="Arial" w:hAnsi="Arial" w:cs="Arial"/>
          <w:sz w:val="22"/>
          <w:szCs w:val="22"/>
          <w:lang w:val="en-US"/>
        </w:rPr>
        <w:t xml:space="preserve">easure 1 of the IPARD Programme 2014-2020 was published on 26 of December 2018 on the website of the IPARD Agency, </w:t>
      </w:r>
      <w:r w:rsidR="003D31BB">
        <w:rPr>
          <w:rFonts w:ascii="Arial" w:hAnsi="Arial" w:cs="Arial"/>
          <w:sz w:val="22"/>
          <w:szCs w:val="22"/>
          <w:lang w:val="en-US"/>
        </w:rPr>
        <w:t xml:space="preserve">the </w:t>
      </w:r>
      <w:r w:rsidRPr="009C5096">
        <w:rPr>
          <w:rFonts w:ascii="Arial" w:hAnsi="Arial" w:cs="Arial"/>
          <w:sz w:val="22"/>
          <w:szCs w:val="22"/>
          <w:lang w:val="en-US"/>
        </w:rPr>
        <w:t>website of the IPARD</w:t>
      </w:r>
      <w:r w:rsidR="00DA409C">
        <w:rPr>
          <w:rFonts w:ascii="Arial" w:hAnsi="Arial" w:cs="Arial"/>
          <w:sz w:val="22"/>
          <w:szCs w:val="22"/>
          <w:lang w:val="en-US"/>
        </w:rPr>
        <w:t xml:space="preserve"> </w:t>
      </w:r>
      <w:r w:rsidRPr="009C5096">
        <w:rPr>
          <w:rFonts w:ascii="Arial" w:hAnsi="Arial" w:cs="Arial"/>
          <w:sz w:val="22"/>
          <w:szCs w:val="22"/>
          <w:lang w:val="en-US"/>
        </w:rPr>
        <w:t>Managing Authority</w:t>
      </w:r>
      <w:r w:rsidR="003D31BB">
        <w:rPr>
          <w:rFonts w:ascii="Arial" w:hAnsi="Arial" w:cs="Arial"/>
          <w:sz w:val="22"/>
          <w:szCs w:val="22"/>
          <w:lang w:val="en-US"/>
        </w:rPr>
        <w:t>,</w:t>
      </w:r>
      <w:r w:rsidRPr="009C5096">
        <w:rPr>
          <w:rFonts w:ascii="Arial" w:hAnsi="Arial" w:cs="Arial"/>
          <w:sz w:val="22"/>
          <w:szCs w:val="22"/>
          <w:lang w:val="en-US"/>
        </w:rPr>
        <w:t xml:space="preserve"> as well as in the printed media.</w:t>
      </w:r>
    </w:p>
    <w:p w:rsidR="003136C5" w:rsidRPr="009C5096" w:rsidRDefault="003136C5" w:rsidP="003136C5">
      <w:pPr>
        <w:pStyle w:val="m343668044302477783m-3986873246552044066msolistparagraph"/>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 xml:space="preserve">Under measure Technical Assistance, in November </w:t>
      </w:r>
      <w:r w:rsidR="003D31BB">
        <w:rPr>
          <w:rFonts w:ascii="Arial" w:hAnsi="Arial" w:cs="Arial"/>
          <w:sz w:val="22"/>
          <w:szCs w:val="22"/>
          <w:lang w:val="en-US"/>
        </w:rPr>
        <w:t xml:space="preserve">the </w:t>
      </w:r>
      <w:r w:rsidRPr="009C5096">
        <w:rPr>
          <w:rFonts w:ascii="Arial" w:hAnsi="Arial" w:cs="Arial"/>
          <w:sz w:val="22"/>
          <w:szCs w:val="22"/>
          <w:lang w:val="en-US"/>
        </w:rPr>
        <w:t xml:space="preserve">Managing Authority signed </w:t>
      </w:r>
      <w:r w:rsidR="003D31BB">
        <w:rPr>
          <w:rFonts w:ascii="Arial" w:hAnsi="Arial" w:cs="Arial"/>
          <w:sz w:val="22"/>
          <w:szCs w:val="22"/>
          <w:lang w:val="en-US"/>
        </w:rPr>
        <w:t xml:space="preserve">a </w:t>
      </w:r>
      <w:r w:rsidRPr="009C5096">
        <w:rPr>
          <w:rFonts w:ascii="Arial" w:hAnsi="Arial" w:cs="Arial"/>
          <w:sz w:val="22"/>
          <w:szCs w:val="22"/>
          <w:lang w:val="en-US"/>
        </w:rPr>
        <w:t>contract with 3D Project Studio to provide logistical support for realization of campaign for IPARD Programme</w:t>
      </w:r>
      <w:r w:rsidR="003D31BB" w:rsidRPr="003D31BB">
        <w:rPr>
          <w:rFonts w:ascii="Arial" w:hAnsi="Arial" w:cs="Arial"/>
          <w:sz w:val="22"/>
          <w:szCs w:val="22"/>
          <w:lang w:val="en-US"/>
        </w:rPr>
        <w:t xml:space="preserve"> </w:t>
      </w:r>
      <w:r w:rsidR="003D31BB" w:rsidRPr="009C5096">
        <w:rPr>
          <w:rFonts w:ascii="Arial" w:hAnsi="Arial" w:cs="Arial"/>
          <w:sz w:val="22"/>
          <w:szCs w:val="22"/>
          <w:lang w:val="en-US"/>
        </w:rPr>
        <w:t>publicity</w:t>
      </w:r>
      <w:r w:rsidRPr="009C5096">
        <w:rPr>
          <w:rFonts w:ascii="Arial" w:hAnsi="Arial" w:cs="Arial"/>
          <w:sz w:val="22"/>
          <w:szCs w:val="22"/>
          <w:lang w:val="en-US"/>
        </w:rPr>
        <w:t xml:space="preserve">. According </w:t>
      </w:r>
      <w:r w:rsidR="003D31BB">
        <w:rPr>
          <w:rFonts w:ascii="Arial" w:hAnsi="Arial" w:cs="Arial"/>
          <w:sz w:val="22"/>
          <w:szCs w:val="22"/>
          <w:lang w:val="en-US"/>
        </w:rPr>
        <w:t xml:space="preserve">to </w:t>
      </w:r>
      <w:r w:rsidRPr="009C5096">
        <w:rPr>
          <w:rFonts w:ascii="Arial" w:hAnsi="Arial" w:cs="Arial"/>
          <w:sz w:val="22"/>
          <w:szCs w:val="22"/>
          <w:lang w:val="en-US"/>
        </w:rPr>
        <w:t>the contract the company is obliged to:</w:t>
      </w:r>
    </w:p>
    <w:p w:rsidR="003136C5" w:rsidRPr="009C5096" w:rsidRDefault="003136C5" w:rsidP="003136C5">
      <w:pPr>
        <w:pStyle w:val="m343668044302477783m-3986873246552044066msolistparagraph"/>
        <w:numPr>
          <w:ilvl w:val="0"/>
          <w:numId w:val="15"/>
        </w:numPr>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provide logistical support in organiz</w:t>
      </w:r>
      <w:r w:rsidR="003D31BB">
        <w:rPr>
          <w:rFonts w:ascii="Arial" w:hAnsi="Arial" w:cs="Arial"/>
          <w:sz w:val="22"/>
          <w:szCs w:val="22"/>
          <w:lang w:val="en-US"/>
        </w:rPr>
        <w:t xml:space="preserve">ing </w:t>
      </w:r>
      <w:r w:rsidRPr="009C5096">
        <w:rPr>
          <w:rFonts w:ascii="Arial" w:hAnsi="Arial" w:cs="Arial"/>
          <w:sz w:val="22"/>
          <w:szCs w:val="22"/>
          <w:lang w:val="en-US"/>
        </w:rPr>
        <w:t>70 IPARD informative days, 6 workshops, 3 forums;</w:t>
      </w:r>
    </w:p>
    <w:p w:rsidR="003136C5" w:rsidRPr="009C5096" w:rsidRDefault="003136C5" w:rsidP="003136C5">
      <w:pPr>
        <w:pStyle w:val="m343668044302477783m-3986873246552044066msolistparagraph"/>
        <w:numPr>
          <w:ilvl w:val="0"/>
          <w:numId w:val="15"/>
        </w:numPr>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lastRenderedPageBreak/>
        <w:t>provide ideal solution and produce 3 IPARD videos and 1 radio commercial;</w:t>
      </w:r>
    </w:p>
    <w:p w:rsidR="003136C5" w:rsidRPr="009C5096" w:rsidRDefault="003136C5" w:rsidP="003136C5">
      <w:pPr>
        <w:pStyle w:val="m343668044302477783m-3986873246552044066msolistparagraph"/>
        <w:numPr>
          <w:ilvl w:val="0"/>
          <w:numId w:val="15"/>
        </w:numPr>
        <w:spacing w:before="120" w:beforeAutospacing="0" w:after="0" w:afterAutospacing="0"/>
        <w:jc w:val="both"/>
        <w:rPr>
          <w:rFonts w:ascii="Arial" w:hAnsi="Arial" w:cs="Arial"/>
          <w:sz w:val="22"/>
          <w:szCs w:val="22"/>
          <w:lang w:val="en-US"/>
        </w:rPr>
      </w:pPr>
      <w:r w:rsidRPr="009C5096">
        <w:rPr>
          <w:rFonts w:ascii="Arial" w:hAnsi="Arial" w:cs="Arial"/>
          <w:sz w:val="22"/>
          <w:szCs w:val="22"/>
          <w:lang w:val="en-US"/>
        </w:rPr>
        <w:t>print publicity materials (application packages, brochures, banners).</w:t>
      </w:r>
    </w:p>
    <w:p w:rsidR="00450D86" w:rsidRPr="00BE411E" w:rsidRDefault="003D31BB" w:rsidP="00BE411E">
      <w:pPr>
        <w:pStyle w:val="m343668044302477783m-3986873246552044066msolistparagraph"/>
        <w:spacing w:before="120" w:beforeAutospacing="0" w:after="0" w:afterAutospacing="0"/>
        <w:jc w:val="both"/>
        <w:rPr>
          <w:rFonts w:ascii="Arial" w:hAnsi="Arial" w:cs="Arial"/>
          <w:sz w:val="22"/>
          <w:szCs w:val="22"/>
          <w:lang w:val="en-US"/>
        </w:rPr>
      </w:pPr>
      <w:r>
        <w:rPr>
          <w:rFonts w:ascii="Arial" w:hAnsi="Arial" w:cs="Arial"/>
          <w:sz w:val="22"/>
          <w:szCs w:val="22"/>
          <w:lang w:val="en-US"/>
        </w:rPr>
        <w:t>The r</w:t>
      </w:r>
      <w:r w:rsidR="003136C5" w:rsidRPr="009C5096">
        <w:rPr>
          <w:rFonts w:ascii="Arial" w:hAnsi="Arial" w:cs="Arial"/>
          <w:sz w:val="22"/>
          <w:szCs w:val="22"/>
          <w:lang w:val="en-US"/>
        </w:rPr>
        <w:t xml:space="preserve">ealization of the contract “IPARD publicity campaign” </w:t>
      </w:r>
      <w:r>
        <w:rPr>
          <w:rFonts w:ascii="Arial" w:hAnsi="Arial" w:cs="Arial"/>
          <w:sz w:val="22"/>
          <w:szCs w:val="22"/>
          <w:lang w:val="en-US"/>
        </w:rPr>
        <w:t xml:space="preserve">began </w:t>
      </w:r>
      <w:r w:rsidR="003136C5" w:rsidRPr="009C5096">
        <w:rPr>
          <w:rFonts w:ascii="Arial" w:hAnsi="Arial" w:cs="Arial"/>
          <w:sz w:val="22"/>
          <w:szCs w:val="22"/>
          <w:lang w:val="en-US"/>
        </w:rPr>
        <w:t xml:space="preserve">with </w:t>
      </w:r>
      <w:r>
        <w:rPr>
          <w:rFonts w:ascii="Arial" w:hAnsi="Arial" w:cs="Arial"/>
          <w:sz w:val="22"/>
          <w:szCs w:val="22"/>
          <w:lang w:val="en-US"/>
        </w:rPr>
        <w:t xml:space="preserve">a </w:t>
      </w:r>
      <w:r w:rsidR="003136C5" w:rsidRPr="009C5096">
        <w:rPr>
          <w:rFonts w:ascii="Arial" w:hAnsi="Arial" w:cs="Arial"/>
          <w:sz w:val="22"/>
          <w:szCs w:val="22"/>
          <w:lang w:val="en-US"/>
        </w:rPr>
        <w:t xml:space="preserve">workshop for </w:t>
      </w:r>
      <w:r>
        <w:rPr>
          <w:rFonts w:ascii="Arial" w:hAnsi="Arial" w:cs="Arial"/>
          <w:sz w:val="22"/>
          <w:szCs w:val="22"/>
          <w:lang w:val="en-US"/>
        </w:rPr>
        <w:t>M</w:t>
      </w:r>
      <w:r w:rsidRPr="009C5096">
        <w:rPr>
          <w:rFonts w:ascii="Arial" w:hAnsi="Arial" w:cs="Arial"/>
          <w:sz w:val="22"/>
          <w:szCs w:val="22"/>
          <w:lang w:val="en-US"/>
        </w:rPr>
        <w:t xml:space="preserve">easure </w:t>
      </w:r>
      <w:r w:rsidR="003136C5" w:rsidRPr="009C5096">
        <w:rPr>
          <w:rFonts w:ascii="Arial" w:hAnsi="Arial" w:cs="Arial"/>
          <w:sz w:val="22"/>
          <w:szCs w:val="22"/>
          <w:lang w:val="en-US"/>
        </w:rPr>
        <w:t>3 in Strumica on 26</w:t>
      </w:r>
      <w:r w:rsidR="003136C5" w:rsidRPr="009C5096">
        <w:rPr>
          <w:rFonts w:ascii="Arial" w:hAnsi="Arial" w:cs="Arial"/>
          <w:sz w:val="22"/>
          <w:szCs w:val="22"/>
          <w:vertAlign w:val="superscript"/>
          <w:lang w:val="en-US"/>
        </w:rPr>
        <w:t>th</w:t>
      </w:r>
      <w:r w:rsidR="003136C5" w:rsidRPr="009C5096">
        <w:rPr>
          <w:rFonts w:ascii="Arial" w:hAnsi="Arial" w:cs="Arial"/>
          <w:sz w:val="22"/>
          <w:szCs w:val="22"/>
          <w:lang w:val="en-US"/>
        </w:rPr>
        <w:t xml:space="preserve"> of December 2018. Printed materials for this measure were produced in one part (</w:t>
      </w:r>
      <w:r>
        <w:rPr>
          <w:rFonts w:ascii="Arial" w:hAnsi="Arial" w:cs="Arial"/>
          <w:sz w:val="22"/>
          <w:szCs w:val="22"/>
          <w:lang w:val="en-US"/>
        </w:rPr>
        <w:t xml:space="preserve">a </w:t>
      </w:r>
      <w:r w:rsidR="003136C5" w:rsidRPr="009C5096">
        <w:rPr>
          <w:rFonts w:ascii="Arial" w:hAnsi="Arial" w:cs="Arial"/>
          <w:sz w:val="22"/>
          <w:szCs w:val="22"/>
          <w:lang w:val="en-US"/>
        </w:rPr>
        <w:t>total of 4</w:t>
      </w:r>
      <w:r w:rsidR="006A196A">
        <w:rPr>
          <w:rFonts w:ascii="Arial" w:hAnsi="Arial" w:cs="Arial"/>
          <w:sz w:val="22"/>
          <w:szCs w:val="22"/>
          <w:lang w:val="en-US"/>
        </w:rPr>
        <w:t>,</w:t>
      </w:r>
      <w:r w:rsidR="003136C5" w:rsidRPr="009C5096">
        <w:rPr>
          <w:rFonts w:ascii="Arial" w:hAnsi="Arial" w:cs="Arial"/>
          <w:sz w:val="22"/>
          <w:szCs w:val="22"/>
          <w:lang w:val="en-US"/>
        </w:rPr>
        <w:t>456 materials</w:t>
      </w:r>
      <w:r>
        <w:rPr>
          <w:rFonts w:ascii="Arial" w:hAnsi="Arial" w:cs="Arial"/>
          <w:sz w:val="22"/>
          <w:szCs w:val="22"/>
          <w:lang w:val="en-US"/>
        </w:rPr>
        <w:t xml:space="preserve"> – </w:t>
      </w:r>
      <w:r w:rsidR="003136C5" w:rsidRPr="009C5096">
        <w:rPr>
          <w:rFonts w:ascii="Arial" w:hAnsi="Arial" w:cs="Arial"/>
          <w:sz w:val="22"/>
          <w:szCs w:val="22"/>
          <w:lang w:val="en-US"/>
        </w:rPr>
        <w:t xml:space="preserve">brochures, application packages, posters, banners). </w:t>
      </w:r>
      <w:r>
        <w:rPr>
          <w:rFonts w:ascii="Arial" w:hAnsi="Arial" w:cs="Arial"/>
          <w:sz w:val="22"/>
          <w:szCs w:val="22"/>
          <w:lang w:val="en-US"/>
        </w:rPr>
        <w:t>The p</w:t>
      </w:r>
      <w:r w:rsidR="003136C5" w:rsidRPr="009C5096">
        <w:rPr>
          <w:rFonts w:ascii="Arial" w:hAnsi="Arial" w:cs="Arial"/>
          <w:sz w:val="22"/>
          <w:szCs w:val="22"/>
          <w:lang w:val="en-US"/>
        </w:rPr>
        <w:t xml:space="preserve">reparation and printing of materials for </w:t>
      </w:r>
      <w:r>
        <w:rPr>
          <w:rFonts w:ascii="Arial" w:hAnsi="Arial" w:cs="Arial"/>
          <w:sz w:val="22"/>
          <w:szCs w:val="22"/>
          <w:lang w:val="en-US"/>
        </w:rPr>
        <w:t>M</w:t>
      </w:r>
      <w:r w:rsidR="003136C5" w:rsidRPr="009C5096">
        <w:rPr>
          <w:rFonts w:ascii="Arial" w:hAnsi="Arial" w:cs="Arial"/>
          <w:sz w:val="22"/>
          <w:szCs w:val="22"/>
          <w:lang w:val="en-US"/>
        </w:rPr>
        <w:t xml:space="preserve">easure 1 </w:t>
      </w:r>
      <w:r>
        <w:rPr>
          <w:rFonts w:ascii="Arial" w:hAnsi="Arial" w:cs="Arial"/>
          <w:sz w:val="22"/>
          <w:szCs w:val="22"/>
          <w:lang w:val="en-US"/>
        </w:rPr>
        <w:t>wa</w:t>
      </w:r>
      <w:r w:rsidR="003136C5" w:rsidRPr="009C5096">
        <w:rPr>
          <w:rFonts w:ascii="Arial" w:hAnsi="Arial" w:cs="Arial"/>
          <w:sz w:val="22"/>
          <w:szCs w:val="22"/>
          <w:lang w:val="en-US"/>
        </w:rPr>
        <w:t>s made shortly after the public call 02/2018 was announced.</w:t>
      </w:r>
    </w:p>
    <w:p w:rsidR="00450D86" w:rsidRPr="00450D86" w:rsidRDefault="00450D86" w:rsidP="00450D86">
      <w:pPr>
        <w:rPr>
          <w:rFonts w:ascii="Arial" w:eastAsia="Calibri" w:hAnsi="Arial" w:cs="Arial"/>
          <w:lang w:eastAsia="en-GB"/>
        </w:rPr>
      </w:pPr>
    </w:p>
    <w:p w:rsidR="003136C5" w:rsidRPr="005D2296" w:rsidRDefault="003136C5" w:rsidP="003136C5">
      <w:pPr>
        <w:pStyle w:val="ListParagraph"/>
        <w:numPr>
          <w:ilvl w:val="0"/>
          <w:numId w:val="2"/>
        </w:numPr>
        <w:contextualSpacing/>
        <w:jc w:val="both"/>
        <w:outlineLvl w:val="0"/>
        <w:rPr>
          <w:rFonts w:ascii="Arial" w:hAnsi="Arial" w:cs="Arial"/>
          <w:b/>
        </w:rPr>
      </w:pPr>
      <w:bookmarkStart w:id="72" w:name="_Toc8649824"/>
      <w:r w:rsidRPr="005D2296">
        <w:rPr>
          <w:rFonts w:ascii="Arial" w:hAnsi="Arial" w:cs="Arial"/>
          <w:b/>
        </w:rPr>
        <w:t>Coordination of IPARD fun</w:t>
      </w:r>
      <w:bookmarkStart w:id="73" w:name="_GoBack"/>
      <w:bookmarkEnd w:id="73"/>
      <w:r w:rsidRPr="005D2296">
        <w:rPr>
          <w:rFonts w:ascii="Arial" w:hAnsi="Arial" w:cs="Arial"/>
          <w:b/>
        </w:rPr>
        <w:t>ds with national funding, other IPA components, IFI’s and donor support</w:t>
      </w:r>
      <w:bookmarkEnd w:id="72"/>
    </w:p>
    <w:p w:rsidR="003136C5" w:rsidRPr="004D2953" w:rsidRDefault="003136C5" w:rsidP="003136C5">
      <w:pPr>
        <w:spacing w:before="120"/>
        <w:jc w:val="both"/>
        <w:rPr>
          <w:rFonts w:ascii="Arial" w:hAnsi="Arial" w:cs="Arial"/>
          <w:sz w:val="22"/>
        </w:rPr>
      </w:pPr>
      <w:r w:rsidRPr="004D2953">
        <w:rPr>
          <w:rFonts w:ascii="Arial" w:hAnsi="Arial" w:cs="Arial"/>
          <w:sz w:val="22"/>
        </w:rPr>
        <w:t xml:space="preserve">The coordination between the donor assistance instruments and IPA is based on the integration of the coordination function within the Secretariat for European Affairs under the management of NIPAC. </w:t>
      </w:r>
      <w:r w:rsidR="00612896" w:rsidRPr="004D2953">
        <w:rPr>
          <w:rFonts w:ascii="Arial" w:hAnsi="Arial" w:cs="Arial"/>
          <w:sz w:val="22"/>
        </w:rPr>
        <w:t xml:space="preserve">At the same time, </w:t>
      </w:r>
      <w:r w:rsidRPr="004D2953">
        <w:rPr>
          <w:rFonts w:ascii="Arial" w:hAnsi="Arial" w:cs="Arial"/>
          <w:sz w:val="22"/>
        </w:rPr>
        <w:t xml:space="preserve">NIPAC is appointed by the Government as responsible for coordination of foreign aid. </w:t>
      </w:r>
    </w:p>
    <w:p w:rsidR="003136C5" w:rsidRPr="004D2953" w:rsidRDefault="003136C5" w:rsidP="003136C5">
      <w:pPr>
        <w:spacing w:before="120"/>
        <w:jc w:val="both"/>
        <w:rPr>
          <w:rFonts w:ascii="Arial" w:hAnsi="Arial" w:cs="Arial"/>
          <w:sz w:val="22"/>
        </w:rPr>
      </w:pPr>
      <w:r w:rsidRPr="004D2953">
        <w:rPr>
          <w:rFonts w:ascii="Arial" w:hAnsi="Arial" w:cs="Arial"/>
          <w:sz w:val="22"/>
        </w:rPr>
        <w:t>Concerning IFI’s, NAO also act</w:t>
      </w:r>
      <w:r w:rsidR="00612896" w:rsidRPr="004D2953">
        <w:rPr>
          <w:rFonts w:ascii="Arial" w:hAnsi="Arial" w:cs="Arial"/>
          <w:sz w:val="22"/>
        </w:rPr>
        <w:t xml:space="preserve">s </w:t>
      </w:r>
      <w:r w:rsidRPr="004D2953">
        <w:rPr>
          <w:rFonts w:ascii="Arial" w:hAnsi="Arial" w:cs="Arial"/>
          <w:sz w:val="22"/>
        </w:rPr>
        <w:t>as State Advisor in the MoF which coordinates the use of IFI’s funds.</w:t>
      </w:r>
    </w:p>
    <w:p w:rsidR="003136C5" w:rsidRPr="004D2953" w:rsidRDefault="00612896" w:rsidP="003136C5">
      <w:pPr>
        <w:spacing w:before="120"/>
        <w:jc w:val="both"/>
        <w:rPr>
          <w:rFonts w:ascii="Arial" w:hAnsi="Arial" w:cs="Arial"/>
          <w:sz w:val="22"/>
        </w:rPr>
      </w:pPr>
      <w:r w:rsidRPr="004D2953">
        <w:rPr>
          <w:rFonts w:ascii="Arial" w:hAnsi="Arial" w:cs="Arial"/>
          <w:sz w:val="22"/>
        </w:rPr>
        <w:t xml:space="preserve">Both the </w:t>
      </w:r>
      <w:r w:rsidR="003136C5" w:rsidRPr="004D2953">
        <w:rPr>
          <w:rFonts w:ascii="Arial" w:hAnsi="Arial" w:cs="Arial"/>
          <w:sz w:val="22"/>
        </w:rPr>
        <w:t>Head of MA and the Director of the IPARD Agency are nominated members of the IPA MC and regularly participate on the joint meetings which are held once a year.</w:t>
      </w:r>
    </w:p>
    <w:p w:rsidR="003136C5" w:rsidRPr="004D2953" w:rsidRDefault="003136C5" w:rsidP="003136C5">
      <w:pPr>
        <w:rPr>
          <w:rFonts w:ascii="Arial" w:hAnsi="Arial" w:cs="Arial"/>
          <w:sz w:val="22"/>
        </w:rPr>
      </w:pPr>
      <w:r w:rsidRPr="004D2953">
        <w:rPr>
          <w:rFonts w:ascii="Arial" w:hAnsi="Arial" w:cs="Arial"/>
          <w:sz w:val="22"/>
        </w:rPr>
        <w:br w:type="page"/>
      </w:r>
    </w:p>
    <w:p w:rsidR="003136C5" w:rsidRPr="009C5096" w:rsidRDefault="003136C5" w:rsidP="003136C5">
      <w:pPr>
        <w:spacing w:before="120"/>
        <w:jc w:val="both"/>
        <w:rPr>
          <w:rFonts w:ascii="Arial" w:hAnsi="Arial" w:cs="Arial"/>
        </w:rPr>
      </w:pPr>
      <w:r w:rsidRPr="009C5096">
        <w:rPr>
          <w:rFonts w:ascii="Arial" w:hAnsi="Arial" w:cs="Arial"/>
        </w:rPr>
        <w:lastRenderedPageBreak/>
        <w:t>ANNEX 1:</w:t>
      </w:r>
    </w:p>
    <w:p w:rsidR="003136C5" w:rsidRPr="009C5096" w:rsidRDefault="003136C5" w:rsidP="003136C5">
      <w:pPr>
        <w:spacing w:before="120"/>
        <w:jc w:val="both"/>
        <w:rPr>
          <w:rFonts w:ascii="Arial" w:hAnsi="Arial" w:cs="Arial"/>
        </w:rPr>
      </w:pPr>
      <w:r w:rsidRPr="009C5096">
        <w:rPr>
          <w:rFonts w:ascii="Arial" w:hAnsi="Arial" w:cs="Arial"/>
        </w:rPr>
        <w:t>Indicator Tables for Monitoring and Evaluation of the IPARD Programme 2014-2020</w:t>
      </w:r>
    </w:p>
    <w:p w:rsidR="003136C5" w:rsidRPr="009C5096" w:rsidRDefault="00612896" w:rsidP="003136C5">
      <w:pPr>
        <w:spacing w:before="120"/>
        <w:jc w:val="both"/>
        <w:rPr>
          <w:rFonts w:ascii="Arial" w:hAnsi="Arial" w:cs="Arial"/>
        </w:rPr>
      </w:pPr>
      <w:r w:rsidRPr="009C5096">
        <w:rPr>
          <w:rFonts w:ascii="Arial" w:hAnsi="Arial" w:cs="Arial"/>
        </w:rPr>
        <w:t>S</w:t>
      </w:r>
      <w:r w:rsidR="003136C5" w:rsidRPr="009C5096">
        <w:rPr>
          <w:rFonts w:ascii="Arial" w:hAnsi="Arial" w:cs="Arial"/>
        </w:rPr>
        <w:t>tatus: 31.12.2018</w:t>
      </w:r>
    </w:p>
    <w:p w:rsidR="00C80D04" w:rsidRDefault="00C80D04" w:rsidP="003136C5">
      <w:pPr>
        <w:rPr>
          <w:rFonts w:ascii="Arial" w:eastAsia="Calibri" w:hAnsi="Arial" w:cs="Arial"/>
          <w:sz w:val="22"/>
          <w:szCs w:val="22"/>
        </w:rPr>
      </w:pPr>
    </w:p>
    <w:p w:rsidR="00450D86" w:rsidRPr="00450D86" w:rsidRDefault="00450D86" w:rsidP="00450D86">
      <w:pPr>
        <w:rPr>
          <w:rFonts w:ascii="Arial" w:eastAsia="Calibri" w:hAnsi="Arial" w:cs="Arial"/>
          <w:sz w:val="22"/>
          <w:szCs w:val="22"/>
        </w:rPr>
      </w:pPr>
    </w:p>
    <w:p w:rsidR="00450D86" w:rsidRDefault="00450D86" w:rsidP="00450D86">
      <w:pPr>
        <w:rPr>
          <w:rFonts w:ascii="Arial" w:eastAsia="Calibri" w:hAnsi="Arial" w:cs="Arial"/>
          <w:sz w:val="22"/>
          <w:szCs w:val="22"/>
        </w:rPr>
      </w:pPr>
    </w:p>
    <w:p w:rsidR="00450D86" w:rsidRPr="00450D86" w:rsidRDefault="00450D86" w:rsidP="00450D86">
      <w:pPr>
        <w:rPr>
          <w:rFonts w:ascii="Arial" w:eastAsia="Calibri" w:hAnsi="Arial" w:cs="Arial"/>
          <w:sz w:val="22"/>
          <w:szCs w:val="22"/>
        </w:rPr>
      </w:pPr>
    </w:p>
    <w:sectPr w:rsidR="00450D86" w:rsidRPr="00450D86" w:rsidSect="00B53023">
      <w:headerReference w:type="default" r:id="rId20"/>
      <w:footerReference w:type="default" r:id="rId21"/>
      <w:foot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0A6" w:rsidRDefault="00E000A6" w:rsidP="006407FD">
      <w:r>
        <w:separator/>
      </w:r>
    </w:p>
  </w:endnote>
  <w:endnote w:type="continuationSeparator" w:id="0">
    <w:p w:rsidR="00E000A6" w:rsidRDefault="00E000A6" w:rsidP="0064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Regular">
    <w:altName w:val="MS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00000001" w:usb1="00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StobiSans Regular">
    <w:altName w:val="Corbel"/>
    <w:panose1 w:val="00000000000000000000"/>
    <w:charset w:val="00"/>
    <w:family w:val="modern"/>
    <w:notTrueType/>
    <w:pitch w:val="variable"/>
    <w:sig w:usb0="A00002AF" w:usb1="5000A07B" w:usb2="00000000" w:usb3="00000000" w:csb0="0000009F" w:csb1="00000000"/>
  </w:font>
  <w:font w:name="TimesNewRomanPS-BoldItalicMT">
    <w:altName w:val="Matura MT Script Capitals"/>
    <w:charset w:val="CC"/>
    <w:family w:val="script"/>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D" w:rsidRPr="00AC0013" w:rsidRDefault="00097EED">
    <w:pPr>
      <w:pStyle w:val="Footer"/>
      <w:jc w:val="center"/>
      <w:rPr>
        <w:rFonts w:ascii="Arial" w:hAnsi="Arial" w:cs="Arial"/>
        <w:caps/>
        <w:noProof/>
        <w:color w:val="4F81BD" w:themeColor="accent1"/>
        <w:sz w:val="18"/>
      </w:rPr>
    </w:pPr>
    <w:r w:rsidRPr="00AC0013">
      <w:rPr>
        <w:rFonts w:ascii="Arial" w:hAnsi="Arial" w:cs="Arial"/>
        <w:caps/>
        <w:color w:val="4F81BD" w:themeColor="accent1"/>
        <w:sz w:val="18"/>
      </w:rPr>
      <w:fldChar w:fldCharType="begin"/>
    </w:r>
    <w:r w:rsidRPr="00AC0013">
      <w:rPr>
        <w:rFonts w:ascii="Arial" w:hAnsi="Arial" w:cs="Arial"/>
        <w:caps/>
        <w:color w:val="4F81BD" w:themeColor="accent1"/>
        <w:sz w:val="18"/>
      </w:rPr>
      <w:instrText xml:space="preserve"> PAGE   \* MERGEFORMAT </w:instrText>
    </w:r>
    <w:r w:rsidRPr="00AC0013">
      <w:rPr>
        <w:rFonts w:ascii="Arial" w:hAnsi="Arial" w:cs="Arial"/>
        <w:caps/>
        <w:color w:val="4F81BD" w:themeColor="accent1"/>
        <w:sz w:val="18"/>
      </w:rPr>
      <w:fldChar w:fldCharType="separate"/>
    </w:r>
    <w:r w:rsidRPr="00AC0013">
      <w:rPr>
        <w:rFonts w:ascii="Arial" w:hAnsi="Arial" w:cs="Arial"/>
        <w:caps/>
        <w:noProof/>
        <w:color w:val="4F81BD" w:themeColor="accent1"/>
        <w:sz w:val="18"/>
      </w:rPr>
      <w:t>2</w:t>
    </w:r>
    <w:r w:rsidRPr="00AC0013">
      <w:rPr>
        <w:rFonts w:ascii="Arial" w:hAnsi="Arial" w:cs="Arial"/>
        <w:caps/>
        <w:noProof/>
        <w:color w:val="4F81BD" w:themeColor="accent1"/>
        <w:sz w:val="18"/>
      </w:rPr>
      <w:fldChar w:fldCharType="end"/>
    </w:r>
  </w:p>
  <w:p w:rsidR="00097EED" w:rsidRDefault="00097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0A6" w:rsidRPr="00A852F7" w:rsidRDefault="00E000A6" w:rsidP="00FB0448">
    <w:pPr>
      <w:pStyle w:val="Footer"/>
      <w:jc w:val="center"/>
      <w:rPr>
        <w:rFonts w:ascii="Arial" w:hAnsi="Arial" w:cs="Arial"/>
        <w:sz w:val="28"/>
        <w:szCs w:val="28"/>
      </w:rPr>
    </w:pPr>
    <w:r w:rsidRPr="00A852F7">
      <w:rPr>
        <w:rFonts w:ascii="Arial" w:hAnsi="Arial" w:cs="Arial"/>
        <w:color w:val="203214"/>
        <w:sz w:val="28"/>
        <w:szCs w:val="28"/>
      </w:rPr>
      <w:t>Fifth IPARD Monitoring Committee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0A6" w:rsidRDefault="00E000A6" w:rsidP="006407FD">
      <w:r>
        <w:separator/>
      </w:r>
    </w:p>
  </w:footnote>
  <w:footnote w:type="continuationSeparator" w:id="0">
    <w:p w:rsidR="00E000A6" w:rsidRDefault="00E000A6" w:rsidP="006407FD">
      <w:r>
        <w:continuationSeparator/>
      </w:r>
    </w:p>
  </w:footnote>
  <w:footnote w:id="1">
    <w:p w:rsidR="00E000A6" w:rsidRPr="00E13A3B" w:rsidRDefault="00E000A6" w:rsidP="003136C5">
      <w:pPr>
        <w:pStyle w:val="FootnoteText"/>
        <w:rPr>
          <w:rFonts w:ascii="Arial" w:hAnsi="Arial" w:cs="Arial"/>
          <w:sz w:val="16"/>
          <w:szCs w:val="16"/>
        </w:rPr>
      </w:pPr>
      <w:r w:rsidRPr="009C5096">
        <w:rPr>
          <w:rStyle w:val="FootnoteReference"/>
        </w:rPr>
        <w:footnoteRef/>
      </w:r>
      <w:r w:rsidRPr="009C5096">
        <w:t xml:space="preserve"> </w:t>
      </w:r>
      <w:r w:rsidRPr="00E13A3B">
        <w:rPr>
          <w:rFonts w:ascii="Arial" w:hAnsi="Arial" w:cs="Arial"/>
          <w:sz w:val="16"/>
          <w:szCs w:val="16"/>
        </w:rPr>
        <w:t>Available data on agricultural production and economy was for 2015 (except for trade)</w:t>
      </w:r>
    </w:p>
  </w:footnote>
  <w:footnote w:id="2">
    <w:p w:rsidR="00E000A6" w:rsidRPr="009C5096" w:rsidRDefault="00E000A6" w:rsidP="003136C5">
      <w:pPr>
        <w:pStyle w:val="FootnoteText"/>
      </w:pPr>
      <w:r w:rsidRPr="009C5096">
        <w:rPr>
          <w:rStyle w:val="FootnoteReference"/>
        </w:rPr>
        <w:footnoteRef/>
      </w:r>
      <w:r w:rsidRPr="009C5096">
        <w:t xml:space="preserve"> </w:t>
      </w:r>
      <w:r w:rsidRPr="009C5096">
        <w:rPr>
          <w:rFonts w:ascii="StobiSerif Regular" w:hAnsi="StobiSerif Regular"/>
          <w:sz w:val="16"/>
          <w:szCs w:val="16"/>
        </w:rPr>
        <w:t>Public call for submission of applications only under measure 3</w:t>
      </w:r>
    </w:p>
  </w:footnote>
  <w:footnote w:id="3">
    <w:p w:rsidR="00E000A6" w:rsidRPr="009C5096" w:rsidRDefault="00E000A6" w:rsidP="003136C5">
      <w:pPr>
        <w:pStyle w:val="FootnoteText"/>
      </w:pPr>
      <w:r w:rsidRPr="009C5096">
        <w:rPr>
          <w:rStyle w:val="FootnoteReference"/>
        </w:rPr>
        <w:footnoteRef/>
      </w:r>
      <w:r w:rsidRPr="009C5096">
        <w:t xml:space="preserve"> </w:t>
      </w:r>
      <w:r w:rsidRPr="009C5096">
        <w:rPr>
          <w:rFonts w:ascii="StobiSerif Regular" w:hAnsi="StobiSerif Regular"/>
          <w:sz w:val="16"/>
          <w:szCs w:val="16"/>
        </w:rPr>
        <w:t>Public call for submission of applications only under measure 1</w:t>
      </w:r>
    </w:p>
  </w:footnote>
  <w:footnote w:id="4">
    <w:p w:rsidR="00E000A6" w:rsidRPr="009C5096" w:rsidRDefault="00E000A6" w:rsidP="003136C5">
      <w:pPr>
        <w:pStyle w:val="FootnoteText"/>
      </w:pPr>
      <w:r w:rsidRPr="009C5096">
        <w:rPr>
          <w:rStyle w:val="FootnoteReference"/>
        </w:rPr>
        <w:footnoteRef/>
      </w:r>
      <w:r w:rsidRPr="009C5096">
        <w:t xml:space="preserve"> </w:t>
      </w:r>
      <w:r w:rsidRPr="00036440">
        <w:rPr>
          <w:rFonts w:ascii="Arial" w:hAnsi="Arial" w:cs="Arial"/>
          <w:sz w:val="16"/>
          <w:szCs w:val="16"/>
        </w:rPr>
        <w:t>Value of investments is presented as total eligible expenditure</w:t>
      </w:r>
    </w:p>
  </w:footnote>
  <w:footnote w:id="5">
    <w:p w:rsidR="00E000A6" w:rsidRPr="009C5096" w:rsidRDefault="00E000A6" w:rsidP="003136C5">
      <w:pPr>
        <w:pStyle w:val="FootnoteText"/>
        <w:rPr>
          <w:rFonts w:ascii="StobiSerif Regular" w:hAnsi="StobiSerif Regular"/>
        </w:rPr>
      </w:pPr>
      <w:r w:rsidRPr="009C5096">
        <w:rPr>
          <w:rStyle w:val="FootnoteReference"/>
        </w:rPr>
        <w:footnoteRef/>
      </w:r>
      <w:r w:rsidRPr="009C5096">
        <w:t xml:space="preserve"> </w:t>
      </w:r>
      <w:r w:rsidRPr="00036440">
        <w:rPr>
          <w:rFonts w:ascii="Arial" w:hAnsi="Arial" w:cs="Arial"/>
          <w:sz w:val="16"/>
          <w:szCs w:val="16"/>
        </w:rPr>
        <w:t>Value of investments is presented as total eligible expenditure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0A6" w:rsidRDefault="00E000A6" w:rsidP="00A852F7">
    <w:pPr>
      <w:spacing w:before="120"/>
    </w:pPr>
    <w:r>
      <w:rPr>
        <w:rFonts w:ascii="StobiSans Regular" w:hAnsi="StobiSans Regular" w:cs="Arial"/>
        <w:sz w:val="18"/>
        <w:szCs w:val="18"/>
        <w:lang w:eastAsia="en-GB"/>
      </w:rPr>
      <w:t xml:space="preserve">  </w:t>
    </w:r>
    <w:r w:rsidRPr="00A852F7">
      <w:rPr>
        <w:rFonts w:ascii="Arial" w:hAnsi="Arial" w:cs="Arial"/>
        <w:i/>
        <w:sz w:val="20"/>
        <w:szCs w:val="20"/>
        <w:lang w:eastAsia="en-GB"/>
      </w:rPr>
      <w:t>Annual report</w:t>
    </w:r>
    <w:r w:rsidRPr="00A852F7">
      <w:rPr>
        <w:rFonts w:ascii="Arial" w:hAnsi="Arial" w:cs="Arial"/>
        <w:i/>
        <w:sz w:val="20"/>
        <w:szCs w:val="20"/>
        <w:lang w:val="en-GB" w:eastAsia="en-GB"/>
      </w:rPr>
      <w:t xml:space="preserve"> on the implementation of the </w:t>
    </w:r>
    <w:r w:rsidRPr="00A852F7">
      <w:rPr>
        <w:rFonts w:ascii="Arial" w:hAnsi="Arial" w:cs="Arial"/>
        <w:i/>
        <w:sz w:val="20"/>
        <w:szCs w:val="20"/>
        <w:lang w:eastAsia="en-GB"/>
      </w:rPr>
      <w:t>IPARD 2014-2020 Programme for 2018</w:t>
    </w:r>
    <w:r w:rsidRPr="00A852F7">
      <w:rPr>
        <w:rFonts w:ascii="Arial" w:hAnsi="Arial" w:cs="Arial"/>
        <w:noProof/>
        <w:sz w:val="20"/>
        <w:szCs w:val="20"/>
      </w:rPr>
      <w:drawing>
        <wp:anchor distT="0" distB="0" distL="114300" distR="114300" simplePos="0" relativeHeight="251657728" behindDoc="1" locked="0" layoutInCell="1" allowOverlap="1" wp14:anchorId="1A9FFE84" wp14:editId="06F3D909">
          <wp:simplePos x="0" y="0"/>
          <wp:positionH relativeFrom="page">
            <wp:posOffset>285750</wp:posOffset>
          </wp:positionH>
          <wp:positionV relativeFrom="page">
            <wp:posOffset>213995</wp:posOffset>
          </wp:positionV>
          <wp:extent cx="628650" cy="628650"/>
          <wp:effectExtent l="19050" t="0" r="0" b="0"/>
          <wp:wrapThrough wrapText="bothSides">
            <wp:wrapPolygon edited="0">
              <wp:start x="5891" y="0"/>
              <wp:lineTo x="1964" y="2618"/>
              <wp:lineTo x="-655" y="7200"/>
              <wp:lineTo x="-655" y="14400"/>
              <wp:lineTo x="3927" y="20945"/>
              <wp:lineTo x="6545" y="20945"/>
              <wp:lineTo x="15709" y="20945"/>
              <wp:lineTo x="17673" y="20945"/>
              <wp:lineTo x="21600" y="14400"/>
              <wp:lineTo x="21600" y="5891"/>
              <wp:lineTo x="18982" y="1964"/>
              <wp:lineTo x="15055" y="0"/>
              <wp:lineTo x="5891" y="0"/>
            </wp:wrapPolygon>
          </wp:wrapThrough>
          <wp:docPr id="3" name="Picture 9" descr="\\fileserver.mzsv.gov.mk\folderredirect$\aleksandra.dika\Desktop\5_Комитет за следење\IPARD logo kali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mzsv.gov.mk\folderredirect$\aleksandra.dika\Desktop\5_Комитет за следење\IPARD logo kalinka.png"/>
                  <pic:cNvPicPr>
                    <a:picLocks noChangeAspect="1" noChangeArrowheads="1"/>
                  </pic:cNvPicPr>
                </pic:nvPicPr>
                <pic:blipFill>
                  <a:blip r:embed="rId1"/>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Pr="00A852F7">
      <w:rPr>
        <w:rFonts w:ascii="Arial" w:hAnsi="Arial" w:cs="Arial"/>
        <w:sz w:val="20"/>
        <w:szCs w:val="20"/>
      </w:rPr>
      <w:tab/>
    </w:r>
    <w:r w:rsidRPr="00A852F7">
      <w:rPr>
        <w:rFonts w:ascii="StobiSans Regular" w:hAnsi="StobiSans Regular"/>
        <w:sz w:val="20"/>
        <w:szCs w:val="20"/>
      </w:rPr>
      <w:tab/>
    </w:r>
  </w:p>
  <w:p w:rsidR="00E000A6" w:rsidRPr="00CC3096" w:rsidRDefault="00E000A6" w:rsidP="00B53023">
    <w:pPr>
      <w:tabs>
        <w:tab w:val="left" w:pos="8025"/>
      </w:tabs>
      <w:spacing w:before="120"/>
      <w:ind w:left="357"/>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28E2294"/>
    <w:multiLevelType w:val="hybridMultilevel"/>
    <w:tmpl w:val="76B4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14FD"/>
    <w:multiLevelType w:val="hybridMultilevel"/>
    <w:tmpl w:val="3F38C586"/>
    <w:lvl w:ilvl="0" w:tplc="608A1DD8">
      <w:numFmt w:val="bullet"/>
      <w:lvlText w:val="-"/>
      <w:lvlJc w:val="left"/>
      <w:pPr>
        <w:ind w:left="720" w:hanging="360"/>
      </w:pPr>
      <w:rPr>
        <w:rFonts w:ascii="StobiSerifRegular" w:eastAsia="Times New Roman" w:hAnsi="StobiSerifRegular" w:cs="StobiSerif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253B2"/>
    <w:multiLevelType w:val="hybridMultilevel"/>
    <w:tmpl w:val="5136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362B3"/>
    <w:multiLevelType w:val="hybridMultilevel"/>
    <w:tmpl w:val="590A32BA"/>
    <w:lvl w:ilvl="0" w:tplc="02A61B7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33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300E1D"/>
    <w:multiLevelType w:val="hybridMultilevel"/>
    <w:tmpl w:val="60D6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24BA3"/>
    <w:multiLevelType w:val="hybridMultilevel"/>
    <w:tmpl w:val="CF1280E0"/>
    <w:lvl w:ilvl="0" w:tplc="9B467B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64DE9"/>
    <w:multiLevelType w:val="hybridMultilevel"/>
    <w:tmpl w:val="342A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C1803"/>
    <w:multiLevelType w:val="hybridMultilevel"/>
    <w:tmpl w:val="BA967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7C465E"/>
    <w:multiLevelType w:val="hybridMultilevel"/>
    <w:tmpl w:val="7F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D56E8"/>
    <w:multiLevelType w:val="hybridMultilevel"/>
    <w:tmpl w:val="760E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44041"/>
    <w:multiLevelType w:val="hybridMultilevel"/>
    <w:tmpl w:val="8A76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32831"/>
    <w:multiLevelType w:val="hybridMultilevel"/>
    <w:tmpl w:val="1AE2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D6385"/>
    <w:multiLevelType w:val="hybridMultilevel"/>
    <w:tmpl w:val="CD745098"/>
    <w:lvl w:ilvl="0" w:tplc="2C4CA4AA">
      <w:start w:val="1"/>
      <w:numFmt w:val="lowerLetter"/>
      <w:pStyle w:val="ListNumberLevel2"/>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79447748"/>
    <w:multiLevelType w:val="multilevel"/>
    <w:tmpl w:val="3A64967C"/>
    <w:lvl w:ilvl="0">
      <w:start w:val="1"/>
      <w:numFmt w:val="decimal"/>
      <w:lvlText w:val="%1."/>
      <w:lvlJc w:val="left"/>
      <w:pPr>
        <w:ind w:left="720" w:hanging="360"/>
      </w:pPr>
      <w:rPr>
        <w:rFonts w:ascii="Arial" w:hAnsi="Arial" w:cs="Arial" w:hint="default"/>
        <w:sz w:val="24"/>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FE0211"/>
    <w:multiLevelType w:val="hybridMultilevel"/>
    <w:tmpl w:val="E0F4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5"/>
  </w:num>
  <w:num w:numId="5">
    <w:abstractNumId w:val="7"/>
  </w:num>
  <w:num w:numId="6">
    <w:abstractNumId w:val="4"/>
  </w:num>
  <w:num w:numId="7">
    <w:abstractNumId w:val="9"/>
  </w:num>
  <w:num w:numId="8">
    <w:abstractNumId w:val="8"/>
  </w:num>
  <w:num w:numId="9">
    <w:abstractNumId w:val="1"/>
  </w:num>
  <w:num w:numId="10">
    <w:abstractNumId w:val="13"/>
  </w:num>
  <w:num w:numId="11">
    <w:abstractNumId w:val="11"/>
  </w:num>
  <w:num w:numId="12">
    <w:abstractNumId w:val="16"/>
  </w:num>
  <w:num w:numId="13">
    <w:abstractNumId w:val="6"/>
  </w:num>
  <w:num w:numId="14">
    <w:abstractNumId w:val="12"/>
  </w:num>
  <w:num w:numId="15">
    <w:abstractNumId w:val="10"/>
  </w:num>
  <w:num w:numId="16">
    <w:abstractNumId w:val="2"/>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6895"/>
    <w:rsid w:val="0000332C"/>
    <w:rsid w:val="0001751D"/>
    <w:rsid w:val="00020EDC"/>
    <w:rsid w:val="00030141"/>
    <w:rsid w:val="00036440"/>
    <w:rsid w:val="00037702"/>
    <w:rsid w:val="00042B37"/>
    <w:rsid w:val="00042E00"/>
    <w:rsid w:val="00046A70"/>
    <w:rsid w:val="00047F4F"/>
    <w:rsid w:val="0005099F"/>
    <w:rsid w:val="000522A6"/>
    <w:rsid w:val="000554C6"/>
    <w:rsid w:val="00056702"/>
    <w:rsid w:val="00065138"/>
    <w:rsid w:val="00066286"/>
    <w:rsid w:val="00097EED"/>
    <w:rsid w:val="000A10AD"/>
    <w:rsid w:val="000B4571"/>
    <w:rsid w:val="000B57D7"/>
    <w:rsid w:val="000C0888"/>
    <w:rsid w:val="000C27B6"/>
    <w:rsid w:val="000C677C"/>
    <w:rsid w:val="000D5FC9"/>
    <w:rsid w:val="000E01DB"/>
    <w:rsid w:val="000E072C"/>
    <w:rsid w:val="000E1F7C"/>
    <w:rsid w:val="000E217E"/>
    <w:rsid w:val="000F2DDD"/>
    <w:rsid w:val="000F3D83"/>
    <w:rsid w:val="000F4C25"/>
    <w:rsid w:val="000F52E8"/>
    <w:rsid w:val="00103705"/>
    <w:rsid w:val="00120353"/>
    <w:rsid w:val="0013035A"/>
    <w:rsid w:val="00130F8F"/>
    <w:rsid w:val="001317E1"/>
    <w:rsid w:val="0013653D"/>
    <w:rsid w:val="00140086"/>
    <w:rsid w:val="001421A9"/>
    <w:rsid w:val="0014618B"/>
    <w:rsid w:val="00151265"/>
    <w:rsid w:val="00161326"/>
    <w:rsid w:val="00165085"/>
    <w:rsid w:val="00166C2E"/>
    <w:rsid w:val="001A2DB3"/>
    <w:rsid w:val="001B09D2"/>
    <w:rsid w:val="001B25FB"/>
    <w:rsid w:val="001B3113"/>
    <w:rsid w:val="001B36B9"/>
    <w:rsid w:val="001C7A3E"/>
    <w:rsid w:val="001D0782"/>
    <w:rsid w:val="001D7F1B"/>
    <w:rsid w:val="001E1C71"/>
    <w:rsid w:val="001E565A"/>
    <w:rsid w:val="001E7696"/>
    <w:rsid w:val="001E7B76"/>
    <w:rsid w:val="001F0795"/>
    <w:rsid w:val="001F4A9C"/>
    <w:rsid w:val="001F5AC3"/>
    <w:rsid w:val="00212431"/>
    <w:rsid w:val="00222AA3"/>
    <w:rsid w:val="00222F1F"/>
    <w:rsid w:val="002252B1"/>
    <w:rsid w:val="0022726C"/>
    <w:rsid w:val="0023161A"/>
    <w:rsid w:val="002434AE"/>
    <w:rsid w:val="00244BA7"/>
    <w:rsid w:val="00247B71"/>
    <w:rsid w:val="00251DF5"/>
    <w:rsid w:val="00265748"/>
    <w:rsid w:val="00277236"/>
    <w:rsid w:val="00284EB1"/>
    <w:rsid w:val="00287B36"/>
    <w:rsid w:val="00287D93"/>
    <w:rsid w:val="00295C9B"/>
    <w:rsid w:val="002C5D85"/>
    <w:rsid w:val="002D0948"/>
    <w:rsid w:val="002D3379"/>
    <w:rsid w:val="002D4369"/>
    <w:rsid w:val="002D58C7"/>
    <w:rsid w:val="002E56A9"/>
    <w:rsid w:val="002E6808"/>
    <w:rsid w:val="002F0FE4"/>
    <w:rsid w:val="002F62E7"/>
    <w:rsid w:val="002F6C9F"/>
    <w:rsid w:val="0030572A"/>
    <w:rsid w:val="003076A1"/>
    <w:rsid w:val="0031021E"/>
    <w:rsid w:val="003136C5"/>
    <w:rsid w:val="00314F48"/>
    <w:rsid w:val="003206A2"/>
    <w:rsid w:val="003210AF"/>
    <w:rsid w:val="003230C9"/>
    <w:rsid w:val="003265B1"/>
    <w:rsid w:val="0032796E"/>
    <w:rsid w:val="00341068"/>
    <w:rsid w:val="00341F7C"/>
    <w:rsid w:val="00344CAA"/>
    <w:rsid w:val="00346516"/>
    <w:rsid w:val="00347607"/>
    <w:rsid w:val="00353E94"/>
    <w:rsid w:val="00356739"/>
    <w:rsid w:val="00357977"/>
    <w:rsid w:val="003646CB"/>
    <w:rsid w:val="003646E5"/>
    <w:rsid w:val="00365896"/>
    <w:rsid w:val="0037355B"/>
    <w:rsid w:val="00374B92"/>
    <w:rsid w:val="00377503"/>
    <w:rsid w:val="00383ED1"/>
    <w:rsid w:val="0039151E"/>
    <w:rsid w:val="00391898"/>
    <w:rsid w:val="003A78D6"/>
    <w:rsid w:val="003B3FFD"/>
    <w:rsid w:val="003B5591"/>
    <w:rsid w:val="003B6C0A"/>
    <w:rsid w:val="003B72A1"/>
    <w:rsid w:val="003D1D65"/>
    <w:rsid w:val="003D31BB"/>
    <w:rsid w:val="003F4A31"/>
    <w:rsid w:val="00400C8E"/>
    <w:rsid w:val="004051E1"/>
    <w:rsid w:val="00406EA0"/>
    <w:rsid w:val="00412514"/>
    <w:rsid w:val="004252ED"/>
    <w:rsid w:val="00430597"/>
    <w:rsid w:val="00434246"/>
    <w:rsid w:val="00434424"/>
    <w:rsid w:val="00435952"/>
    <w:rsid w:val="0044006E"/>
    <w:rsid w:val="0044289E"/>
    <w:rsid w:val="00450D86"/>
    <w:rsid w:val="00452C73"/>
    <w:rsid w:val="004536D0"/>
    <w:rsid w:val="004676DD"/>
    <w:rsid w:val="00473586"/>
    <w:rsid w:val="00473E78"/>
    <w:rsid w:val="00474FBC"/>
    <w:rsid w:val="00480A10"/>
    <w:rsid w:val="00492D33"/>
    <w:rsid w:val="00494704"/>
    <w:rsid w:val="0049761E"/>
    <w:rsid w:val="004B0ED5"/>
    <w:rsid w:val="004B42B8"/>
    <w:rsid w:val="004B4B9F"/>
    <w:rsid w:val="004B5D46"/>
    <w:rsid w:val="004C457F"/>
    <w:rsid w:val="004C5861"/>
    <w:rsid w:val="004D2953"/>
    <w:rsid w:val="004D57BE"/>
    <w:rsid w:val="004D5CFB"/>
    <w:rsid w:val="004E0862"/>
    <w:rsid w:val="005015CA"/>
    <w:rsid w:val="0051122C"/>
    <w:rsid w:val="005212B0"/>
    <w:rsid w:val="00523E2D"/>
    <w:rsid w:val="005257AF"/>
    <w:rsid w:val="00535765"/>
    <w:rsid w:val="00537EC8"/>
    <w:rsid w:val="00541237"/>
    <w:rsid w:val="00555B08"/>
    <w:rsid w:val="00585192"/>
    <w:rsid w:val="00586E8A"/>
    <w:rsid w:val="005A512B"/>
    <w:rsid w:val="005A5A9A"/>
    <w:rsid w:val="005B1428"/>
    <w:rsid w:val="005B6436"/>
    <w:rsid w:val="005C3931"/>
    <w:rsid w:val="005D2296"/>
    <w:rsid w:val="005D6F1D"/>
    <w:rsid w:val="005D737B"/>
    <w:rsid w:val="005E035D"/>
    <w:rsid w:val="005E09D9"/>
    <w:rsid w:val="005E7D8D"/>
    <w:rsid w:val="005F36F5"/>
    <w:rsid w:val="005F3E65"/>
    <w:rsid w:val="00604BCE"/>
    <w:rsid w:val="00610F6A"/>
    <w:rsid w:val="00612896"/>
    <w:rsid w:val="00613C15"/>
    <w:rsid w:val="00620023"/>
    <w:rsid w:val="00630946"/>
    <w:rsid w:val="006312F1"/>
    <w:rsid w:val="00633F3C"/>
    <w:rsid w:val="00635700"/>
    <w:rsid w:val="006407FD"/>
    <w:rsid w:val="0064141F"/>
    <w:rsid w:val="00641F68"/>
    <w:rsid w:val="00643ED7"/>
    <w:rsid w:val="00645D21"/>
    <w:rsid w:val="00647B1D"/>
    <w:rsid w:val="006550DB"/>
    <w:rsid w:val="00655329"/>
    <w:rsid w:val="00657D8E"/>
    <w:rsid w:val="00670D03"/>
    <w:rsid w:val="00675CCD"/>
    <w:rsid w:val="00676E5A"/>
    <w:rsid w:val="00676F84"/>
    <w:rsid w:val="00682774"/>
    <w:rsid w:val="0068446D"/>
    <w:rsid w:val="00687019"/>
    <w:rsid w:val="00695648"/>
    <w:rsid w:val="00696737"/>
    <w:rsid w:val="006A196A"/>
    <w:rsid w:val="006A34F7"/>
    <w:rsid w:val="006B19F2"/>
    <w:rsid w:val="006B206D"/>
    <w:rsid w:val="006B275A"/>
    <w:rsid w:val="006B3B56"/>
    <w:rsid w:val="006B787F"/>
    <w:rsid w:val="006C1FA7"/>
    <w:rsid w:val="006D32EE"/>
    <w:rsid w:val="006E7DE6"/>
    <w:rsid w:val="006F31A0"/>
    <w:rsid w:val="006F374D"/>
    <w:rsid w:val="00700169"/>
    <w:rsid w:val="00705CD4"/>
    <w:rsid w:val="0070669B"/>
    <w:rsid w:val="00712891"/>
    <w:rsid w:val="00712916"/>
    <w:rsid w:val="00737C2B"/>
    <w:rsid w:val="00737DC1"/>
    <w:rsid w:val="007429D7"/>
    <w:rsid w:val="007439D2"/>
    <w:rsid w:val="00750CE2"/>
    <w:rsid w:val="0075270A"/>
    <w:rsid w:val="007570D5"/>
    <w:rsid w:val="00763B68"/>
    <w:rsid w:val="00763D14"/>
    <w:rsid w:val="00764319"/>
    <w:rsid w:val="0076581B"/>
    <w:rsid w:val="00772A85"/>
    <w:rsid w:val="007756AB"/>
    <w:rsid w:val="00777569"/>
    <w:rsid w:val="0078659F"/>
    <w:rsid w:val="00792E78"/>
    <w:rsid w:val="007B5F4F"/>
    <w:rsid w:val="007B6EE0"/>
    <w:rsid w:val="007C0846"/>
    <w:rsid w:val="007D37BF"/>
    <w:rsid w:val="007D6D95"/>
    <w:rsid w:val="007F0D1F"/>
    <w:rsid w:val="007F11C6"/>
    <w:rsid w:val="007F18C1"/>
    <w:rsid w:val="007F64CF"/>
    <w:rsid w:val="008046DB"/>
    <w:rsid w:val="00824DE2"/>
    <w:rsid w:val="008318E3"/>
    <w:rsid w:val="00834545"/>
    <w:rsid w:val="00842251"/>
    <w:rsid w:val="0084514F"/>
    <w:rsid w:val="00851670"/>
    <w:rsid w:val="00862038"/>
    <w:rsid w:val="00863D83"/>
    <w:rsid w:val="008734F7"/>
    <w:rsid w:val="00873679"/>
    <w:rsid w:val="00876810"/>
    <w:rsid w:val="00886561"/>
    <w:rsid w:val="00895617"/>
    <w:rsid w:val="00897DAA"/>
    <w:rsid w:val="008A00AF"/>
    <w:rsid w:val="008A43D0"/>
    <w:rsid w:val="008B4812"/>
    <w:rsid w:val="008C52DF"/>
    <w:rsid w:val="008C6CB9"/>
    <w:rsid w:val="008C7AE1"/>
    <w:rsid w:val="008D0BF0"/>
    <w:rsid w:val="008D1FA2"/>
    <w:rsid w:val="008D2204"/>
    <w:rsid w:val="008D3317"/>
    <w:rsid w:val="008D39A3"/>
    <w:rsid w:val="008D4B5B"/>
    <w:rsid w:val="008D4F94"/>
    <w:rsid w:val="008E2A69"/>
    <w:rsid w:val="008E3AF4"/>
    <w:rsid w:val="008E421D"/>
    <w:rsid w:val="008F0312"/>
    <w:rsid w:val="008F1FC4"/>
    <w:rsid w:val="00920F00"/>
    <w:rsid w:val="00924748"/>
    <w:rsid w:val="00924ED9"/>
    <w:rsid w:val="00925678"/>
    <w:rsid w:val="009376E7"/>
    <w:rsid w:val="00946CD7"/>
    <w:rsid w:val="009531B0"/>
    <w:rsid w:val="009675FA"/>
    <w:rsid w:val="00970207"/>
    <w:rsid w:val="00972D3A"/>
    <w:rsid w:val="00973F40"/>
    <w:rsid w:val="00981AD6"/>
    <w:rsid w:val="00986415"/>
    <w:rsid w:val="009924B5"/>
    <w:rsid w:val="0099331A"/>
    <w:rsid w:val="0099488F"/>
    <w:rsid w:val="00996202"/>
    <w:rsid w:val="009A1527"/>
    <w:rsid w:val="009A69C9"/>
    <w:rsid w:val="009B1D75"/>
    <w:rsid w:val="009B4008"/>
    <w:rsid w:val="009B411B"/>
    <w:rsid w:val="009B5E49"/>
    <w:rsid w:val="009C2E01"/>
    <w:rsid w:val="009C5096"/>
    <w:rsid w:val="009D0764"/>
    <w:rsid w:val="009D313C"/>
    <w:rsid w:val="009D4DC6"/>
    <w:rsid w:val="009D715F"/>
    <w:rsid w:val="009F0F8C"/>
    <w:rsid w:val="009F2F7B"/>
    <w:rsid w:val="009F3377"/>
    <w:rsid w:val="009F362D"/>
    <w:rsid w:val="00A01886"/>
    <w:rsid w:val="00A11EDB"/>
    <w:rsid w:val="00A1627B"/>
    <w:rsid w:val="00A24AA2"/>
    <w:rsid w:val="00A32BCF"/>
    <w:rsid w:val="00A33D31"/>
    <w:rsid w:val="00A47030"/>
    <w:rsid w:val="00A508F3"/>
    <w:rsid w:val="00A53278"/>
    <w:rsid w:val="00A55CD1"/>
    <w:rsid w:val="00A6109E"/>
    <w:rsid w:val="00A6336E"/>
    <w:rsid w:val="00A64B5D"/>
    <w:rsid w:val="00A70B9A"/>
    <w:rsid w:val="00A7195C"/>
    <w:rsid w:val="00A73E58"/>
    <w:rsid w:val="00A82C9A"/>
    <w:rsid w:val="00A852F7"/>
    <w:rsid w:val="00A857C0"/>
    <w:rsid w:val="00A85F67"/>
    <w:rsid w:val="00A87616"/>
    <w:rsid w:val="00A91B82"/>
    <w:rsid w:val="00A94C9F"/>
    <w:rsid w:val="00A9654B"/>
    <w:rsid w:val="00AA0E33"/>
    <w:rsid w:val="00AB2D2E"/>
    <w:rsid w:val="00AB36E6"/>
    <w:rsid w:val="00AC0013"/>
    <w:rsid w:val="00AC3DEE"/>
    <w:rsid w:val="00AC4AD8"/>
    <w:rsid w:val="00AD4553"/>
    <w:rsid w:val="00AD7F5E"/>
    <w:rsid w:val="00AF28BD"/>
    <w:rsid w:val="00B10124"/>
    <w:rsid w:val="00B14C2D"/>
    <w:rsid w:val="00B256FC"/>
    <w:rsid w:val="00B31244"/>
    <w:rsid w:val="00B321B5"/>
    <w:rsid w:val="00B35731"/>
    <w:rsid w:val="00B43CBC"/>
    <w:rsid w:val="00B504E4"/>
    <w:rsid w:val="00B50EF9"/>
    <w:rsid w:val="00B52E25"/>
    <w:rsid w:val="00B53023"/>
    <w:rsid w:val="00B54C55"/>
    <w:rsid w:val="00B57F15"/>
    <w:rsid w:val="00B65021"/>
    <w:rsid w:val="00B6529A"/>
    <w:rsid w:val="00B67D3D"/>
    <w:rsid w:val="00B7033B"/>
    <w:rsid w:val="00B76EF1"/>
    <w:rsid w:val="00B820F1"/>
    <w:rsid w:val="00B84539"/>
    <w:rsid w:val="00B9005B"/>
    <w:rsid w:val="00BA1BA3"/>
    <w:rsid w:val="00BA6D13"/>
    <w:rsid w:val="00BB29F6"/>
    <w:rsid w:val="00BB498A"/>
    <w:rsid w:val="00BB7D7B"/>
    <w:rsid w:val="00BC1D60"/>
    <w:rsid w:val="00BD0949"/>
    <w:rsid w:val="00BD4C52"/>
    <w:rsid w:val="00BE411E"/>
    <w:rsid w:val="00BE439C"/>
    <w:rsid w:val="00BF05D8"/>
    <w:rsid w:val="00BF0E7F"/>
    <w:rsid w:val="00BF2786"/>
    <w:rsid w:val="00BF2EEB"/>
    <w:rsid w:val="00BF5795"/>
    <w:rsid w:val="00BF7582"/>
    <w:rsid w:val="00C0282C"/>
    <w:rsid w:val="00C06F3D"/>
    <w:rsid w:val="00C10A7C"/>
    <w:rsid w:val="00C15A12"/>
    <w:rsid w:val="00C15A20"/>
    <w:rsid w:val="00C20130"/>
    <w:rsid w:val="00C21B2C"/>
    <w:rsid w:val="00C419C2"/>
    <w:rsid w:val="00C44398"/>
    <w:rsid w:val="00C449FE"/>
    <w:rsid w:val="00C47244"/>
    <w:rsid w:val="00C61F88"/>
    <w:rsid w:val="00C64F11"/>
    <w:rsid w:val="00C65CC4"/>
    <w:rsid w:val="00C66531"/>
    <w:rsid w:val="00C74135"/>
    <w:rsid w:val="00C77985"/>
    <w:rsid w:val="00C801AB"/>
    <w:rsid w:val="00C80D04"/>
    <w:rsid w:val="00C874A4"/>
    <w:rsid w:val="00CA0059"/>
    <w:rsid w:val="00CC3096"/>
    <w:rsid w:val="00CC542C"/>
    <w:rsid w:val="00CD2062"/>
    <w:rsid w:val="00CD702E"/>
    <w:rsid w:val="00CE2A93"/>
    <w:rsid w:val="00CE2AC5"/>
    <w:rsid w:val="00CF6E62"/>
    <w:rsid w:val="00CF6E90"/>
    <w:rsid w:val="00D04601"/>
    <w:rsid w:val="00D1228F"/>
    <w:rsid w:val="00D12BD2"/>
    <w:rsid w:val="00D3077C"/>
    <w:rsid w:val="00D4584F"/>
    <w:rsid w:val="00D459E7"/>
    <w:rsid w:val="00D56E54"/>
    <w:rsid w:val="00D619ED"/>
    <w:rsid w:val="00D624ED"/>
    <w:rsid w:val="00D67FDF"/>
    <w:rsid w:val="00D72A20"/>
    <w:rsid w:val="00D736DD"/>
    <w:rsid w:val="00D92C00"/>
    <w:rsid w:val="00D94ABB"/>
    <w:rsid w:val="00DA0732"/>
    <w:rsid w:val="00DA409C"/>
    <w:rsid w:val="00DA6AF4"/>
    <w:rsid w:val="00DB1292"/>
    <w:rsid w:val="00DD7E70"/>
    <w:rsid w:val="00DE1CB5"/>
    <w:rsid w:val="00DE4AC4"/>
    <w:rsid w:val="00DF0834"/>
    <w:rsid w:val="00DF1258"/>
    <w:rsid w:val="00E000A6"/>
    <w:rsid w:val="00E04225"/>
    <w:rsid w:val="00E1115B"/>
    <w:rsid w:val="00E128D6"/>
    <w:rsid w:val="00E13A3B"/>
    <w:rsid w:val="00E270F3"/>
    <w:rsid w:val="00E27668"/>
    <w:rsid w:val="00E3101F"/>
    <w:rsid w:val="00E32418"/>
    <w:rsid w:val="00E35603"/>
    <w:rsid w:val="00E3667D"/>
    <w:rsid w:val="00E45820"/>
    <w:rsid w:val="00E4710B"/>
    <w:rsid w:val="00E557C7"/>
    <w:rsid w:val="00E62181"/>
    <w:rsid w:val="00E6222A"/>
    <w:rsid w:val="00E65D2D"/>
    <w:rsid w:val="00E73C07"/>
    <w:rsid w:val="00E74402"/>
    <w:rsid w:val="00E8517B"/>
    <w:rsid w:val="00E85DA7"/>
    <w:rsid w:val="00E86AF7"/>
    <w:rsid w:val="00E90EEB"/>
    <w:rsid w:val="00E90F43"/>
    <w:rsid w:val="00E91640"/>
    <w:rsid w:val="00E929E8"/>
    <w:rsid w:val="00E94D54"/>
    <w:rsid w:val="00E97783"/>
    <w:rsid w:val="00EA7B87"/>
    <w:rsid w:val="00EB01E9"/>
    <w:rsid w:val="00EB2DCD"/>
    <w:rsid w:val="00EB307B"/>
    <w:rsid w:val="00EC18E5"/>
    <w:rsid w:val="00EC4754"/>
    <w:rsid w:val="00EC6E76"/>
    <w:rsid w:val="00ED1774"/>
    <w:rsid w:val="00ED5076"/>
    <w:rsid w:val="00ED546F"/>
    <w:rsid w:val="00ED6A53"/>
    <w:rsid w:val="00ED7187"/>
    <w:rsid w:val="00EE54D4"/>
    <w:rsid w:val="00EF4134"/>
    <w:rsid w:val="00F01196"/>
    <w:rsid w:val="00F04124"/>
    <w:rsid w:val="00F13FD7"/>
    <w:rsid w:val="00F257DF"/>
    <w:rsid w:val="00F26FA0"/>
    <w:rsid w:val="00F402A2"/>
    <w:rsid w:val="00F41666"/>
    <w:rsid w:val="00F54DFE"/>
    <w:rsid w:val="00F55005"/>
    <w:rsid w:val="00F5748D"/>
    <w:rsid w:val="00F620E8"/>
    <w:rsid w:val="00F628DC"/>
    <w:rsid w:val="00F7025C"/>
    <w:rsid w:val="00F73623"/>
    <w:rsid w:val="00F97459"/>
    <w:rsid w:val="00FA4947"/>
    <w:rsid w:val="00FA6895"/>
    <w:rsid w:val="00FA7E97"/>
    <w:rsid w:val="00FB0448"/>
    <w:rsid w:val="00FB2BE3"/>
    <w:rsid w:val="00FB4489"/>
    <w:rsid w:val="00FC5B8F"/>
    <w:rsid w:val="00FD052A"/>
    <w:rsid w:val="00FD1D96"/>
    <w:rsid w:val="00FD4C08"/>
    <w:rsid w:val="00FD5189"/>
    <w:rsid w:val="00FE1FB8"/>
    <w:rsid w:val="00FF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4A5043"/>
  <w15:docId w15:val="{4AEADCB7-C4A9-4BD1-95EE-BACF08B0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95"/>
    <w:rPr>
      <w:rFonts w:ascii="Times New Roman" w:eastAsia="Times New Roman" w:hAnsi="Times New Roman"/>
      <w:sz w:val="24"/>
      <w:szCs w:val="24"/>
    </w:rPr>
  </w:style>
  <w:style w:type="paragraph" w:styleId="Heading1">
    <w:name w:val="heading 1"/>
    <w:basedOn w:val="Normal"/>
    <w:link w:val="Heading1Char"/>
    <w:uiPriority w:val="9"/>
    <w:qFormat/>
    <w:rsid w:val="00F5748D"/>
    <w:pPr>
      <w:spacing w:before="100" w:beforeAutospacing="1" w:after="100" w:afterAutospacing="1"/>
      <w:outlineLvl w:val="0"/>
    </w:pPr>
    <w:rPr>
      <w:b/>
      <w:bCs/>
      <w:kern w:val="36"/>
      <w:sz w:val="48"/>
      <w:szCs w:val="48"/>
    </w:rPr>
  </w:style>
  <w:style w:type="paragraph" w:styleId="Heading3">
    <w:name w:val="heading 3"/>
    <w:aliases w:val="Centered, Centered"/>
    <w:basedOn w:val="Normal"/>
    <w:next w:val="Normal"/>
    <w:link w:val="Heading3Char"/>
    <w:qFormat/>
    <w:rsid w:val="003136C5"/>
    <w:pPr>
      <w:keepNext/>
      <w:suppressAutoHyphens/>
      <w:spacing w:before="240" w:after="60"/>
      <w:jc w:val="both"/>
      <w:outlineLvl w:val="2"/>
    </w:pPr>
    <w:rPr>
      <w:rFonts w:cs="Arial"/>
      <w:b/>
      <w:bCs/>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Level2">
    <w:name w:val="List Number (Level 2)"/>
    <w:basedOn w:val="Normal"/>
    <w:rsid w:val="00FA6895"/>
    <w:pPr>
      <w:numPr>
        <w:numId w:val="1"/>
      </w:numPr>
      <w:spacing w:after="120"/>
      <w:jc w:val="both"/>
    </w:pPr>
    <w:rPr>
      <w:lang w:val="en-GB" w:eastAsia="zh-CN"/>
    </w:rPr>
  </w:style>
  <w:style w:type="paragraph" w:styleId="BalloonText">
    <w:name w:val="Balloon Text"/>
    <w:basedOn w:val="Normal"/>
    <w:link w:val="BalloonTextChar"/>
    <w:uiPriority w:val="99"/>
    <w:semiHidden/>
    <w:unhideWhenUsed/>
    <w:rsid w:val="00FA6895"/>
    <w:rPr>
      <w:rFonts w:ascii="Tahoma" w:hAnsi="Tahoma"/>
      <w:sz w:val="16"/>
      <w:szCs w:val="16"/>
    </w:rPr>
  </w:style>
  <w:style w:type="character" w:customStyle="1" w:styleId="BalloonTextChar">
    <w:name w:val="Balloon Text Char"/>
    <w:link w:val="BalloonText"/>
    <w:uiPriority w:val="99"/>
    <w:semiHidden/>
    <w:rsid w:val="00FA6895"/>
    <w:rPr>
      <w:rFonts w:ascii="Tahoma" w:eastAsia="Times New Roman" w:hAnsi="Tahoma" w:cs="Tahoma"/>
      <w:sz w:val="16"/>
      <w:szCs w:val="16"/>
      <w:lang w:val="en-US"/>
    </w:rPr>
  </w:style>
  <w:style w:type="paragraph" w:customStyle="1" w:styleId="Default">
    <w:name w:val="Default"/>
    <w:rsid w:val="00287B36"/>
    <w:pPr>
      <w:autoSpaceDE w:val="0"/>
      <w:autoSpaceDN w:val="0"/>
      <w:adjustRightInd w:val="0"/>
    </w:pPr>
    <w:rPr>
      <w:rFonts w:ascii="Myriad Pro" w:eastAsia="Times New Roman" w:hAnsi="Myriad Pro" w:cs="Myriad Pro"/>
      <w:color w:val="000000"/>
      <w:sz w:val="24"/>
      <w:szCs w:val="24"/>
    </w:rPr>
  </w:style>
  <w:style w:type="paragraph" w:styleId="Caption">
    <w:name w:val="caption"/>
    <w:basedOn w:val="Normal"/>
    <w:next w:val="Normal"/>
    <w:uiPriority w:val="35"/>
    <w:unhideWhenUsed/>
    <w:qFormat/>
    <w:rsid w:val="00876810"/>
    <w:rPr>
      <w:b/>
      <w:bCs/>
      <w:sz w:val="20"/>
      <w:szCs w:val="20"/>
    </w:rPr>
  </w:style>
  <w:style w:type="paragraph" w:styleId="FootnoteText">
    <w:name w:val="footnote text"/>
    <w:aliases w:val="single space,footnote text,Fußnote,Footnote,WB-Fußnotentext,WB-Fußnotentext Char Char,Fußnotentext Char,Footnote Text Char Char Char,Footnote Text Char Char,Fußnotentext arial,fn,Schriftart: 9 pt,Schriftart: 10 pt,Schriftart: 8 pt,Fußno,f"/>
    <w:basedOn w:val="Normal"/>
    <w:link w:val="FootnoteTextChar"/>
    <w:unhideWhenUsed/>
    <w:rsid w:val="006407FD"/>
    <w:rPr>
      <w:sz w:val="20"/>
      <w:szCs w:val="20"/>
    </w:rPr>
  </w:style>
  <w:style w:type="character" w:customStyle="1" w:styleId="FootnoteTextChar">
    <w:name w:val="Footnote Text Char"/>
    <w:aliases w:val="single space Char,footnote text Char,Fußnote Char,Footnote Char,WB-Fußnotentext Char,WB-Fußnotentext Char Char Char,Fußnotentext Char Char,Footnote Text Char Char Char Char,Footnote Text Char Char Char1,Fußnotentext arial Char,fn Char"/>
    <w:link w:val="FootnoteText"/>
    <w:rsid w:val="006407FD"/>
    <w:rPr>
      <w:rFonts w:ascii="Times New Roman" w:eastAsia="Times New Roman" w:hAnsi="Times New Roman"/>
      <w:lang w:val="en-US" w:eastAsia="en-US"/>
    </w:rPr>
  </w:style>
  <w:style w:type="character" w:styleId="FootnoteReference">
    <w:name w:val="footnote reference"/>
    <w:aliases w:val="ftref,BVI fnr,16 Point,Superscript 6 Point,Footnote Reference Number,Ref,de nota al pie,(NECG) Footnote Reference,Footnote number,SUPERS,Footnote symbol,Char1 Char Char Char Char, Char1 Char Char Char Char,Fußnotenzeichen DISS"/>
    <w:unhideWhenUsed/>
    <w:qFormat/>
    <w:rsid w:val="006407FD"/>
    <w:rPr>
      <w:vertAlign w:val="superscript"/>
    </w:rPr>
  </w:style>
  <w:style w:type="character" w:customStyle="1" w:styleId="Heading1Char">
    <w:name w:val="Heading 1 Char"/>
    <w:link w:val="Heading1"/>
    <w:uiPriority w:val="9"/>
    <w:rsid w:val="00F5748D"/>
    <w:rPr>
      <w:rFonts w:ascii="Times New Roman" w:eastAsia="Times New Roman" w:hAnsi="Times New Roman"/>
      <w:b/>
      <w:bCs/>
      <w:kern w:val="36"/>
      <w:sz w:val="48"/>
      <w:szCs w:val="48"/>
      <w:lang w:val="en-US" w:eastAsia="en-US"/>
    </w:rPr>
  </w:style>
  <w:style w:type="paragraph" w:styleId="Header">
    <w:name w:val="header"/>
    <w:basedOn w:val="Normal"/>
    <w:link w:val="HeaderChar"/>
    <w:uiPriority w:val="99"/>
    <w:rsid w:val="00277236"/>
    <w:pPr>
      <w:tabs>
        <w:tab w:val="center" w:pos="4153"/>
        <w:tab w:val="right" w:pos="8306"/>
      </w:tabs>
    </w:pPr>
    <w:rPr>
      <w:lang w:val="en-GB" w:eastAsia="en-GB"/>
    </w:rPr>
  </w:style>
  <w:style w:type="character" w:customStyle="1" w:styleId="HeaderChar">
    <w:name w:val="Header Char"/>
    <w:link w:val="Header"/>
    <w:uiPriority w:val="99"/>
    <w:rsid w:val="00277236"/>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277236"/>
    <w:pPr>
      <w:tabs>
        <w:tab w:val="center" w:pos="4513"/>
        <w:tab w:val="right" w:pos="9026"/>
      </w:tabs>
    </w:pPr>
  </w:style>
  <w:style w:type="character" w:customStyle="1" w:styleId="FooterChar">
    <w:name w:val="Footer Char"/>
    <w:link w:val="Footer"/>
    <w:uiPriority w:val="99"/>
    <w:rsid w:val="00277236"/>
    <w:rPr>
      <w:rFonts w:ascii="Times New Roman" w:eastAsia="Times New Roman" w:hAnsi="Times New Roman"/>
      <w:sz w:val="24"/>
      <w:szCs w:val="24"/>
      <w:lang w:val="en-US" w:eastAsia="en-US"/>
    </w:rPr>
  </w:style>
  <w:style w:type="paragraph" w:customStyle="1" w:styleId="Char">
    <w:name w:val="Char"/>
    <w:basedOn w:val="Normal"/>
    <w:rsid w:val="00277236"/>
    <w:pPr>
      <w:spacing w:after="160" w:line="240" w:lineRule="exact"/>
    </w:pPr>
    <w:rPr>
      <w:rFonts w:ascii="Arial" w:hAnsi="Arial" w:cs="Arial"/>
      <w:noProof/>
      <w:sz w:val="20"/>
      <w:szCs w:val="20"/>
    </w:rPr>
  </w:style>
  <w:style w:type="paragraph" w:styleId="TOC1">
    <w:name w:val="toc 1"/>
    <w:basedOn w:val="Normal"/>
    <w:next w:val="Normal"/>
    <w:autoRedefine/>
    <w:uiPriority w:val="39"/>
    <w:unhideWhenUsed/>
    <w:rsid w:val="0099488F"/>
    <w:pPr>
      <w:tabs>
        <w:tab w:val="left" w:pos="426"/>
        <w:tab w:val="right" w:leader="dot" w:pos="9016"/>
      </w:tabs>
      <w:spacing w:before="120"/>
    </w:pPr>
  </w:style>
  <w:style w:type="paragraph" w:styleId="TOC3">
    <w:name w:val="toc 3"/>
    <w:basedOn w:val="Normal"/>
    <w:next w:val="Normal"/>
    <w:autoRedefine/>
    <w:uiPriority w:val="39"/>
    <w:unhideWhenUsed/>
    <w:rsid w:val="000B4571"/>
    <w:pPr>
      <w:tabs>
        <w:tab w:val="right" w:leader="dot" w:pos="9016"/>
      </w:tabs>
      <w:ind w:left="993"/>
    </w:pPr>
  </w:style>
  <w:style w:type="character" w:styleId="Hyperlink">
    <w:name w:val="Hyperlink"/>
    <w:uiPriority w:val="99"/>
    <w:unhideWhenUsed/>
    <w:rsid w:val="00F97459"/>
    <w:rPr>
      <w:color w:val="0000FF"/>
      <w:u w:val="single"/>
    </w:rPr>
  </w:style>
  <w:style w:type="table" w:styleId="TableGrid">
    <w:name w:val="Table Grid"/>
    <w:basedOn w:val="TableNormal"/>
    <w:rsid w:val="00F416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9488F"/>
    <w:pPr>
      <w:tabs>
        <w:tab w:val="right" w:leader="dot" w:pos="9016"/>
      </w:tabs>
      <w:spacing w:before="120"/>
      <w:ind w:left="425"/>
    </w:pPr>
  </w:style>
  <w:style w:type="paragraph" w:styleId="TableofFigures">
    <w:name w:val="table of figures"/>
    <w:basedOn w:val="Normal"/>
    <w:next w:val="Normal"/>
    <w:uiPriority w:val="99"/>
    <w:rsid w:val="00712891"/>
  </w:style>
  <w:style w:type="character" w:customStyle="1" w:styleId="prevod">
    <w:name w:val="prevod"/>
    <w:basedOn w:val="DefaultParagraphFont"/>
    <w:rsid w:val="00480A10"/>
  </w:style>
  <w:style w:type="paragraph" w:styleId="ListParagraph">
    <w:name w:val="List Paragraph"/>
    <w:basedOn w:val="Normal"/>
    <w:uiPriority w:val="99"/>
    <w:qFormat/>
    <w:rsid w:val="00494704"/>
    <w:pPr>
      <w:ind w:left="720"/>
    </w:pPr>
  </w:style>
  <w:style w:type="table" w:customStyle="1" w:styleId="TableGrid1">
    <w:name w:val="Table Grid1"/>
    <w:basedOn w:val="TableNormal"/>
    <w:next w:val="TableGrid"/>
    <w:uiPriority w:val="59"/>
    <w:rsid w:val="00A857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C18E5"/>
    <w:pPr>
      <w:spacing w:after="100" w:line="276" w:lineRule="auto"/>
      <w:ind w:left="660"/>
    </w:pPr>
    <w:rPr>
      <w:rFonts w:ascii="Calibri" w:hAnsi="Calibri"/>
      <w:sz w:val="22"/>
      <w:szCs w:val="22"/>
      <w:lang w:val="mk-MK" w:eastAsia="mk-MK"/>
    </w:rPr>
  </w:style>
  <w:style w:type="paragraph" w:styleId="TOC5">
    <w:name w:val="toc 5"/>
    <w:basedOn w:val="Normal"/>
    <w:next w:val="Normal"/>
    <w:autoRedefine/>
    <w:uiPriority w:val="39"/>
    <w:unhideWhenUsed/>
    <w:rsid w:val="00EC18E5"/>
    <w:pPr>
      <w:spacing w:after="100" w:line="276" w:lineRule="auto"/>
      <w:ind w:left="880"/>
    </w:pPr>
    <w:rPr>
      <w:rFonts w:ascii="Calibri" w:hAnsi="Calibri"/>
      <w:sz w:val="22"/>
      <w:szCs w:val="22"/>
      <w:lang w:val="mk-MK" w:eastAsia="mk-MK"/>
    </w:rPr>
  </w:style>
  <w:style w:type="paragraph" w:styleId="TOC6">
    <w:name w:val="toc 6"/>
    <w:basedOn w:val="Normal"/>
    <w:next w:val="Normal"/>
    <w:autoRedefine/>
    <w:uiPriority w:val="39"/>
    <w:unhideWhenUsed/>
    <w:rsid w:val="00EC18E5"/>
    <w:pPr>
      <w:spacing w:after="100" w:line="276" w:lineRule="auto"/>
      <w:ind w:left="1100"/>
    </w:pPr>
    <w:rPr>
      <w:rFonts w:ascii="Calibri" w:hAnsi="Calibri"/>
      <w:sz w:val="22"/>
      <w:szCs w:val="22"/>
      <w:lang w:val="mk-MK" w:eastAsia="mk-MK"/>
    </w:rPr>
  </w:style>
  <w:style w:type="paragraph" w:styleId="TOC7">
    <w:name w:val="toc 7"/>
    <w:basedOn w:val="Normal"/>
    <w:next w:val="Normal"/>
    <w:autoRedefine/>
    <w:uiPriority w:val="39"/>
    <w:unhideWhenUsed/>
    <w:rsid w:val="00EC18E5"/>
    <w:pPr>
      <w:spacing w:after="100" w:line="276" w:lineRule="auto"/>
      <w:ind w:left="1320"/>
    </w:pPr>
    <w:rPr>
      <w:rFonts w:ascii="Calibri" w:hAnsi="Calibri"/>
      <w:sz w:val="22"/>
      <w:szCs w:val="22"/>
      <w:lang w:val="mk-MK" w:eastAsia="mk-MK"/>
    </w:rPr>
  </w:style>
  <w:style w:type="paragraph" w:styleId="TOC8">
    <w:name w:val="toc 8"/>
    <w:basedOn w:val="Normal"/>
    <w:next w:val="Normal"/>
    <w:autoRedefine/>
    <w:uiPriority w:val="39"/>
    <w:unhideWhenUsed/>
    <w:rsid w:val="00EC18E5"/>
    <w:pPr>
      <w:spacing w:after="100" w:line="276" w:lineRule="auto"/>
      <w:ind w:left="1540"/>
    </w:pPr>
    <w:rPr>
      <w:rFonts w:ascii="Calibri" w:hAnsi="Calibri"/>
      <w:sz w:val="22"/>
      <w:szCs w:val="22"/>
      <w:lang w:val="mk-MK" w:eastAsia="mk-MK"/>
    </w:rPr>
  </w:style>
  <w:style w:type="paragraph" w:styleId="TOC9">
    <w:name w:val="toc 9"/>
    <w:basedOn w:val="Normal"/>
    <w:next w:val="Normal"/>
    <w:autoRedefine/>
    <w:uiPriority w:val="39"/>
    <w:unhideWhenUsed/>
    <w:rsid w:val="00EC18E5"/>
    <w:pPr>
      <w:spacing w:after="100" w:line="276" w:lineRule="auto"/>
      <w:ind w:left="1760"/>
    </w:pPr>
    <w:rPr>
      <w:rFonts w:ascii="Calibri" w:hAnsi="Calibri"/>
      <w:sz w:val="22"/>
      <w:szCs w:val="22"/>
      <w:lang w:val="mk-MK" w:eastAsia="mk-MK"/>
    </w:rPr>
  </w:style>
  <w:style w:type="paragraph" w:styleId="Title">
    <w:name w:val="Title"/>
    <w:basedOn w:val="Normal"/>
    <w:next w:val="Normal"/>
    <w:link w:val="TitleChar"/>
    <w:uiPriority w:val="10"/>
    <w:qFormat/>
    <w:rsid w:val="00FB0448"/>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B0448"/>
    <w:rPr>
      <w:rFonts w:ascii="Calibri Light" w:eastAsia="Times New Roman" w:hAnsi="Calibri Light" w:cs="Times New Roman"/>
      <w:b/>
      <w:bCs/>
      <w:kern w:val="28"/>
      <w:sz w:val="32"/>
      <w:szCs w:val="32"/>
    </w:rPr>
  </w:style>
  <w:style w:type="character" w:customStyle="1" w:styleId="Heading3Char">
    <w:name w:val="Heading 3 Char"/>
    <w:aliases w:val="Centered Char, Centered Char"/>
    <w:basedOn w:val="DefaultParagraphFont"/>
    <w:link w:val="Heading3"/>
    <w:rsid w:val="003136C5"/>
    <w:rPr>
      <w:rFonts w:ascii="Times New Roman" w:eastAsia="Times New Roman" w:hAnsi="Times New Roman" w:cs="Arial"/>
      <w:b/>
      <w:bCs/>
      <w:sz w:val="24"/>
      <w:szCs w:val="26"/>
      <w:lang w:val="en-GB" w:eastAsia="ar-SA"/>
    </w:rPr>
  </w:style>
  <w:style w:type="paragraph" w:customStyle="1" w:styleId="m343668044302477783m-3986873246552044066msolistparagraph">
    <w:name w:val="m_343668044302477783m-3986873246552044066msolistparagraph"/>
    <w:basedOn w:val="Normal"/>
    <w:rsid w:val="003136C5"/>
    <w:pPr>
      <w:spacing w:before="100" w:beforeAutospacing="1" w:after="100" w:afterAutospacing="1"/>
    </w:pPr>
    <w:rPr>
      <w:rFonts w:eastAsia="Calibri"/>
      <w:lang w:val="en-GB" w:eastAsia="en-GB"/>
    </w:rPr>
  </w:style>
  <w:style w:type="character" w:customStyle="1" w:styleId="shorttext">
    <w:name w:val="short_text"/>
    <w:basedOn w:val="DefaultParagraphFont"/>
    <w:rsid w:val="003136C5"/>
  </w:style>
  <w:style w:type="character" w:customStyle="1" w:styleId="Bodytext85pt">
    <w:name w:val="Body text + 8.5 pt"/>
    <w:basedOn w:val="DefaultParagraphFont"/>
    <w:rsid w:val="003136C5"/>
    <w:rPr>
      <w:rFonts w:ascii="Times New Roman" w:eastAsia="Times New Roman" w:hAnsi="Times New Roman" w:cs="Times New Roman"/>
      <w:color w:val="000000"/>
      <w:spacing w:val="0"/>
      <w:w w:val="100"/>
      <w:position w:val="0"/>
      <w:sz w:val="17"/>
      <w:szCs w:val="17"/>
      <w:shd w:val="clear" w:color="auto" w:fill="FFFFFF"/>
      <w:lang w:val="mk-MK"/>
    </w:rPr>
  </w:style>
  <w:style w:type="paragraph" w:styleId="NormalWeb">
    <w:name w:val="Normal (Web)"/>
    <w:basedOn w:val="Normal"/>
    <w:uiPriority w:val="99"/>
    <w:rsid w:val="003136C5"/>
    <w:pPr>
      <w:suppressAutoHyphens/>
      <w:spacing w:before="280" w:after="280"/>
    </w:pPr>
    <w:rPr>
      <w:rFonts w:ascii="Verdana" w:hAnsi="Verdana"/>
      <w:color w:val="000000"/>
      <w:sz w:val="16"/>
      <w:szCs w:val="16"/>
      <w:lang w:val="en-GB" w:eastAsia="ar-SA"/>
    </w:rPr>
  </w:style>
  <w:style w:type="paragraph" w:customStyle="1" w:styleId="Text1">
    <w:name w:val="Text 1"/>
    <w:basedOn w:val="Normal"/>
    <w:link w:val="Text1Char"/>
    <w:rsid w:val="003136C5"/>
    <w:pPr>
      <w:spacing w:after="120"/>
      <w:jc w:val="both"/>
    </w:pPr>
    <w:rPr>
      <w:sz w:val="22"/>
      <w:szCs w:val="20"/>
      <w:lang w:val="en-GB"/>
    </w:rPr>
  </w:style>
  <w:style w:type="character" w:customStyle="1" w:styleId="Text1Char">
    <w:name w:val="Text 1 Char"/>
    <w:link w:val="Text1"/>
    <w:rsid w:val="003136C5"/>
    <w:rPr>
      <w:rFonts w:ascii="Times New Roman" w:eastAsia="Times New Roman" w:hAnsi="Times New Roman"/>
      <w:sz w:val="22"/>
      <w:lang w:val="en-GB"/>
    </w:rPr>
  </w:style>
  <w:style w:type="character" w:styleId="CommentReference">
    <w:name w:val="annotation reference"/>
    <w:basedOn w:val="DefaultParagraphFont"/>
    <w:uiPriority w:val="99"/>
    <w:semiHidden/>
    <w:unhideWhenUsed/>
    <w:rsid w:val="003136C5"/>
    <w:rPr>
      <w:sz w:val="16"/>
      <w:szCs w:val="16"/>
    </w:rPr>
  </w:style>
  <w:style w:type="paragraph" w:styleId="CommentText">
    <w:name w:val="annotation text"/>
    <w:basedOn w:val="Normal"/>
    <w:link w:val="CommentTextChar"/>
    <w:uiPriority w:val="99"/>
    <w:unhideWhenUsed/>
    <w:rsid w:val="003136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136C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3136C5"/>
    <w:rPr>
      <w:b/>
      <w:bCs/>
    </w:rPr>
  </w:style>
  <w:style w:type="character" w:customStyle="1" w:styleId="CommentSubjectChar">
    <w:name w:val="Comment Subject Char"/>
    <w:basedOn w:val="CommentTextChar"/>
    <w:link w:val="CommentSubject"/>
    <w:uiPriority w:val="99"/>
    <w:semiHidden/>
    <w:rsid w:val="003136C5"/>
    <w:rPr>
      <w:rFonts w:asciiTheme="minorHAnsi" w:eastAsiaTheme="minorHAnsi" w:hAnsiTheme="minorHAnsi" w:cstheme="minorBidi"/>
      <w:b/>
      <w:bCs/>
    </w:rPr>
  </w:style>
  <w:style w:type="paragraph" w:styleId="TOCHeading">
    <w:name w:val="TOC Heading"/>
    <w:basedOn w:val="Heading1"/>
    <w:next w:val="Normal"/>
    <w:uiPriority w:val="39"/>
    <w:unhideWhenUsed/>
    <w:qFormat/>
    <w:rsid w:val="003136C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BodyText">
    <w:name w:val="Body Text"/>
    <w:basedOn w:val="Normal"/>
    <w:link w:val="BodyTextChar"/>
    <w:rsid w:val="003136C5"/>
    <w:pPr>
      <w:widowControl w:val="0"/>
      <w:suppressAutoHyphens/>
      <w:spacing w:after="120"/>
    </w:pPr>
    <w:rPr>
      <w:rFonts w:eastAsia="SimSun" w:cs="Mangal"/>
      <w:kern w:val="1"/>
      <w:lang w:val="mk-MK" w:eastAsia="zh-CN" w:bidi="hi-IN"/>
    </w:rPr>
  </w:style>
  <w:style w:type="character" w:customStyle="1" w:styleId="BodyTextChar">
    <w:name w:val="Body Text Char"/>
    <w:basedOn w:val="DefaultParagraphFont"/>
    <w:link w:val="BodyText"/>
    <w:rsid w:val="003136C5"/>
    <w:rPr>
      <w:rFonts w:ascii="Times New Roman" w:eastAsia="SimSun" w:hAnsi="Times New Roman" w:cs="Mangal"/>
      <w:kern w:val="1"/>
      <w:sz w:val="24"/>
      <w:szCs w:val="24"/>
      <w:lang w:val="mk-M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3058">
      <w:bodyDiv w:val="1"/>
      <w:marLeft w:val="0"/>
      <w:marRight w:val="0"/>
      <w:marTop w:val="0"/>
      <w:marBottom w:val="0"/>
      <w:divBdr>
        <w:top w:val="none" w:sz="0" w:space="0" w:color="auto"/>
        <w:left w:val="none" w:sz="0" w:space="0" w:color="auto"/>
        <w:bottom w:val="none" w:sz="0" w:space="0" w:color="auto"/>
        <w:right w:val="none" w:sz="0" w:space="0" w:color="auto"/>
      </w:divBdr>
    </w:div>
    <w:div w:id="367606698">
      <w:bodyDiv w:val="1"/>
      <w:marLeft w:val="0"/>
      <w:marRight w:val="0"/>
      <w:marTop w:val="0"/>
      <w:marBottom w:val="0"/>
      <w:divBdr>
        <w:top w:val="none" w:sz="0" w:space="0" w:color="auto"/>
        <w:left w:val="none" w:sz="0" w:space="0" w:color="auto"/>
        <w:bottom w:val="none" w:sz="0" w:space="0" w:color="auto"/>
        <w:right w:val="none" w:sz="0" w:space="0" w:color="auto"/>
      </w:divBdr>
    </w:div>
    <w:div w:id="387152875">
      <w:bodyDiv w:val="1"/>
      <w:marLeft w:val="0"/>
      <w:marRight w:val="0"/>
      <w:marTop w:val="0"/>
      <w:marBottom w:val="0"/>
      <w:divBdr>
        <w:top w:val="none" w:sz="0" w:space="0" w:color="auto"/>
        <w:left w:val="none" w:sz="0" w:space="0" w:color="auto"/>
        <w:bottom w:val="none" w:sz="0" w:space="0" w:color="auto"/>
        <w:right w:val="none" w:sz="0" w:space="0" w:color="auto"/>
      </w:divBdr>
    </w:div>
    <w:div w:id="422069517">
      <w:bodyDiv w:val="1"/>
      <w:marLeft w:val="0"/>
      <w:marRight w:val="0"/>
      <w:marTop w:val="0"/>
      <w:marBottom w:val="0"/>
      <w:divBdr>
        <w:top w:val="none" w:sz="0" w:space="0" w:color="auto"/>
        <w:left w:val="none" w:sz="0" w:space="0" w:color="auto"/>
        <w:bottom w:val="none" w:sz="0" w:space="0" w:color="auto"/>
        <w:right w:val="none" w:sz="0" w:space="0" w:color="auto"/>
      </w:divBdr>
    </w:div>
    <w:div w:id="547374002">
      <w:bodyDiv w:val="1"/>
      <w:marLeft w:val="0"/>
      <w:marRight w:val="0"/>
      <w:marTop w:val="0"/>
      <w:marBottom w:val="0"/>
      <w:divBdr>
        <w:top w:val="none" w:sz="0" w:space="0" w:color="auto"/>
        <w:left w:val="none" w:sz="0" w:space="0" w:color="auto"/>
        <w:bottom w:val="none" w:sz="0" w:space="0" w:color="auto"/>
        <w:right w:val="none" w:sz="0" w:space="0" w:color="auto"/>
      </w:divBdr>
    </w:div>
    <w:div w:id="629483045">
      <w:bodyDiv w:val="1"/>
      <w:marLeft w:val="0"/>
      <w:marRight w:val="0"/>
      <w:marTop w:val="0"/>
      <w:marBottom w:val="0"/>
      <w:divBdr>
        <w:top w:val="none" w:sz="0" w:space="0" w:color="auto"/>
        <w:left w:val="none" w:sz="0" w:space="0" w:color="auto"/>
        <w:bottom w:val="none" w:sz="0" w:space="0" w:color="auto"/>
        <w:right w:val="none" w:sz="0" w:space="0" w:color="auto"/>
      </w:divBdr>
    </w:div>
    <w:div w:id="715087243">
      <w:bodyDiv w:val="1"/>
      <w:marLeft w:val="0"/>
      <w:marRight w:val="0"/>
      <w:marTop w:val="0"/>
      <w:marBottom w:val="0"/>
      <w:divBdr>
        <w:top w:val="none" w:sz="0" w:space="0" w:color="auto"/>
        <w:left w:val="none" w:sz="0" w:space="0" w:color="auto"/>
        <w:bottom w:val="none" w:sz="0" w:space="0" w:color="auto"/>
        <w:right w:val="none" w:sz="0" w:space="0" w:color="auto"/>
      </w:divBdr>
    </w:div>
    <w:div w:id="801071828">
      <w:bodyDiv w:val="1"/>
      <w:marLeft w:val="0"/>
      <w:marRight w:val="0"/>
      <w:marTop w:val="0"/>
      <w:marBottom w:val="0"/>
      <w:divBdr>
        <w:top w:val="none" w:sz="0" w:space="0" w:color="auto"/>
        <w:left w:val="none" w:sz="0" w:space="0" w:color="auto"/>
        <w:bottom w:val="none" w:sz="0" w:space="0" w:color="auto"/>
        <w:right w:val="none" w:sz="0" w:space="0" w:color="auto"/>
      </w:divBdr>
    </w:div>
    <w:div w:id="891035865">
      <w:bodyDiv w:val="1"/>
      <w:marLeft w:val="0"/>
      <w:marRight w:val="0"/>
      <w:marTop w:val="0"/>
      <w:marBottom w:val="0"/>
      <w:divBdr>
        <w:top w:val="none" w:sz="0" w:space="0" w:color="auto"/>
        <w:left w:val="none" w:sz="0" w:space="0" w:color="auto"/>
        <w:bottom w:val="none" w:sz="0" w:space="0" w:color="auto"/>
        <w:right w:val="none" w:sz="0" w:space="0" w:color="auto"/>
      </w:divBdr>
    </w:div>
    <w:div w:id="965890161">
      <w:bodyDiv w:val="1"/>
      <w:marLeft w:val="0"/>
      <w:marRight w:val="0"/>
      <w:marTop w:val="0"/>
      <w:marBottom w:val="0"/>
      <w:divBdr>
        <w:top w:val="none" w:sz="0" w:space="0" w:color="auto"/>
        <w:left w:val="none" w:sz="0" w:space="0" w:color="auto"/>
        <w:bottom w:val="none" w:sz="0" w:space="0" w:color="auto"/>
        <w:right w:val="none" w:sz="0" w:space="0" w:color="auto"/>
      </w:divBdr>
    </w:div>
    <w:div w:id="970015884">
      <w:bodyDiv w:val="1"/>
      <w:marLeft w:val="0"/>
      <w:marRight w:val="0"/>
      <w:marTop w:val="0"/>
      <w:marBottom w:val="0"/>
      <w:divBdr>
        <w:top w:val="none" w:sz="0" w:space="0" w:color="auto"/>
        <w:left w:val="none" w:sz="0" w:space="0" w:color="auto"/>
        <w:bottom w:val="none" w:sz="0" w:space="0" w:color="auto"/>
        <w:right w:val="none" w:sz="0" w:space="0" w:color="auto"/>
      </w:divBdr>
    </w:div>
    <w:div w:id="993487450">
      <w:bodyDiv w:val="1"/>
      <w:marLeft w:val="0"/>
      <w:marRight w:val="0"/>
      <w:marTop w:val="0"/>
      <w:marBottom w:val="0"/>
      <w:divBdr>
        <w:top w:val="none" w:sz="0" w:space="0" w:color="auto"/>
        <w:left w:val="none" w:sz="0" w:space="0" w:color="auto"/>
        <w:bottom w:val="none" w:sz="0" w:space="0" w:color="auto"/>
        <w:right w:val="none" w:sz="0" w:space="0" w:color="auto"/>
      </w:divBdr>
    </w:div>
    <w:div w:id="1125853866">
      <w:bodyDiv w:val="1"/>
      <w:marLeft w:val="0"/>
      <w:marRight w:val="0"/>
      <w:marTop w:val="0"/>
      <w:marBottom w:val="0"/>
      <w:divBdr>
        <w:top w:val="none" w:sz="0" w:space="0" w:color="auto"/>
        <w:left w:val="none" w:sz="0" w:space="0" w:color="auto"/>
        <w:bottom w:val="none" w:sz="0" w:space="0" w:color="auto"/>
        <w:right w:val="none" w:sz="0" w:space="0" w:color="auto"/>
      </w:divBdr>
    </w:div>
    <w:div w:id="1166625104">
      <w:bodyDiv w:val="1"/>
      <w:marLeft w:val="0"/>
      <w:marRight w:val="0"/>
      <w:marTop w:val="0"/>
      <w:marBottom w:val="0"/>
      <w:divBdr>
        <w:top w:val="none" w:sz="0" w:space="0" w:color="auto"/>
        <w:left w:val="none" w:sz="0" w:space="0" w:color="auto"/>
        <w:bottom w:val="none" w:sz="0" w:space="0" w:color="auto"/>
        <w:right w:val="none" w:sz="0" w:space="0" w:color="auto"/>
      </w:divBdr>
    </w:div>
    <w:div w:id="1230337534">
      <w:bodyDiv w:val="1"/>
      <w:marLeft w:val="0"/>
      <w:marRight w:val="0"/>
      <w:marTop w:val="0"/>
      <w:marBottom w:val="0"/>
      <w:divBdr>
        <w:top w:val="none" w:sz="0" w:space="0" w:color="auto"/>
        <w:left w:val="none" w:sz="0" w:space="0" w:color="auto"/>
        <w:bottom w:val="none" w:sz="0" w:space="0" w:color="auto"/>
        <w:right w:val="none" w:sz="0" w:space="0" w:color="auto"/>
      </w:divBdr>
    </w:div>
    <w:div w:id="1296761427">
      <w:bodyDiv w:val="1"/>
      <w:marLeft w:val="0"/>
      <w:marRight w:val="0"/>
      <w:marTop w:val="0"/>
      <w:marBottom w:val="0"/>
      <w:divBdr>
        <w:top w:val="none" w:sz="0" w:space="0" w:color="auto"/>
        <w:left w:val="none" w:sz="0" w:space="0" w:color="auto"/>
        <w:bottom w:val="none" w:sz="0" w:space="0" w:color="auto"/>
        <w:right w:val="none" w:sz="0" w:space="0" w:color="auto"/>
      </w:divBdr>
    </w:div>
    <w:div w:id="1358045465">
      <w:bodyDiv w:val="1"/>
      <w:marLeft w:val="0"/>
      <w:marRight w:val="0"/>
      <w:marTop w:val="0"/>
      <w:marBottom w:val="0"/>
      <w:divBdr>
        <w:top w:val="none" w:sz="0" w:space="0" w:color="auto"/>
        <w:left w:val="none" w:sz="0" w:space="0" w:color="auto"/>
        <w:bottom w:val="none" w:sz="0" w:space="0" w:color="auto"/>
        <w:right w:val="none" w:sz="0" w:space="0" w:color="auto"/>
      </w:divBdr>
    </w:div>
    <w:div w:id="1390836786">
      <w:bodyDiv w:val="1"/>
      <w:marLeft w:val="0"/>
      <w:marRight w:val="0"/>
      <w:marTop w:val="0"/>
      <w:marBottom w:val="0"/>
      <w:divBdr>
        <w:top w:val="none" w:sz="0" w:space="0" w:color="auto"/>
        <w:left w:val="none" w:sz="0" w:space="0" w:color="auto"/>
        <w:bottom w:val="none" w:sz="0" w:space="0" w:color="auto"/>
        <w:right w:val="none" w:sz="0" w:space="0" w:color="auto"/>
      </w:divBdr>
    </w:div>
    <w:div w:id="1396706162">
      <w:bodyDiv w:val="1"/>
      <w:marLeft w:val="0"/>
      <w:marRight w:val="0"/>
      <w:marTop w:val="0"/>
      <w:marBottom w:val="0"/>
      <w:divBdr>
        <w:top w:val="none" w:sz="0" w:space="0" w:color="auto"/>
        <w:left w:val="none" w:sz="0" w:space="0" w:color="auto"/>
        <w:bottom w:val="none" w:sz="0" w:space="0" w:color="auto"/>
        <w:right w:val="none" w:sz="0" w:space="0" w:color="auto"/>
      </w:divBdr>
    </w:div>
    <w:div w:id="1435789121">
      <w:bodyDiv w:val="1"/>
      <w:marLeft w:val="0"/>
      <w:marRight w:val="0"/>
      <w:marTop w:val="0"/>
      <w:marBottom w:val="0"/>
      <w:divBdr>
        <w:top w:val="none" w:sz="0" w:space="0" w:color="auto"/>
        <w:left w:val="none" w:sz="0" w:space="0" w:color="auto"/>
        <w:bottom w:val="none" w:sz="0" w:space="0" w:color="auto"/>
        <w:right w:val="none" w:sz="0" w:space="0" w:color="auto"/>
      </w:divBdr>
    </w:div>
    <w:div w:id="1487237727">
      <w:bodyDiv w:val="1"/>
      <w:marLeft w:val="0"/>
      <w:marRight w:val="0"/>
      <w:marTop w:val="0"/>
      <w:marBottom w:val="0"/>
      <w:divBdr>
        <w:top w:val="none" w:sz="0" w:space="0" w:color="auto"/>
        <w:left w:val="none" w:sz="0" w:space="0" w:color="auto"/>
        <w:bottom w:val="none" w:sz="0" w:space="0" w:color="auto"/>
        <w:right w:val="none" w:sz="0" w:space="0" w:color="auto"/>
      </w:divBdr>
    </w:div>
    <w:div w:id="1516383774">
      <w:bodyDiv w:val="1"/>
      <w:marLeft w:val="0"/>
      <w:marRight w:val="0"/>
      <w:marTop w:val="0"/>
      <w:marBottom w:val="0"/>
      <w:divBdr>
        <w:top w:val="none" w:sz="0" w:space="0" w:color="auto"/>
        <w:left w:val="none" w:sz="0" w:space="0" w:color="auto"/>
        <w:bottom w:val="none" w:sz="0" w:space="0" w:color="auto"/>
        <w:right w:val="none" w:sz="0" w:space="0" w:color="auto"/>
      </w:divBdr>
    </w:div>
    <w:div w:id="1604458787">
      <w:bodyDiv w:val="1"/>
      <w:marLeft w:val="0"/>
      <w:marRight w:val="0"/>
      <w:marTop w:val="0"/>
      <w:marBottom w:val="0"/>
      <w:divBdr>
        <w:top w:val="none" w:sz="0" w:space="0" w:color="auto"/>
        <w:left w:val="none" w:sz="0" w:space="0" w:color="auto"/>
        <w:bottom w:val="none" w:sz="0" w:space="0" w:color="auto"/>
        <w:right w:val="none" w:sz="0" w:space="0" w:color="auto"/>
      </w:divBdr>
    </w:div>
    <w:div w:id="1616595770">
      <w:bodyDiv w:val="1"/>
      <w:marLeft w:val="0"/>
      <w:marRight w:val="0"/>
      <w:marTop w:val="0"/>
      <w:marBottom w:val="0"/>
      <w:divBdr>
        <w:top w:val="none" w:sz="0" w:space="0" w:color="auto"/>
        <w:left w:val="none" w:sz="0" w:space="0" w:color="auto"/>
        <w:bottom w:val="none" w:sz="0" w:space="0" w:color="auto"/>
        <w:right w:val="none" w:sz="0" w:space="0" w:color="auto"/>
      </w:divBdr>
    </w:div>
    <w:div w:id="1633363341">
      <w:bodyDiv w:val="1"/>
      <w:marLeft w:val="0"/>
      <w:marRight w:val="0"/>
      <w:marTop w:val="0"/>
      <w:marBottom w:val="0"/>
      <w:divBdr>
        <w:top w:val="none" w:sz="0" w:space="0" w:color="auto"/>
        <w:left w:val="none" w:sz="0" w:space="0" w:color="auto"/>
        <w:bottom w:val="none" w:sz="0" w:space="0" w:color="auto"/>
        <w:right w:val="none" w:sz="0" w:space="0" w:color="auto"/>
      </w:divBdr>
    </w:div>
    <w:div w:id="1706558498">
      <w:bodyDiv w:val="1"/>
      <w:marLeft w:val="0"/>
      <w:marRight w:val="0"/>
      <w:marTop w:val="0"/>
      <w:marBottom w:val="0"/>
      <w:divBdr>
        <w:top w:val="none" w:sz="0" w:space="0" w:color="auto"/>
        <w:left w:val="none" w:sz="0" w:space="0" w:color="auto"/>
        <w:bottom w:val="none" w:sz="0" w:space="0" w:color="auto"/>
        <w:right w:val="none" w:sz="0" w:space="0" w:color="auto"/>
      </w:divBdr>
    </w:div>
    <w:div w:id="1793745806">
      <w:bodyDiv w:val="1"/>
      <w:marLeft w:val="0"/>
      <w:marRight w:val="0"/>
      <w:marTop w:val="0"/>
      <w:marBottom w:val="0"/>
      <w:divBdr>
        <w:top w:val="none" w:sz="0" w:space="0" w:color="auto"/>
        <w:left w:val="none" w:sz="0" w:space="0" w:color="auto"/>
        <w:bottom w:val="none" w:sz="0" w:space="0" w:color="auto"/>
        <w:right w:val="none" w:sz="0" w:space="0" w:color="auto"/>
      </w:divBdr>
    </w:div>
    <w:div w:id="1822425561">
      <w:bodyDiv w:val="1"/>
      <w:marLeft w:val="0"/>
      <w:marRight w:val="0"/>
      <w:marTop w:val="0"/>
      <w:marBottom w:val="0"/>
      <w:divBdr>
        <w:top w:val="none" w:sz="0" w:space="0" w:color="auto"/>
        <w:left w:val="none" w:sz="0" w:space="0" w:color="auto"/>
        <w:bottom w:val="none" w:sz="0" w:space="0" w:color="auto"/>
        <w:right w:val="none" w:sz="0" w:space="0" w:color="auto"/>
      </w:divBdr>
    </w:div>
    <w:div w:id="1941915135">
      <w:bodyDiv w:val="1"/>
      <w:marLeft w:val="0"/>
      <w:marRight w:val="0"/>
      <w:marTop w:val="0"/>
      <w:marBottom w:val="0"/>
      <w:divBdr>
        <w:top w:val="none" w:sz="0" w:space="0" w:color="auto"/>
        <w:left w:val="none" w:sz="0" w:space="0" w:color="auto"/>
        <w:bottom w:val="none" w:sz="0" w:space="0" w:color="auto"/>
        <w:right w:val="none" w:sz="0" w:space="0" w:color="auto"/>
      </w:divBdr>
    </w:div>
    <w:div w:id="2028291645">
      <w:bodyDiv w:val="1"/>
      <w:marLeft w:val="0"/>
      <w:marRight w:val="0"/>
      <w:marTop w:val="0"/>
      <w:marBottom w:val="0"/>
      <w:divBdr>
        <w:top w:val="none" w:sz="0" w:space="0" w:color="auto"/>
        <w:left w:val="none" w:sz="0" w:space="0" w:color="auto"/>
        <w:bottom w:val="none" w:sz="0" w:space="0" w:color="auto"/>
        <w:right w:val="none" w:sz="0" w:space="0" w:color="auto"/>
      </w:divBdr>
    </w:div>
    <w:div w:id="2081245861">
      <w:bodyDiv w:val="1"/>
      <w:marLeft w:val="0"/>
      <w:marRight w:val="0"/>
      <w:marTop w:val="0"/>
      <w:marBottom w:val="0"/>
      <w:divBdr>
        <w:top w:val="none" w:sz="0" w:space="0" w:color="auto"/>
        <w:left w:val="none" w:sz="0" w:space="0" w:color="auto"/>
        <w:bottom w:val="none" w:sz="0" w:space="0" w:color="auto"/>
        <w:right w:val="none" w:sz="0" w:space="0" w:color="auto"/>
      </w:divBdr>
    </w:div>
    <w:div w:id="2085831875">
      <w:bodyDiv w:val="1"/>
      <w:marLeft w:val="0"/>
      <w:marRight w:val="0"/>
      <w:marTop w:val="0"/>
      <w:marBottom w:val="0"/>
      <w:divBdr>
        <w:top w:val="none" w:sz="0" w:space="0" w:color="auto"/>
        <w:left w:val="none" w:sz="0" w:space="0" w:color="auto"/>
        <w:bottom w:val="none" w:sz="0" w:space="0" w:color="auto"/>
        <w:right w:val="none" w:sz="0" w:space="0" w:color="auto"/>
      </w:divBdr>
    </w:div>
    <w:div w:id="2089691535">
      <w:bodyDiv w:val="1"/>
      <w:marLeft w:val="0"/>
      <w:marRight w:val="0"/>
      <w:marTop w:val="0"/>
      <w:marBottom w:val="0"/>
      <w:divBdr>
        <w:top w:val="none" w:sz="0" w:space="0" w:color="auto"/>
        <w:left w:val="none" w:sz="0" w:space="0" w:color="auto"/>
        <w:bottom w:val="none" w:sz="0" w:space="0" w:color="auto"/>
        <w:right w:val="none" w:sz="0" w:space="0" w:color="auto"/>
      </w:divBdr>
    </w:div>
    <w:div w:id="21083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772F-4ED1-4684-BBD5-2022D690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36</Pages>
  <Words>13086</Words>
  <Characters>74592</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GOLIATH</dc:creator>
  <cp:lastModifiedBy>Kalina</cp:lastModifiedBy>
  <cp:revision>76</cp:revision>
  <dcterms:created xsi:type="dcterms:W3CDTF">2019-04-17T11:46:00Z</dcterms:created>
  <dcterms:modified xsi:type="dcterms:W3CDTF">2019-05-18T21:01:00Z</dcterms:modified>
</cp:coreProperties>
</file>