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FB2C4" w14:textId="50CD2B85" w:rsidR="00AA7551" w:rsidRPr="009E5E10" w:rsidRDefault="00AA7551" w:rsidP="009E5E10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9E5E10">
        <w:rPr>
          <w:rFonts w:ascii="Arial" w:hAnsi="Arial" w:cs="Arial"/>
          <w:b/>
          <w:bCs/>
          <w:sz w:val="28"/>
          <w:szCs w:val="28"/>
          <w:lang w:val="mk-MK"/>
        </w:rPr>
        <w:t>1. Оцен</w:t>
      </w:r>
      <w:r w:rsidR="00021B70" w:rsidRPr="009E5E10">
        <w:rPr>
          <w:rFonts w:ascii="Arial" w:hAnsi="Arial" w:cs="Arial"/>
          <w:b/>
          <w:bCs/>
          <w:sz w:val="28"/>
          <w:szCs w:val="28"/>
          <w:lang w:val="mk-MK"/>
        </w:rPr>
        <w:t>ка на</w:t>
      </w:r>
      <w:r w:rsidRPr="009E5E10">
        <w:rPr>
          <w:rFonts w:ascii="Arial" w:hAnsi="Arial" w:cs="Arial"/>
          <w:b/>
          <w:bCs/>
          <w:sz w:val="28"/>
          <w:szCs w:val="28"/>
          <w:lang w:val="mk-MK"/>
        </w:rPr>
        <w:t xml:space="preserve"> систем</w:t>
      </w:r>
      <w:r w:rsidR="00021B70" w:rsidRPr="009E5E10">
        <w:rPr>
          <w:rFonts w:ascii="Arial" w:hAnsi="Arial" w:cs="Arial"/>
          <w:b/>
          <w:bCs/>
          <w:sz w:val="28"/>
          <w:szCs w:val="28"/>
          <w:lang w:val="mk-MK"/>
        </w:rPr>
        <w:t>от</w:t>
      </w:r>
      <w:r w:rsidRPr="009E5E10">
        <w:rPr>
          <w:rFonts w:ascii="Arial" w:hAnsi="Arial" w:cs="Arial"/>
          <w:b/>
          <w:bCs/>
          <w:sz w:val="28"/>
          <w:szCs w:val="28"/>
          <w:lang w:val="mk-MK"/>
        </w:rPr>
        <w:t xml:space="preserve"> за управување и контрола</w:t>
      </w:r>
    </w:p>
    <w:p w14:paraId="1B547777" w14:textId="52D437DD" w:rsidR="00AA7551" w:rsidRPr="00021B70" w:rsidRDefault="00AA7551" w:rsidP="009E5E1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Во текот на 2025 година, системот за управување и контрола во рамките на спроведувањето на програмата </w:t>
      </w:r>
      <w:r w:rsidR="00021B70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III 2021-2027 беше редовно следен и надгледуван од </w:t>
      </w:r>
      <w:r w:rsidR="00021B70">
        <w:rPr>
          <w:rFonts w:asciiTheme="minorBidi" w:hAnsiTheme="minorBidi"/>
          <w:sz w:val="24"/>
          <w:szCs w:val="24"/>
          <w:lang w:val="mk-MK"/>
        </w:rPr>
        <w:t>страна на НАО/Управувачка Структура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преку различни алатки.</w:t>
      </w:r>
    </w:p>
    <w:p w14:paraId="194AF508" w14:textId="489537A1" w:rsidR="00AA7551" w:rsidRPr="00021B70" w:rsidRDefault="00021B70" w:rsidP="009E5E1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mk-MK"/>
        </w:rPr>
        <w:t>З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начајни промени во дизајнот на системот за управување и контрола</w:t>
      </w:r>
      <w:r w:rsidRPr="00021B70">
        <w:rPr>
          <w:rFonts w:asciiTheme="minorBidi" w:hAnsiTheme="minorBidi"/>
          <w:sz w:val="24"/>
          <w:szCs w:val="24"/>
          <w:lang w:val="mk-MK"/>
        </w:rPr>
        <w:t xml:space="preserve"> </w:t>
      </w:r>
      <w:r>
        <w:rPr>
          <w:rFonts w:asciiTheme="minorBidi" w:hAnsiTheme="minorBidi"/>
          <w:sz w:val="24"/>
          <w:szCs w:val="24"/>
          <w:lang w:val="mk-MK"/>
        </w:rPr>
        <w:t>н</w:t>
      </w:r>
      <w:r w:rsidRPr="00AA7551">
        <w:rPr>
          <w:rFonts w:asciiTheme="minorBidi" w:hAnsiTheme="minorBidi"/>
          <w:sz w:val="24"/>
          <w:szCs w:val="24"/>
          <w:lang w:val="mk-MK"/>
        </w:rPr>
        <w:t>е се случија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. Направени се несуштински промени во </w:t>
      </w:r>
      <w:r>
        <w:rPr>
          <w:rFonts w:asciiTheme="minorBidi" w:hAnsiTheme="minorBidi"/>
          <w:sz w:val="24"/>
          <w:szCs w:val="24"/>
          <w:lang w:val="mk-MK"/>
        </w:rPr>
        <w:t>П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роцедури</w:t>
      </w:r>
      <w:r>
        <w:rPr>
          <w:rFonts w:asciiTheme="minorBidi" w:hAnsiTheme="minorBidi"/>
          <w:sz w:val="24"/>
          <w:szCs w:val="24"/>
          <w:lang w:val="mk-MK"/>
        </w:rPr>
        <w:t>те за работа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на </w:t>
      </w:r>
      <w:r>
        <w:rPr>
          <w:rFonts w:asciiTheme="minorBidi" w:hAnsiTheme="minorBidi"/>
          <w:sz w:val="24"/>
          <w:szCs w:val="24"/>
          <w:lang w:val="mk-MK"/>
        </w:rPr>
        <w:t>ИПАРД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Агенцијата </w:t>
      </w:r>
      <w:r>
        <w:rPr>
          <w:rFonts w:asciiTheme="minorBidi" w:hAnsiTheme="minorBidi"/>
          <w:sz w:val="24"/>
          <w:szCs w:val="24"/>
          <w:lang w:val="mk-MK"/>
        </w:rPr>
        <w:t>кои како потреба произлегоа од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најновите упатства на ЕК за рестриктивни мерки.</w:t>
      </w:r>
    </w:p>
    <w:p w14:paraId="6BA6E296" w14:textId="62836D48" w:rsidR="00AA7551" w:rsidRPr="00AA7551" w:rsidRDefault="00021B70" w:rsidP="009E5E1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>
        <w:rPr>
          <w:rFonts w:asciiTheme="minorBidi" w:hAnsiTheme="minorBidi"/>
          <w:sz w:val="24"/>
          <w:szCs w:val="24"/>
          <w:lang w:val="mk-MK"/>
        </w:rPr>
        <w:t>Дополнително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, согласно најновите настани </w:t>
      </w:r>
      <w:r w:rsidR="005C1ED4">
        <w:rPr>
          <w:rFonts w:asciiTheme="minorBidi" w:hAnsiTheme="minorBidi"/>
          <w:sz w:val="24"/>
          <w:szCs w:val="24"/>
          <w:lang w:val="mk-MK"/>
        </w:rPr>
        <w:t xml:space="preserve">поврзани со 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сомне</w:t>
      </w:r>
      <w:r w:rsidR="005C1ED4">
        <w:rPr>
          <w:rFonts w:asciiTheme="minorBidi" w:hAnsiTheme="minorBidi"/>
          <w:sz w:val="24"/>
          <w:szCs w:val="24"/>
          <w:lang w:val="mk-MK"/>
        </w:rPr>
        <w:t>ж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за потенцијална корупција од страна на високо рангиран функционер во рамките на </w:t>
      </w:r>
      <w:r w:rsidR="005C1ED4">
        <w:rPr>
          <w:rFonts w:asciiTheme="minorBidi" w:hAnsiTheme="minorBidi"/>
          <w:sz w:val="24"/>
          <w:szCs w:val="24"/>
          <w:lang w:val="mk-MK"/>
        </w:rPr>
        <w:t>ИПАРД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Агенцијата, Националниот службеник за </w:t>
      </w:r>
      <w:r w:rsidR="005C1ED4">
        <w:rPr>
          <w:rFonts w:asciiTheme="minorBidi" w:hAnsiTheme="minorBidi"/>
          <w:sz w:val="24"/>
          <w:szCs w:val="24"/>
          <w:lang w:val="mk-MK"/>
        </w:rPr>
        <w:t>авторризација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, врз основа на член 6, став 5 од Уредбата за воспоставување на структурите и органите и утврдување на нивните меѓусебни односи за управување со финансиската помош во рамките на Инструментот за претпристапна помош (</w:t>
      </w:r>
      <w:r w:rsidR="005C1ED4">
        <w:rPr>
          <w:rFonts w:asciiTheme="minorBidi" w:hAnsiTheme="minorBidi"/>
          <w:sz w:val="24"/>
          <w:szCs w:val="24"/>
          <w:lang w:val="mk-MK"/>
        </w:rPr>
        <w:t>ИПА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III) во индиректно управување, ги прекина сите плаќања од </w:t>
      </w:r>
      <w:r w:rsidR="005C1ED4">
        <w:rPr>
          <w:rFonts w:asciiTheme="minorBidi" w:hAnsiTheme="minorBidi"/>
          <w:sz w:val="24"/>
          <w:szCs w:val="24"/>
          <w:lang w:val="mk-MK"/>
        </w:rPr>
        <w:t xml:space="preserve">ИПАРД 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средствата. Оваа мерка ќе биде во сила до нејзиното повлекување, односно до добивање гаранција дека воспоставениот систем ја гарантира законитоста и регуларноста на трансакциите.</w:t>
      </w:r>
    </w:p>
    <w:p w14:paraId="0F3719F8" w14:textId="224C2D1B" w:rsidR="00AA7551" w:rsidRPr="00021B70" w:rsidRDefault="00AA7551" w:rsidP="009E5E1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Во моментов, </w:t>
      </w:r>
      <w:r w:rsidR="005C1ED4" w:rsidRPr="00AA7551">
        <w:rPr>
          <w:rFonts w:asciiTheme="minorBidi" w:hAnsiTheme="minorBidi"/>
          <w:sz w:val="24"/>
          <w:szCs w:val="24"/>
          <w:lang w:val="mk-MK"/>
        </w:rPr>
        <w:t>се водат паралелн</w:t>
      </w:r>
      <w:r w:rsidR="005C1ED4">
        <w:rPr>
          <w:rFonts w:asciiTheme="minorBidi" w:hAnsiTheme="minorBidi"/>
          <w:sz w:val="24"/>
          <w:szCs w:val="24"/>
          <w:lang w:val="mk-MK"/>
        </w:rPr>
        <w:t>и</w:t>
      </w:r>
      <w:r w:rsidR="005C1ED4"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координирани процеси на истраги и верификации од страна на неколку институции и структури. Целта е да се опфати широк спектар на области идентификувани од страна на Управувачката структура како критични точки што потенцијално би можеле да дозволат корупција, како и да се преиспита воспоставениот систем за управување и контрола </w:t>
      </w:r>
      <w:r w:rsidR="005C1ED4">
        <w:rPr>
          <w:rFonts w:asciiTheme="minorBidi" w:hAnsiTheme="minorBidi"/>
          <w:sz w:val="24"/>
          <w:szCs w:val="24"/>
          <w:lang w:val="mk-MK"/>
        </w:rPr>
        <w:t>од аспект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на новите околности. Врз основа на исходот, националната одлука за прекин ќе се преиспита.</w:t>
      </w:r>
    </w:p>
    <w:p w14:paraId="4FEC035A" w14:textId="44845C48" w:rsidR="00AA7551" w:rsidRPr="009E5E10" w:rsidRDefault="00AA7551" w:rsidP="009E5E10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9E5E10">
        <w:rPr>
          <w:rFonts w:ascii="Arial" w:hAnsi="Arial" w:cs="Arial"/>
          <w:b/>
          <w:bCs/>
          <w:sz w:val="28"/>
          <w:szCs w:val="28"/>
          <w:lang w:val="mk-MK"/>
        </w:rPr>
        <w:t>2. Верификации и контрол</w:t>
      </w:r>
      <w:r w:rsidR="008C3A5C" w:rsidRPr="009E5E10">
        <w:rPr>
          <w:rFonts w:ascii="Arial" w:hAnsi="Arial" w:cs="Arial"/>
          <w:b/>
          <w:bCs/>
          <w:sz w:val="28"/>
          <w:szCs w:val="28"/>
          <w:lang w:val="mk-MK"/>
        </w:rPr>
        <w:t>и</w:t>
      </w:r>
      <w:r w:rsidRPr="009E5E10">
        <w:rPr>
          <w:rFonts w:ascii="Arial" w:hAnsi="Arial" w:cs="Arial"/>
          <w:b/>
          <w:bCs/>
          <w:sz w:val="28"/>
          <w:szCs w:val="28"/>
          <w:lang w:val="mk-MK"/>
        </w:rPr>
        <w:t xml:space="preserve"> спроведени од страна на Управувачката структура</w:t>
      </w:r>
    </w:p>
    <w:p w14:paraId="6F28F2F4" w14:textId="77777777" w:rsidR="009E5E10" w:rsidRDefault="008C3A5C" w:rsidP="009E5E1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>
        <w:rPr>
          <w:rFonts w:asciiTheme="minorBidi" w:hAnsiTheme="minorBidi"/>
          <w:sz w:val="24"/>
          <w:szCs w:val="24"/>
          <w:lang w:val="mk-MK"/>
        </w:rPr>
        <w:t>Структурата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за поддршка на </w:t>
      </w:r>
      <w:r>
        <w:rPr>
          <w:rFonts w:asciiTheme="minorBidi" w:hAnsiTheme="minorBidi"/>
          <w:sz w:val="24"/>
          <w:szCs w:val="24"/>
          <w:lang w:val="mk-MK"/>
        </w:rPr>
        <w:t>НАО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во областа на земјоделството и руралниот развој во рамките на Годишниот план за верификациски посети за 2025 година, усвоен на 04 февруари 2025 година, предвидува три верификациски посети, и тоа:</w:t>
      </w:r>
    </w:p>
    <w:p w14:paraId="1AB67305" w14:textId="508A5507" w:rsidR="00AA7551" w:rsidRPr="009E5E10" w:rsidRDefault="00AA7551" w:rsidP="009E5E1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Bidi" w:hAnsiTheme="minorBidi"/>
          <w:sz w:val="24"/>
          <w:szCs w:val="24"/>
          <w:lang w:val="mk-MK"/>
        </w:rPr>
      </w:pPr>
      <w:r w:rsidRPr="009E5E10">
        <w:rPr>
          <w:rFonts w:asciiTheme="minorBidi" w:hAnsiTheme="minorBidi"/>
          <w:sz w:val="24"/>
          <w:szCs w:val="24"/>
          <w:lang w:val="mk-MK"/>
        </w:rPr>
        <w:t xml:space="preserve">Административна проверка на ниво на проект во врска со спроведувањето на мерката за техничка помош во рамките на </w:t>
      </w:r>
      <w:r w:rsidR="008C3A5C" w:rsidRPr="009E5E10">
        <w:rPr>
          <w:rFonts w:asciiTheme="minorBidi" w:hAnsiTheme="minorBidi"/>
          <w:sz w:val="24"/>
          <w:szCs w:val="24"/>
          <w:lang w:val="mk-MK"/>
        </w:rPr>
        <w:t>ИПАРД</w:t>
      </w:r>
      <w:r w:rsidRPr="009E5E10">
        <w:rPr>
          <w:rFonts w:asciiTheme="minorBidi" w:hAnsiTheme="minorBidi"/>
          <w:sz w:val="24"/>
          <w:szCs w:val="24"/>
          <w:lang w:val="mk-MK"/>
        </w:rPr>
        <w:t xml:space="preserve"> III (индикативно планирана за март-април 2025 година);</w:t>
      </w:r>
    </w:p>
    <w:p w14:paraId="646735DF" w14:textId="5ABB3C9D" w:rsidR="00AA7551" w:rsidRPr="00AA7551" w:rsidRDefault="00AA7551" w:rsidP="009E5E1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- Верификациска посета на ниво на проект за платени проекти, особено ex post - проверки на лице место за програмата </w:t>
      </w:r>
      <w:r w:rsidR="00CE7239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II (индикативно планирана за август-октомври 2025 година) и;</w:t>
      </w:r>
    </w:p>
    <w:p w14:paraId="668A888C" w14:textId="19DAAAFD" w:rsidR="00AA7551" w:rsidRPr="00AA7551" w:rsidRDefault="00AA7551" w:rsidP="009E5E1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lastRenderedPageBreak/>
        <w:t xml:space="preserve">- Административна проверка на платените проекти во рамките на програмата </w:t>
      </w:r>
      <w:r w:rsidR="00CE7239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III (индикативно планирана за ноември-декември 2025 година).</w:t>
      </w:r>
    </w:p>
    <w:p w14:paraId="458B4538" w14:textId="77777777" w:rsidR="00CE7239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Првата </w:t>
      </w:r>
      <w:r w:rsidR="00CE7239" w:rsidRPr="00AA7551">
        <w:rPr>
          <w:rFonts w:asciiTheme="minorBidi" w:hAnsiTheme="minorBidi"/>
          <w:sz w:val="24"/>
          <w:szCs w:val="24"/>
          <w:lang w:val="mk-MK"/>
        </w:rPr>
        <w:t>верификаци</w:t>
      </w:r>
      <w:r w:rsidR="00CE7239">
        <w:rPr>
          <w:rFonts w:asciiTheme="minorBidi" w:hAnsiTheme="minorBidi"/>
          <w:sz w:val="24"/>
          <w:szCs w:val="24"/>
          <w:lang w:val="mk-MK"/>
        </w:rPr>
        <w:t>ск</w:t>
      </w:r>
      <w:r w:rsidR="00CE7239" w:rsidRPr="00AA7551">
        <w:rPr>
          <w:rFonts w:asciiTheme="minorBidi" w:hAnsiTheme="minorBidi"/>
          <w:sz w:val="24"/>
          <w:szCs w:val="24"/>
          <w:lang w:val="mk-MK"/>
        </w:rPr>
        <w:t xml:space="preserve">а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посета поврзана со спроведувањето на мерката за техничка помош во рамките на програмата </w:t>
      </w:r>
      <w:r w:rsidR="00CE7239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2021-2027 е веќе финализирана. </w:t>
      </w:r>
    </w:p>
    <w:p w14:paraId="1A2774D5" w14:textId="27E9797B" w:rsidR="00AA7551" w:rsidRPr="00AA7551" w:rsidRDefault="00CE7239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>
        <w:rPr>
          <w:rFonts w:asciiTheme="minorBidi" w:hAnsiTheme="minorBidi"/>
          <w:sz w:val="24"/>
          <w:szCs w:val="24"/>
          <w:lang w:val="mk-MK"/>
        </w:rPr>
        <w:t>В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тората</w:t>
      </w:r>
      <w:r>
        <w:rPr>
          <w:rFonts w:asciiTheme="minorBidi" w:hAnsiTheme="minorBidi"/>
          <w:sz w:val="24"/>
          <w:szCs w:val="24"/>
          <w:lang w:val="mk-MK"/>
        </w:rPr>
        <w:t xml:space="preserve"> посета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, поврзана со проверката на лице место, мораше да се </w:t>
      </w:r>
      <w:r>
        <w:rPr>
          <w:rFonts w:asciiTheme="minorBidi" w:hAnsiTheme="minorBidi"/>
          <w:sz w:val="24"/>
          <w:szCs w:val="24"/>
          <w:lang w:val="mk-MK"/>
        </w:rPr>
        <w:t>пролонгира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по</w:t>
      </w:r>
      <w:r>
        <w:rPr>
          <w:rFonts w:asciiTheme="minorBidi" w:hAnsiTheme="minorBidi"/>
          <w:sz w:val="24"/>
          <w:szCs w:val="24"/>
          <w:lang w:val="mk-MK"/>
        </w:rPr>
        <w:t>ради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барање на министерот за земјоделство, шумарство и водостопанство. На негово барање, беше извршена ad hoc верификаци</w:t>
      </w:r>
      <w:r>
        <w:rPr>
          <w:rFonts w:asciiTheme="minorBidi" w:hAnsiTheme="minorBidi"/>
          <w:sz w:val="24"/>
          <w:szCs w:val="24"/>
          <w:lang w:val="mk-MK"/>
        </w:rPr>
        <w:t>ск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а </w:t>
      </w:r>
      <w:r>
        <w:rPr>
          <w:rFonts w:asciiTheme="minorBidi" w:hAnsiTheme="minorBidi"/>
          <w:sz w:val="24"/>
          <w:szCs w:val="24"/>
          <w:lang w:val="mk-MK"/>
        </w:rPr>
        <w:t xml:space="preserve">посета 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на процесот на </w:t>
      </w:r>
      <w:r>
        <w:rPr>
          <w:rFonts w:asciiTheme="minorBidi" w:hAnsiTheme="minorBidi"/>
          <w:sz w:val="24"/>
          <w:szCs w:val="24"/>
          <w:lang w:val="mk-MK"/>
        </w:rPr>
        <w:t>рангирање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на апликации од Мерка 3 - Јавен повик 01/2024. </w:t>
      </w:r>
      <w:r>
        <w:rPr>
          <w:rFonts w:asciiTheme="minorBidi" w:hAnsiTheme="minorBidi"/>
          <w:sz w:val="24"/>
          <w:szCs w:val="24"/>
          <w:lang w:val="mk-MK"/>
        </w:rPr>
        <w:t>Дополнително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ex-post </w:t>
      </w:r>
      <w:r>
        <w:rPr>
          <w:rFonts w:asciiTheme="minorBidi" w:hAnsiTheme="minorBidi"/>
          <w:sz w:val="24"/>
          <w:szCs w:val="24"/>
          <w:lang w:val="mk-MK"/>
        </w:rPr>
        <w:t>проверката с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е </w:t>
      </w:r>
      <w:r>
        <w:rPr>
          <w:rFonts w:asciiTheme="minorBidi" w:hAnsiTheme="minorBidi"/>
          <w:sz w:val="24"/>
          <w:szCs w:val="24"/>
          <w:lang w:val="mk-MK"/>
        </w:rPr>
        <w:t>пролонгираше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поради тековните случувања</w:t>
      </w:r>
      <w:r>
        <w:rPr>
          <w:rFonts w:asciiTheme="minorBidi" w:hAnsiTheme="minorBidi"/>
          <w:sz w:val="24"/>
          <w:szCs w:val="24"/>
          <w:lang w:val="mk-MK"/>
        </w:rPr>
        <w:t>,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>
        <w:rPr>
          <w:rFonts w:asciiTheme="minorBidi" w:hAnsiTheme="minorBidi"/>
          <w:sz w:val="24"/>
          <w:szCs w:val="24"/>
          <w:lang w:val="mk-MK"/>
        </w:rPr>
        <w:t xml:space="preserve">каде во моментот 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>фокус</w:t>
      </w:r>
      <w:r>
        <w:rPr>
          <w:rFonts w:asciiTheme="minorBidi" w:hAnsiTheme="minorBidi"/>
          <w:sz w:val="24"/>
          <w:szCs w:val="24"/>
          <w:lang w:val="mk-MK"/>
        </w:rPr>
        <w:t>от е ставен</w:t>
      </w:r>
      <w:r w:rsidR="00AA7551" w:rsidRPr="00AA7551">
        <w:rPr>
          <w:rFonts w:asciiTheme="minorBidi" w:hAnsiTheme="minorBidi"/>
          <w:sz w:val="24"/>
          <w:szCs w:val="24"/>
          <w:lang w:val="mk-MK"/>
        </w:rPr>
        <w:t xml:space="preserve"> на други области.</w:t>
      </w:r>
    </w:p>
    <w:p w14:paraId="76B9CA58" w14:textId="77777777" w:rsidR="00AA7551" w:rsidRPr="009E5E10" w:rsidRDefault="00AA7551" w:rsidP="009E5E10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9E5E10">
        <w:rPr>
          <w:rFonts w:ascii="Arial" w:hAnsi="Arial" w:cs="Arial"/>
          <w:b/>
          <w:bCs/>
          <w:sz w:val="28"/>
          <w:szCs w:val="28"/>
          <w:lang w:val="mk-MK"/>
        </w:rPr>
        <w:t>3. Акредитација на нови мерки</w:t>
      </w:r>
    </w:p>
    <w:p w14:paraId="6E709709" w14:textId="46DE8E63" w:rsidR="00AA7551" w:rsidRPr="00021B70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Барањето за доверување на </w:t>
      </w:r>
      <w:r w:rsidR="00C330E1">
        <w:rPr>
          <w:rFonts w:asciiTheme="minorBidi" w:hAnsiTheme="minorBidi"/>
          <w:sz w:val="24"/>
          <w:szCs w:val="24"/>
          <w:lang w:val="mk-MK"/>
        </w:rPr>
        <w:t xml:space="preserve">правото за управување со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буџетот </w:t>
      </w:r>
      <w:r w:rsidR="00C330E1">
        <w:rPr>
          <w:rFonts w:asciiTheme="minorBidi" w:hAnsiTheme="minorBidi"/>
          <w:sz w:val="24"/>
          <w:szCs w:val="24"/>
          <w:lang w:val="mk-MK"/>
        </w:rPr>
        <w:t>за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мерк</w:t>
      </w:r>
      <w:r w:rsidR="00C330E1">
        <w:rPr>
          <w:rFonts w:asciiTheme="minorBidi" w:hAnsiTheme="minorBidi"/>
          <w:sz w:val="24"/>
          <w:szCs w:val="24"/>
          <w:lang w:val="mk-MK"/>
        </w:rPr>
        <w:t>ата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>
        <w:rPr>
          <w:rFonts w:asciiTheme="minorBidi" w:hAnsiTheme="minorBidi"/>
          <w:sz w:val="24"/>
          <w:szCs w:val="24"/>
          <w:lang w:val="mk-MK"/>
        </w:rPr>
        <w:t>И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нвестиции во рурална јавна инфраструктура беше поднесено до ЕК/ГД Агри кон крајот на октомври. </w:t>
      </w:r>
      <w:r w:rsidR="00C330E1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>
        <w:rPr>
          <w:rFonts w:asciiTheme="minorBidi" w:hAnsiTheme="minorBidi"/>
          <w:sz w:val="24"/>
          <w:szCs w:val="24"/>
          <w:lang w:val="mk-MK"/>
        </w:rPr>
        <w:t>с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труктурите </w:t>
      </w:r>
      <w:r w:rsidR="00C330E1">
        <w:rPr>
          <w:rFonts w:asciiTheme="minorBidi" w:hAnsiTheme="minorBidi"/>
          <w:sz w:val="24"/>
          <w:szCs w:val="24"/>
          <w:lang w:val="mk-MK"/>
        </w:rPr>
        <w:t>го о</w:t>
      </w:r>
      <w:r w:rsidRPr="00AA7551">
        <w:rPr>
          <w:rFonts w:asciiTheme="minorBidi" w:hAnsiTheme="minorBidi"/>
          <w:sz w:val="24"/>
          <w:szCs w:val="24"/>
          <w:lang w:val="mk-MK"/>
        </w:rPr>
        <w:t>чек</w:t>
      </w:r>
      <w:r w:rsidR="00C330E1">
        <w:rPr>
          <w:rFonts w:asciiTheme="minorBidi" w:hAnsiTheme="minorBidi"/>
          <w:sz w:val="24"/>
          <w:szCs w:val="24"/>
          <w:lang w:val="mk-MK"/>
        </w:rPr>
        <w:t>ув</w:t>
      </w:r>
      <w:r w:rsidRPr="00AA7551">
        <w:rPr>
          <w:rFonts w:asciiTheme="minorBidi" w:hAnsiTheme="minorBidi"/>
          <w:sz w:val="24"/>
          <w:szCs w:val="24"/>
          <w:lang w:val="mk-MK"/>
        </w:rPr>
        <w:t>аат одговор</w:t>
      </w:r>
      <w:r w:rsidR="00C330E1">
        <w:rPr>
          <w:rFonts w:asciiTheme="minorBidi" w:hAnsiTheme="minorBidi"/>
          <w:sz w:val="24"/>
          <w:szCs w:val="24"/>
          <w:lang w:val="mk-MK"/>
        </w:rPr>
        <w:t>от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од ГД Агри по ова прашање.</w:t>
      </w:r>
    </w:p>
    <w:p w14:paraId="705F35E5" w14:textId="5E47F69D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Дополнително, </w:t>
      </w:r>
      <w:r w:rsidR="00C330E1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структурите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работат на поставување на системот за мерката </w:t>
      </w:r>
      <w:r w:rsidR="00C330E1">
        <w:rPr>
          <w:rFonts w:asciiTheme="minorBidi" w:hAnsiTheme="minorBidi"/>
          <w:sz w:val="24"/>
          <w:szCs w:val="24"/>
          <w:lang w:val="mk-MK"/>
        </w:rPr>
        <w:t>ЛИДЕР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. </w:t>
      </w:r>
      <w:r w:rsidR="00C330E1">
        <w:rPr>
          <w:rFonts w:asciiTheme="minorBidi" w:hAnsiTheme="minorBidi"/>
          <w:sz w:val="24"/>
          <w:szCs w:val="24"/>
          <w:lang w:val="mk-MK"/>
        </w:rPr>
        <w:t>С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труктурите одржуваа редовни состаноци за </w:t>
      </w:r>
      <w:r w:rsidR="00C330E1">
        <w:rPr>
          <w:rFonts w:asciiTheme="minorBidi" w:hAnsiTheme="minorBidi"/>
          <w:sz w:val="24"/>
          <w:szCs w:val="24"/>
          <w:lang w:val="mk-MK"/>
        </w:rPr>
        <w:t>дефинирање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на процесите </w:t>
      </w:r>
      <w:r w:rsidR="00C330E1">
        <w:rPr>
          <w:rFonts w:asciiTheme="minorBidi" w:hAnsiTheme="minorBidi"/>
          <w:sz w:val="24"/>
          <w:szCs w:val="24"/>
          <w:lang w:val="mk-MK"/>
        </w:rPr>
        <w:t xml:space="preserve">се </w:t>
      </w:r>
      <w:r w:rsidRPr="00AA7551">
        <w:rPr>
          <w:rFonts w:asciiTheme="minorBidi" w:hAnsiTheme="minorBidi"/>
          <w:sz w:val="24"/>
          <w:szCs w:val="24"/>
          <w:lang w:val="mk-MK"/>
        </w:rPr>
        <w:t>до најновит</w:t>
      </w:r>
      <w:r w:rsidR="00C330E1">
        <w:rPr>
          <w:rFonts w:asciiTheme="minorBidi" w:hAnsiTheme="minorBidi"/>
          <w:sz w:val="24"/>
          <w:szCs w:val="24"/>
          <w:lang w:val="mk-MK"/>
        </w:rPr>
        <w:t>е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>
        <w:rPr>
          <w:rFonts w:asciiTheme="minorBidi" w:hAnsiTheme="minorBidi"/>
          <w:sz w:val="24"/>
          <w:szCs w:val="24"/>
          <w:lang w:val="mk-MK"/>
        </w:rPr>
        <w:t>случувања</w:t>
      </w:r>
      <w:r w:rsidRPr="00AA7551">
        <w:rPr>
          <w:rFonts w:asciiTheme="minorBidi" w:hAnsiTheme="minorBidi"/>
          <w:sz w:val="24"/>
          <w:szCs w:val="24"/>
          <w:lang w:val="mk-MK"/>
        </w:rPr>
        <w:t>. Процесот ќе се рестартира во наредниот период.</w:t>
      </w:r>
    </w:p>
    <w:p w14:paraId="0CD8B09F" w14:textId="3BEA6885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Исто така, се одржа почетна координација меѓу </w:t>
      </w:r>
      <w:r w:rsidR="00C330E1">
        <w:rPr>
          <w:rFonts w:asciiTheme="minorBidi" w:hAnsiTheme="minorBidi"/>
          <w:sz w:val="24"/>
          <w:szCs w:val="24"/>
          <w:lang w:val="mk-MK"/>
        </w:rPr>
        <w:t>ИПАРД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структурите за </w:t>
      </w:r>
      <w:r w:rsidR="00C330E1">
        <w:rPr>
          <w:rFonts w:asciiTheme="minorBidi" w:hAnsiTheme="minorBidi"/>
          <w:sz w:val="24"/>
          <w:szCs w:val="24"/>
          <w:lang w:val="mk-MK"/>
        </w:rPr>
        <w:t>А</w:t>
      </w:r>
      <w:r w:rsidRPr="00AA7551">
        <w:rPr>
          <w:rFonts w:asciiTheme="minorBidi" w:hAnsiTheme="minorBidi"/>
          <w:sz w:val="24"/>
          <w:szCs w:val="24"/>
          <w:lang w:val="mk-MK"/>
        </w:rPr>
        <w:t>гроеколошката мерка. Поголем фокус на оваа мерка ќе се стави во втората половина на 2026 година.</w:t>
      </w:r>
    </w:p>
    <w:p w14:paraId="6FFC7177" w14:textId="2AB878C8" w:rsidR="00AA7551" w:rsidRPr="009E5E10" w:rsidRDefault="00AA7551" w:rsidP="009E5E10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9E5E10">
        <w:rPr>
          <w:rFonts w:ascii="Arial" w:hAnsi="Arial" w:cs="Arial"/>
          <w:b/>
          <w:bCs/>
          <w:sz w:val="28"/>
          <w:szCs w:val="28"/>
          <w:lang w:val="mk-MK"/>
        </w:rPr>
        <w:t xml:space="preserve">4. Административни капацитети </w:t>
      </w:r>
    </w:p>
    <w:p w14:paraId="4299DACA" w14:textId="4F171D21" w:rsidR="00AA7551" w:rsidRPr="00C330E1" w:rsidRDefault="00C330E1" w:rsidP="009E5E10">
      <w:pPr>
        <w:spacing w:before="120" w:after="0" w:line="240" w:lineRule="auto"/>
        <w:rPr>
          <w:rFonts w:asciiTheme="minorBidi" w:hAnsiTheme="minorBidi"/>
          <w:b/>
          <w:bCs/>
          <w:sz w:val="24"/>
          <w:szCs w:val="24"/>
          <w:u w:val="single"/>
          <w:lang w:val="mk-MK"/>
        </w:rPr>
      </w:pPr>
      <w:r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У</w:t>
      </w:r>
      <w:r w:rsidR="00AA7551"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правува</w:t>
      </w:r>
      <w:r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чка Структура</w:t>
      </w:r>
    </w:p>
    <w:p w14:paraId="236B5B44" w14:textId="6570E571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Моменталниот број на вработени во </w:t>
      </w:r>
      <w:r w:rsidR="00C330E1">
        <w:rPr>
          <w:rFonts w:asciiTheme="minorBidi" w:hAnsiTheme="minorBidi"/>
          <w:sz w:val="24"/>
          <w:szCs w:val="24"/>
          <w:lang w:val="mk-MK"/>
        </w:rPr>
        <w:t>У</w:t>
      </w:r>
      <w:r w:rsidRPr="00AA7551">
        <w:rPr>
          <w:rFonts w:asciiTheme="minorBidi" w:hAnsiTheme="minorBidi"/>
          <w:sz w:val="24"/>
          <w:szCs w:val="24"/>
          <w:lang w:val="mk-MK"/>
        </w:rPr>
        <w:t>правува</w:t>
      </w:r>
      <w:r w:rsidR="00C330E1">
        <w:rPr>
          <w:rFonts w:asciiTheme="minorBidi" w:hAnsiTheme="minorBidi"/>
          <w:sz w:val="24"/>
          <w:szCs w:val="24"/>
          <w:lang w:val="mk-MK"/>
        </w:rPr>
        <w:t>чката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структура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е 17 (седумнаесет - вклучувајќи го и </w:t>
      </w:r>
      <w:r w:rsidR="00C330E1">
        <w:rPr>
          <w:rFonts w:asciiTheme="minorBidi" w:hAnsiTheme="minorBidi"/>
          <w:sz w:val="24"/>
          <w:szCs w:val="24"/>
          <w:lang w:val="mk-MK"/>
        </w:rPr>
        <w:t>НАО</w:t>
      </w:r>
      <w:r w:rsidRPr="00AA7551">
        <w:rPr>
          <w:rFonts w:asciiTheme="minorBidi" w:hAnsiTheme="minorBidi"/>
          <w:sz w:val="24"/>
          <w:szCs w:val="24"/>
          <w:lang w:val="mk-MK"/>
        </w:rPr>
        <w:t>)</w:t>
      </w:r>
      <w:r w:rsidR="00C330E1">
        <w:rPr>
          <w:rFonts w:asciiTheme="minorBidi" w:hAnsiTheme="minorBidi"/>
          <w:sz w:val="24"/>
          <w:szCs w:val="24"/>
          <w:lang w:val="mk-MK"/>
        </w:rPr>
        <w:t>.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>
        <w:rPr>
          <w:rFonts w:asciiTheme="minorBidi" w:hAnsiTheme="minorBidi"/>
          <w:sz w:val="24"/>
          <w:szCs w:val="24"/>
          <w:lang w:val="mk-MK"/>
        </w:rPr>
        <w:t>С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тапката на </w:t>
      </w:r>
      <w:r w:rsidR="00C330E1">
        <w:rPr>
          <w:rFonts w:asciiTheme="minorBidi" w:hAnsiTheme="minorBidi"/>
          <w:sz w:val="24"/>
          <w:szCs w:val="24"/>
          <w:lang w:val="mk-MK"/>
        </w:rPr>
        <w:t>по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полнетост според </w:t>
      </w:r>
      <w:r w:rsidR="00C330E1">
        <w:rPr>
          <w:rFonts w:asciiTheme="minorBidi" w:hAnsiTheme="minorBidi"/>
          <w:sz w:val="24"/>
          <w:szCs w:val="24"/>
          <w:lang w:val="mk-MK"/>
        </w:rPr>
        <w:t>Анализата за оптовареност на работните места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е 94,4% (17 пополнети места од потребните 18). Дополнителн</w:t>
      </w:r>
      <w:r w:rsidR="00C330E1">
        <w:rPr>
          <w:rFonts w:asciiTheme="minorBidi" w:hAnsiTheme="minorBidi"/>
          <w:sz w:val="24"/>
          <w:szCs w:val="24"/>
          <w:lang w:val="mk-MK"/>
        </w:rPr>
        <w:t>иот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1 (еден) вработен е потребен во </w:t>
      </w:r>
      <w:r w:rsidR="00C330E1">
        <w:rPr>
          <w:rFonts w:asciiTheme="minorBidi" w:hAnsiTheme="minorBidi"/>
          <w:sz w:val="24"/>
          <w:szCs w:val="24"/>
          <w:lang w:val="mk-MK"/>
        </w:rPr>
        <w:t>Одделението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за поддршка на </w:t>
      </w:r>
      <w:r w:rsidR="00C330E1">
        <w:rPr>
          <w:rFonts w:asciiTheme="minorBidi" w:hAnsiTheme="minorBidi"/>
          <w:sz w:val="24"/>
          <w:szCs w:val="24"/>
          <w:lang w:val="mk-MK"/>
        </w:rPr>
        <w:t>НАО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ко</w:t>
      </w:r>
      <w:r w:rsidR="00C330E1">
        <w:rPr>
          <w:rFonts w:asciiTheme="minorBidi" w:hAnsiTheme="minorBidi"/>
          <w:sz w:val="24"/>
          <w:szCs w:val="24"/>
          <w:lang w:val="mk-MK"/>
        </w:rPr>
        <w:t>и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се занимава</w:t>
      </w:r>
      <w:r w:rsidR="00C330E1">
        <w:rPr>
          <w:rFonts w:asciiTheme="minorBidi" w:hAnsiTheme="minorBidi"/>
          <w:sz w:val="24"/>
          <w:szCs w:val="24"/>
          <w:lang w:val="mk-MK"/>
        </w:rPr>
        <w:t>ат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со </w:t>
      </w:r>
      <w:r w:rsidR="00C330E1">
        <w:rPr>
          <w:rFonts w:asciiTheme="minorBidi" w:hAnsiTheme="minorBidi"/>
          <w:sz w:val="24"/>
          <w:szCs w:val="24"/>
          <w:lang w:val="mk-MK"/>
        </w:rPr>
        <w:t>ИПА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програмите. Според тоа, капацитетот на </w:t>
      </w:r>
      <w:r w:rsidR="00C330E1">
        <w:rPr>
          <w:rFonts w:asciiTheme="minorBidi" w:hAnsiTheme="minorBidi"/>
          <w:sz w:val="24"/>
          <w:szCs w:val="24"/>
          <w:lang w:val="mk-MK"/>
        </w:rPr>
        <w:t>НАО</w:t>
      </w:r>
      <w:r w:rsidRPr="00AA7551">
        <w:rPr>
          <w:rFonts w:asciiTheme="minorBidi" w:hAnsiTheme="minorBidi"/>
          <w:sz w:val="24"/>
          <w:szCs w:val="24"/>
          <w:lang w:val="mk-MK"/>
        </w:rPr>
        <w:t>/</w:t>
      </w:r>
      <w:r w:rsidR="00C330E1">
        <w:rPr>
          <w:rFonts w:asciiTheme="minorBidi" w:hAnsiTheme="minorBidi"/>
          <w:sz w:val="24"/>
          <w:szCs w:val="24"/>
          <w:lang w:val="mk-MK"/>
        </w:rPr>
        <w:t>УС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во </w:t>
      </w:r>
      <w:r w:rsidR="00C330E1">
        <w:rPr>
          <w:rFonts w:asciiTheme="minorBidi" w:hAnsiTheme="minorBidi"/>
          <w:sz w:val="24"/>
          <w:szCs w:val="24"/>
          <w:lang w:val="mk-MK"/>
        </w:rPr>
        <w:t>поглед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на спроведувањето на</w:t>
      </w:r>
      <w:r w:rsidR="00C330E1">
        <w:rPr>
          <w:rFonts w:asciiTheme="minorBidi" w:hAnsiTheme="minorBidi"/>
          <w:sz w:val="24"/>
          <w:szCs w:val="24"/>
          <w:lang w:val="mk-MK"/>
        </w:rPr>
        <w:t xml:space="preserve"> 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III </w:t>
      </w:r>
      <w:r w:rsidRPr="00AA7551">
        <w:rPr>
          <w:rFonts w:asciiTheme="minorBidi" w:hAnsiTheme="minorBidi"/>
          <w:sz w:val="24"/>
          <w:szCs w:val="24"/>
          <w:lang w:val="mk-MK"/>
        </w:rPr>
        <w:t>програмата, се смета за достигнат.</w:t>
      </w:r>
    </w:p>
    <w:p w14:paraId="6898F80C" w14:textId="27DEE51A" w:rsidR="00AA7551" w:rsidRPr="00C330E1" w:rsidRDefault="00C330E1" w:rsidP="009E5E10">
      <w:pPr>
        <w:spacing w:before="120"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lang w:val="mk-MK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Тело за </w:t>
      </w:r>
      <w:r w:rsidR="00AA7551"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Управува</w:t>
      </w:r>
      <w:r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ње</w:t>
      </w:r>
      <w:r w:rsidR="00AA7551"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со</w:t>
      </w:r>
      <w:r w:rsidR="00AA7551" w:rsidRPr="00C330E1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ИПАРД</w:t>
      </w:r>
    </w:p>
    <w:p w14:paraId="4F70D4FA" w14:textId="05C3495C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>Анализата на оптоваре</w:t>
      </w:r>
      <w:r w:rsidR="00C330E1">
        <w:rPr>
          <w:rFonts w:asciiTheme="minorBidi" w:hAnsiTheme="minorBidi"/>
          <w:sz w:val="24"/>
          <w:szCs w:val="24"/>
          <w:lang w:val="mk-MK"/>
        </w:rPr>
        <w:t>ност на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>работн</w:t>
      </w:r>
      <w:r w:rsidR="00C330E1">
        <w:rPr>
          <w:rFonts w:asciiTheme="minorBidi" w:hAnsiTheme="minorBidi"/>
          <w:sz w:val="24"/>
          <w:szCs w:val="24"/>
          <w:lang w:val="mk-MK"/>
        </w:rPr>
        <w:t>и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>т</w:t>
      </w:r>
      <w:r w:rsidR="00C330E1">
        <w:rPr>
          <w:rFonts w:asciiTheme="minorBidi" w:hAnsiTheme="minorBidi"/>
          <w:sz w:val="24"/>
          <w:szCs w:val="24"/>
          <w:lang w:val="mk-MK"/>
        </w:rPr>
        <w:t>е места</w:t>
      </w:r>
      <w:r w:rsidR="00C330E1"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(WLA 2025) на </w:t>
      </w:r>
      <w:r w:rsidR="00C330E1">
        <w:rPr>
          <w:rFonts w:asciiTheme="minorBidi" w:hAnsiTheme="minorBidi"/>
          <w:sz w:val="24"/>
          <w:szCs w:val="24"/>
          <w:lang w:val="mk-MK"/>
        </w:rPr>
        <w:t>Телото за у</w:t>
      </w:r>
      <w:r w:rsidRPr="00AA7551">
        <w:rPr>
          <w:rFonts w:asciiTheme="minorBidi" w:hAnsiTheme="minorBidi"/>
          <w:sz w:val="24"/>
          <w:szCs w:val="24"/>
          <w:lang w:val="mk-MK"/>
        </w:rPr>
        <w:t>правува</w:t>
      </w:r>
      <w:r w:rsidR="00C330E1">
        <w:rPr>
          <w:rFonts w:asciiTheme="minorBidi" w:hAnsiTheme="minorBidi"/>
          <w:sz w:val="24"/>
          <w:szCs w:val="24"/>
          <w:lang w:val="mk-MK"/>
        </w:rPr>
        <w:t>ње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C330E1">
        <w:rPr>
          <w:rFonts w:asciiTheme="minorBidi" w:hAnsiTheme="minorBidi"/>
          <w:sz w:val="24"/>
          <w:szCs w:val="24"/>
          <w:lang w:val="mk-MK"/>
        </w:rPr>
        <w:t xml:space="preserve">со ИПАРД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се однесува на активностите на ниво на </w:t>
      </w:r>
      <w:r w:rsidR="003D09DF">
        <w:rPr>
          <w:rFonts w:asciiTheme="minorBidi" w:hAnsiTheme="minorBidi"/>
          <w:sz w:val="24"/>
          <w:szCs w:val="24"/>
          <w:lang w:val="mk-MK"/>
        </w:rPr>
        <w:t xml:space="preserve">цела </w:t>
      </w:r>
      <w:r w:rsidRPr="00AA7551">
        <w:rPr>
          <w:rFonts w:asciiTheme="minorBidi" w:hAnsiTheme="minorBidi"/>
          <w:sz w:val="24"/>
          <w:szCs w:val="24"/>
          <w:lang w:val="mk-MK"/>
        </w:rPr>
        <w:t>програма</w:t>
      </w:r>
      <w:r w:rsidR="003D09DF">
        <w:rPr>
          <w:rFonts w:asciiTheme="minorBidi" w:hAnsiTheme="minorBidi"/>
          <w:sz w:val="24"/>
          <w:szCs w:val="24"/>
          <w:lang w:val="mk-MK"/>
        </w:rPr>
        <w:t>,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опфаќа</w:t>
      </w:r>
      <w:r w:rsidR="003D09DF">
        <w:rPr>
          <w:rFonts w:asciiTheme="minorBidi" w:hAnsiTheme="minorBidi"/>
          <w:sz w:val="24"/>
          <w:szCs w:val="24"/>
          <w:lang w:val="mk-MK"/>
        </w:rPr>
        <w:t>јќи ги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сите мерки кои се дел од </w:t>
      </w:r>
      <w:r w:rsidR="003D09DF">
        <w:rPr>
          <w:rFonts w:asciiTheme="minorBidi" w:hAnsiTheme="minorBidi"/>
          <w:sz w:val="24"/>
          <w:szCs w:val="24"/>
          <w:lang w:val="mk-MK"/>
        </w:rPr>
        <w:t xml:space="preserve">ИПАРД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програмата. Според Анализата </w:t>
      </w:r>
      <w:r w:rsidR="003D09DF">
        <w:rPr>
          <w:rFonts w:asciiTheme="minorBidi" w:hAnsiTheme="minorBidi"/>
          <w:sz w:val="24"/>
          <w:szCs w:val="24"/>
          <w:lang w:val="mk-MK"/>
        </w:rPr>
        <w:lastRenderedPageBreak/>
        <w:t>(</w:t>
      </w:r>
      <w:r w:rsidR="003D09DF">
        <w:rPr>
          <w:rFonts w:asciiTheme="minorBidi" w:hAnsiTheme="minorBidi"/>
          <w:sz w:val="24"/>
          <w:szCs w:val="24"/>
        </w:rPr>
        <w:t xml:space="preserve">WLA),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бројот на вработени во </w:t>
      </w:r>
      <w:r w:rsidR="003D09DF">
        <w:rPr>
          <w:rFonts w:asciiTheme="minorBidi" w:hAnsiTheme="minorBidi"/>
          <w:sz w:val="24"/>
          <w:szCs w:val="24"/>
          <w:lang w:val="mk-MK"/>
        </w:rPr>
        <w:t>ТУ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во моментов е 13 (вклучувајќи го и </w:t>
      </w:r>
      <w:r w:rsidR="003D09DF">
        <w:rPr>
          <w:rFonts w:asciiTheme="minorBidi" w:hAnsiTheme="minorBidi"/>
          <w:sz w:val="24"/>
          <w:szCs w:val="24"/>
          <w:lang w:val="mk-MK"/>
        </w:rPr>
        <w:t>Раководителот на ТУ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), што претставува стапка на </w:t>
      </w:r>
      <w:r w:rsidR="003D09DF">
        <w:rPr>
          <w:rFonts w:asciiTheme="minorBidi" w:hAnsiTheme="minorBidi"/>
          <w:sz w:val="24"/>
          <w:szCs w:val="24"/>
          <w:lang w:val="mk-MK"/>
        </w:rPr>
        <w:t>по</w:t>
      </w:r>
      <w:r w:rsidRPr="00AA7551">
        <w:rPr>
          <w:rFonts w:asciiTheme="minorBidi" w:hAnsiTheme="minorBidi"/>
          <w:sz w:val="24"/>
          <w:szCs w:val="24"/>
          <w:lang w:val="mk-MK"/>
        </w:rPr>
        <w:t>полнетост од 93%.</w:t>
      </w:r>
    </w:p>
    <w:p w14:paraId="4C7048AE" w14:textId="3312CA7B" w:rsidR="00AA7551" w:rsidRPr="008B3815" w:rsidRDefault="00AA7551" w:rsidP="009E5E10">
      <w:pPr>
        <w:spacing w:before="120" w:after="0" w:line="240" w:lineRule="auto"/>
        <w:rPr>
          <w:rFonts w:asciiTheme="minorBidi" w:hAnsiTheme="minorBidi"/>
          <w:b/>
          <w:bCs/>
          <w:sz w:val="24"/>
          <w:szCs w:val="24"/>
          <w:u w:val="single"/>
          <w:lang w:val="mk-MK"/>
        </w:rPr>
      </w:pPr>
      <w:r w:rsidRPr="008B3815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Агенција за </w:t>
      </w:r>
      <w:r w:rsidR="008B3815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ИПАРД</w:t>
      </w:r>
    </w:p>
    <w:p w14:paraId="0AA1083E" w14:textId="05FA6772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Според WLA </w:t>
      </w:r>
      <w:r w:rsidR="00092CD5">
        <w:rPr>
          <w:rFonts w:asciiTheme="minorBidi" w:hAnsiTheme="minorBidi"/>
          <w:sz w:val="24"/>
          <w:szCs w:val="24"/>
          <w:lang w:val="mk-MK"/>
        </w:rPr>
        <w:t xml:space="preserve">на ИПАРД </w:t>
      </w:r>
      <w:r w:rsidR="00092CD5" w:rsidRPr="00AA7551">
        <w:rPr>
          <w:rFonts w:asciiTheme="minorBidi" w:hAnsiTheme="minorBidi"/>
          <w:sz w:val="24"/>
          <w:szCs w:val="24"/>
          <w:lang w:val="mk-MK"/>
        </w:rPr>
        <w:t xml:space="preserve">Агенцијата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за 2025 година, оптималниот број на потребни вработени е 160. Во моментов има 145 вработени ангажирани во структурата на </w:t>
      </w:r>
      <w:r w:rsidR="00092CD5">
        <w:rPr>
          <w:rFonts w:asciiTheme="minorBidi" w:hAnsiTheme="minorBidi"/>
          <w:sz w:val="24"/>
          <w:szCs w:val="24"/>
          <w:lang w:val="mk-MK"/>
        </w:rPr>
        <w:t>ИПАРД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Агенцијата. Според тоа, ИПАРД Агенцијата идентификуваше 15 слободни работни места кои треба да се вработат за да се достигне оптималниот број. Планот на ИПАРД Агенцијата е да ги пополни овие работни места до средината на 2026 година (втор/трет квартал).</w:t>
      </w:r>
    </w:p>
    <w:p w14:paraId="6782F1C6" w14:textId="48EEB52C" w:rsidR="00AA7551" w:rsidRPr="00092CD5" w:rsidRDefault="00092CD5" w:rsidP="009E5E10">
      <w:pPr>
        <w:spacing w:before="120" w:after="0" w:line="240" w:lineRule="auto"/>
        <w:rPr>
          <w:rFonts w:asciiTheme="minorBidi" w:hAnsiTheme="minorBidi"/>
          <w:b/>
          <w:bCs/>
          <w:sz w:val="24"/>
          <w:szCs w:val="24"/>
          <w:u w:val="single"/>
          <w:lang w:val="mk-MK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>Административни к</w:t>
      </w:r>
      <w:r w:rsidR="00AA7551" w:rsidRPr="00092CD5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апацитети на </w:t>
      </w:r>
      <w:r w:rsidRPr="00092CD5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ИПАРД </w:t>
      </w:r>
      <w:r w:rsidR="00AA7551" w:rsidRPr="00092CD5">
        <w:rPr>
          <w:rFonts w:asciiTheme="minorBidi" w:hAnsiTheme="minorBidi"/>
          <w:b/>
          <w:bCs/>
          <w:sz w:val="24"/>
          <w:szCs w:val="24"/>
          <w:u w:val="single"/>
          <w:lang w:val="mk-MK"/>
        </w:rPr>
        <w:t xml:space="preserve">структурата </w:t>
      </w:r>
    </w:p>
    <w:p w14:paraId="25823A2F" w14:textId="778DDA62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Во табелата подолу се прикажани податоци за човечките капацитети во </w:t>
      </w:r>
      <w:r w:rsidR="00092CD5" w:rsidRPr="00AA7551">
        <w:rPr>
          <w:rFonts w:asciiTheme="minorBidi" w:hAnsiTheme="minorBidi"/>
          <w:sz w:val="24"/>
          <w:szCs w:val="24"/>
          <w:lang w:val="mk-MK"/>
        </w:rPr>
        <w:t xml:space="preserve">ИПАРД </w:t>
      </w:r>
      <w:r w:rsidRPr="00AA7551">
        <w:rPr>
          <w:rFonts w:asciiTheme="minorBidi" w:hAnsiTheme="minorBidi"/>
          <w:sz w:val="24"/>
          <w:szCs w:val="24"/>
          <w:lang w:val="mk-MK"/>
        </w:rPr>
        <w:t>структурата: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300"/>
        <w:gridCol w:w="1068"/>
        <w:gridCol w:w="1137"/>
        <w:gridCol w:w="1290"/>
        <w:gridCol w:w="1158"/>
        <w:gridCol w:w="1100"/>
        <w:gridCol w:w="1219"/>
        <w:gridCol w:w="1068"/>
      </w:tblGrid>
      <w:tr w:rsidR="00AA7551" w:rsidRPr="00F6275C" w14:paraId="269B98EF" w14:textId="77777777" w:rsidTr="003B429B">
        <w:trPr>
          <w:trHeight w:val="136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0FFEDD37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Институција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3F794D0A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вработени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  <w:t xml:space="preserve"> </w:t>
            </w:r>
            <w:r w:rsidRPr="00815D8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2B8D4C1B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потребен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персонал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според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WLA 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66AD689F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Реализирани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нови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вработувања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до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10.10.2025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25937A2C" w14:textId="695EFED1" w:rsidR="00AA7551" w:rsidRPr="00815D84" w:rsidRDefault="007627E4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  <w:t>Н</w:t>
            </w:r>
            <w:proofErr w:type="spellStart"/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апушт</w:t>
            </w:r>
            <w:proofErr w:type="spellEnd"/>
            <w:r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  <w:t>ен</w:t>
            </w:r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и </w:t>
            </w:r>
            <w:proofErr w:type="spellStart"/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позици</w:t>
            </w:r>
            <w:proofErr w:type="spellEnd"/>
            <w:r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  <w:t>и</w:t>
            </w:r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до</w:t>
            </w:r>
            <w:proofErr w:type="spellEnd"/>
            <w:r w:rsidR="00AA7551"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10.10.2025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25C2BEBB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тековни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вработени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3B1BD01E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Стапка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моментална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зафатеност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350BF3FA" w14:textId="51EBD526" w:rsidR="00AA7551" w:rsidRPr="003E6C2C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</w:pP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Стапка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C53AE4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E6C2C">
              <w:rPr>
                <w:rFonts w:ascii="StobiSerif Regular" w:eastAsia="Times New Roman" w:hAnsi="StobiSerif Regular" w:cs="Arial"/>
                <w:b/>
                <w:bCs/>
                <w:color w:val="000000"/>
                <w:sz w:val="16"/>
                <w:szCs w:val="16"/>
                <w:lang w:val="mk-MK"/>
              </w:rPr>
              <w:t>одлив на кадар</w:t>
            </w:r>
          </w:p>
        </w:tc>
      </w:tr>
      <w:tr w:rsidR="00AA7551" w:rsidRPr="00F6275C" w14:paraId="2FC22E26" w14:textId="77777777" w:rsidTr="003B429B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6DDDE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C53AE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НАО/НФ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BA6DB5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0F8D59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AE6BF1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6FE9DF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6BEA5F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0B40F6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80059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0.00%</w:t>
            </w:r>
          </w:p>
        </w:tc>
      </w:tr>
      <w:tr w:rsidR="00AA7551" w:rsidRPr="00F6275C" w14:paraId="5FCC3D1B" w14:textId="77777777" w:rsidTr="003B429B">
        <w:trPr>
          <w:trHeight w:val="6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13D26" w14:textId="77777777" w:rsidR="00AA7551" w:rsidRPr="00C53AE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r w:rsidRPr="00C53AE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 xml:space="preserve">ИПАРД </w:t>
            </w:r>
            <w:proofErr w:type="spellStart"/>
            <w:r w:rsidRPr="00C53AE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Агенција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43B05F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D216FC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C89FA8" w14:textId="77777777" w:rsidR="00AA7551" w:rsidRPr="00124930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</w:t>
            </w: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A1CF43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99385F" w14:textId="77777777" w:rsidR="00AA7551" w:rsidRPr="00124930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14</w:t>
            </w: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14783D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</w:t>
            </w: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</w:t>
            </w: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B34C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6.29%</w:t>
            </w:r>
          </w:p>
        </w:tc>
      </w:tr>
      <w:tr w:rsidR="00AA7551" w:rsidRPr="00F6275C" w14:paraId="7659480C" w14:textId="77777777" w:rsidTr="003B429B">
        <w:trPr>
          <w:trHeight w:val="6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10E20" w14:textId="5DDCB8D1" w:rsidR="00AA7551" w:rsidRPr="00815D84" w:rsidRDefault="006A48CF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 xml:space="preserve">Тело за </w:t>
            </w:r>
            <w:proofErr w:type="spellStart"/>
            <w:r w:rsidR="00AA7551" w:rsidRPr="00C53AE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Управува</w:t>
            </w:r>
            <w:proofErr w:type="spellEnd"/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>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97A8E1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36B5F9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F00394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C5EA62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BD6C1E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E9B5C8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F8F4C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7.14%</w:t>
            </w:r>
          </w:p>
        </w:tc>
      </w:tr>
      <w:tr w:rsidR="00AA7551" w:rsidRPr="00F6275C" w14:paraId="0DDE571B" w14:textId="77777777" w:rsidTr="003B429B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FBFBF" w:fill="BDD7EE"/>
            <w:vAlign w:val="center"/>
            <w:hideMark/>
          </w:tcPr>
          <w:p w14:paraId="5A2DF4DC" w14:textId="77777777" w:rsidR="00AA7551" w:rsidRPr="00C53AE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  <w:lang w:val="mk-MK"/>
              </w:rPr>
              <w:t>Вкупно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BDD7EE"/>
            <w:vAlign w:val="center"/>
            <w:hideMark/>
          </w:tcPr>
          <w:p w14:paraId="3017898B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BDD7EE"/>
            <w:vAlign w:val="center"/>
            <w:hideMark/>
          </w:tcPr>
          <w:p w14:paraId="1204695F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BDD7EE"/>
            <w:vAlign w:val="center"/>
            <w:hideMark/>
          </w:tcPr>
          <w:p w14:paraId="4E4B2D1D" w14:textId="77777777" w:rsidR="00AA7551" w:rsidRPr="00124930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</w:t>
            </w: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BDD7EE"/>
            <w:vAlign w:val="center"/>
            <w:hideMark/>
          </w:tcPr>
          <w:p w14:paraId="350E95F1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BDD7EE"/>
            <w:vAlign w:val="center"/>
            <w:hideMark/>
          </w:tcPr>
          <w:p w14:paraId="0B9B0151" w14:textId="77777777" w:rsidR="00AA7551" w:rsidRPr="00124930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17</w:t>
            </w:r>
            <w:r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BDD7EE"/>
            <w:vAlign w:val="center"/>
            <w:hideMark/>
          </w:tcPr>
          <w:p w14:paraId="548E2DD5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BDD7EE"/>
            <w:vAlign w:val="center"/>
            <w:hideMark/>
          </w:tcPr>
          <w:p w14:paraId="6D812110" w14:textId="77777777" w:rsidR="00AA7551" w:rsidRPr="00815D84" w:rsidRDefault="00AA7551" w:rsidP="009E5E10">
            <w:pPr>
              <w:spacing w:after="0" w:line="240" w:lineRule="auto"/>
              <w:jc w:val="center"/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</w:pPr>
            <w:r w:rsidRPr="00815D84">
              <w:rPr>
                <w:rFonts w:ascii="StobiSerif Regular" w:eastAsia="Times New Roman" w:hAnsi="StobiSerif Regular" w:cs="Arial"/>
                <w:color w:val="000000"/>
                <w:sz w:val="18"/>
                <w:szCs w:val="18"/>
              </w:rPr>
              <w:t>5.85%</w:t>
            </w:r>
          </w:p>
        </w:tc>
      </w:tr>
    </w:tbl>
    <w:p w14:paraId="5ECA7A66" w14:textId="05880AC7" w:rsidR="00AA7551" w:rsidRPr="00AA7551" w:rsidRDefault="00AA7551" w:rsidP="009E5E10">
      <w:pPr>
        <w:spacing w:before="120" w:after="0" w:line="240" w:lineRule="auto"/>
        <w:jc w:val="both"/>
        <w:rPr>
          <w:rFonts w:asciiTheme="minorBidi" w:hAnsiTheme="minorBidi"/>
          <w:sz w:val="24"/>
          <w:szCs w:val="24"/>
          <w:lang w:val="mk-MK"/>
        </w:rPr>
      </w:pPr>
      <w:r w:rsidRPr="00AA7551">
        <w:rPr>
          <w:rFonts w:asciiTheme="minorBidi" w:hAnsiTheme="minorBidi"/>
          <w:sz w:val="24"/>
          <w:szCs w:val="24"/>
          <w:lang w:val="mk-MK"/>
        </w:rPr>
        <w:t xml:space="preserve">Со WLA за 2025 година, бројот на потребни вработени во </w:t>
      </w:r>
      <w:r w:rsidR="006A48CF">
        <w:rPr>
          <w:rFonts w:asciiTheme="minorBidi" w:hAnsiTheme="minorBidi"/>
          <w:sz w:val="24"/>
          <w:szCs w:val="24"/>
          <w:lang w:val="mk-MK"/>
        </w:rPr>
        <w:t xml:space="preserve">ИПАРД 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структурата зголемен на 194, а стапката на пополнетост е 90%. </w:t>
      </w:r>
      <w:r w:rsidR="003E6C2C">
        <w:rPr>
          <w:rFonts w:asciiTheme="minorBidi" w:hAnsiTheme="minorBidi"/>
          <w:sz w:val="24"/>
          <w:szCs w:val="24"/>
          <w:lang w:val="mk-MK"/>
        </w:rPr>
        <w:t>Стапката на одлив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на </w:t>
      </w:r>
      <w:r w:rsidR="003E6C2C">
        <w:rPr>
          <w:rFonts w:asciiTheme="minorBidi" w:hAnsiTheme="minorBidi"/>
          <w:sz w:val="24"/>
          <w:szCs w:val="24"/>
          <w:lang w:val="mk-MK"/>
        </w:rPr>
        <w:t>кадар</w:t>
      </w:r>
      <w:r w:rsidRPr="00AA7551">
        <w:rPr>
          <w:rFonts w:asciiTheme="minorBidi" w:hAnsiTheme="minorBidi"/>
          <w:sz w:val="24"/>
          <w:szCs w:val="24"/>
          <w:lang w:val="mk-MK"/>
        </w:rPr>
        <w:t xml:space="preserve"> на ниво на Програма е 5,85%.</w:t>
      </w:r>
    </w:p>
    <w:p w14:paraId="07F2460E" w14:textId="26143D5C" w:rsidR="00650B13" w:rsidRPr="009E5E10" w:rsidRDefault="00D25D16" w:rsidP="009E5E10">
      <w:pPr>
        <w:spacing w:before="120" w:after="120" w:line="240" w:lineRule="auto"/>
        <w:jc w:val="both"/>
        <w:rPr>
          <w:rFonts w:ascii="Arial" w:hAnsi="Arial" w:cs="Arial"/>
          <w:b/>
          <w:bCs/>
          <w:sz w:val="28"/>
          <w:szCs w:val="28"/>
          <w:lang w:val="mk-MK"/>
        </w:rPr>
      </w:pPr>
      <w:r w:rsidRPr="009E5E10">
        <w:rPr>
          <w:rFonts w:ascii="Arial" w:hAnsi="Arial" w:cs="Arial"/>
          <w:b/>
          <w:bCs/>
          <w:sz w:val="28"/>
          <w:szCs w:val="28"/>
          <w:lang w:val="mk-MK"/>
        </w:rPr>
        <w:t>5.Финансиски Менаџмент</w:t>
      </w:r>
    </w:p>
    <w:p w14:paraId="3204B0C0" w14:textId="7BAA840C" w:rsidR="00E619D8" w:rsidRPr="00E619D8" w:rsidRDefault="00E619D8" w:rsidP="009E5E10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619D8">
        <w:rPr>
          <w:rFonts w:ascii="Arial" w:hAnsi="Arial" w:cs="Arial"/>
          <w:sz w:val="24"/>
          <w:szCs w:val="24"/>
          <w:lang w:val="mk-MK"/>
        </w:rPr>
        <w:t xml:space="preserve">Согласно член 33(3) </w:t>
      </w:r>
      <w:r w:rsidR="00DC1EE2">
        <w:rPr>
          <w:rFonts w:ascii="Arial" w:hAnsi="Arial" w:cs="Arial"/>
          <w:sz w:val="24"/>
          <w:szCs w:val="24"/>
          <w:lang w:val="mk-MK"/>
        </w:rPr>
        <w:t>од</w:t>
      </w:r>
      <w:r w:rsidR="00131BEB" w:rsidRPr="00131BEB">
        <w:rPr>
          <w:rFonts w:ascii="Arial" w:hAnsi="Arial" w:cs="Arial"/>
          <w:sz w:val="24"/>
          <w:szCs w:val="24"/>
          <w:lang w:val="mk-MK"/>
        </w:rPr>
        <w:t xml:space="preserve"> </w:t>
      </w:r>
      <w:r w:rsidR="00131BEB">
        <w:rPr>
          <w:rFonts w:ascii="Arial" w:hAnsi="Arial" w:cs="Arial"/>
          <w:sz w:val="24"/>
          <w:szCs w:val="24"/>
          <w:lang w:val="mk-MK"/>
        </w:rPr>
        <w:t>Финансиски</w:t>
      </w:r>
      <w:r w:rsidR="00674182">
        <w:rPr>
          <w:rFonts w:ascii="Arial" w:hAnsi="Arial" w:cs="Arial"/>
          <w:sz w:val="24"/>
          <w:szCs w:val="24"/>
          <w:lang w:val="mk-MK"/>
        </w:rPr>
        <w:t>от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Рамковен договор за партнерство за </w:t>
      </w:r>
      <w:r w:rsidR="00674182">
        <w:rPr>
          <w:rFonts w:ascii="Arial" w:hAnsi="Arial" w:cs="Arial"/>
          <w:sz w:val="24"/>
          <w:szCs w:val="24"/>
          <w:lang w:val="mk-MK"/>
        </w:rPr>
        <w:t>ИПА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III и Анекс 7 </w:t>
      </w:r>
      <w:r w:rsidR="00674182">
        <w:rPr>
          <w:rFonts w:ascii="Arial" w:hAnsi="Arial" w:cs="Arial"/>
          <w:sz w:val="24"/>
          <w:szCs w:val="24"/>
          <w:lang w:val="mk-MK"/>
        </w:rPr>
        <w:t>од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Секторск</w:t>
      </w:r>
      <w:r w:rsidR="00DC1EE2">
        <w:rPr>
          <w:rFonts w:ascii="Arial" w:hAnsi="Arial" w:cs="Arial"/>
          <w:sz w:val="24"/>
          <w:szCs w:val="24"/>
          <w:lang w:val="mk-MK"/>
        </w:rPr>
        <w:t>ата</w:t>
      </w:r>
      <w:r w:rsidR="00674182">
        <w:rPr>
          <w:rFonts w:ascii="Arial" w:hAnsi="Arial" w:cs="Arial"/>
          <w:sz w:val="24"/>
          <w:szCs w:val="24"/>
          <w:lang w:val="mk-MK"/>
        </w:rPr>
        <w:t xml:space="preserve"> </w:t>
      </w:r>
      <w:r w:rsidR="00DC1EE2">
        <w:rPr>
          <w:rFonts w:ascii="Arial" w:hAnsi="Arial" w:cs="Arial"/>
          <w:sz w:val="24"/>
          <w:szCs w:val="24"/>
          <w:lang w:val="mk-MK"/>
        </w:rPr>
        <w:t>спогодба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, НАО испрати </w:t>
      </w:r>
      <w:r w:rsidR="00674182">
        <w:rPr>
          <w:rFonts w:ascii="Arial" w:hAnsi="Arial" w:cs="Arial"/>
          <w:sz w:val="24"/>
          <w:szCs w:val="24"/>
          <w:lang w:val="mk-MK"/>
        </w:rPr>
        <w:t>до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Комисијата </w:t>
      </w:r>
      <w:r w:rsidR="00DC1EE2">
        <w:rPr>
          <w:rFonts w:ascii="Arial" w:hAnsi="Arial" w:cs="Arial"/>
          <w:sz w:val="24"/>
          <w:szCs w:val="24"/>
          <w:lang w:val="mk-MK"/>
        </w:rPr>
        <w:t>П</w:t>
      </w:r>
      <w:r w:rsidR="00674182">
        <w:rPr>
          <w:rFonts w:ascii="Arial" w:hAnsi="Arial" w:cs="Arial"/>
          <w:sz w:val="24"/>
          <w:szCs w:val="24"/>
          <w:lang w:val="mk-MK"/>
        </w:rPr>
        <w:t>рогноза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за </w:t>
      </w:r>
      <w:r w:rsidR="00674182">
        <w:rPr>
          <w:rFonts w:ascii="Arial" w:hAnsi="Arial" w:cs="Arial"/>
          <w:sz w:val="24"/>
          <w:szCs w:val="24"/>
          <w:lang w:val="mk-MK"/>
        </w:rPr>
        <w:t>евентуални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барањ</w:t>
      </w:r>
      <w:r w:rsidR="00674182">
        <w:rPr>
          <w:rFonts w:ascii="Arial" w:hAnsi="Arial" w:cs="Arial"/>
          <w:sz w:val="24"/>
          <w:szCs w:val="24"/>
          <w:lang w:val="mk-MK"/>
        </w:rPr>
        <w:t>а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за плаќање за 2025-2026 за </w:t>
      </w:r>
      <w:r w:rsidR="00674182">
        <w:rPr>
          <w:rFonts w:ascii="Arial" w:hAnsi="Arial" w:cs="Arial"/>
          <w:sz w:val="24"/>
          <w:szCs w:val="24"/>
          <w:lang w:val="mk-MK"/>
        </w:rPr>
        <w:t>ИПАРД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 III програмата на 15ти Јануари 2025</w:t>
      </w:r>
      <w:r w:rsidR="008B4B48">
        <w:rPr>
          <w:rFonts w:ascii="Arial" w:hAnsi="Arial" w:cs="Arial"/>
          <w:sz w:val="24"/>
          <w:szCs w:val="24"/>
          <w:lang w:val="mk-MK"/>
        </w:rPr>
        <w:t xml:space="preserve"> и на 11ти Јули 2025 година</w:t>
      </w:r>
      <w:r w:rsidRPr="00E619D8">
        <w:rPr>
          <w:rFonts w:ascii="Arial" w:hAnsi="Arial" w:cs="Arial"/>
          <w:sz w:val="24"/>
          <w:szCs w:val="24"/>
          <w:lang w:val="mk-MK"/>
        </w:rPr>
        <w:t xml:space="preserve">. </w:t>
      </w:r>
    </w:p>
    <w:p w14:paraId="78FD847F" w14:textId="6977E8DE" w:rsidR="00E619D8" w:rsidRDefault="00E619D8" w:rsidP="009E5E1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619D8">
        <w:rPr>
          <w:rFonts w:ascii="Arial" w:hAnsi="Arial" w:cs="Arial"/>
          <w:sz w:val="24"/>
          <w:szCs w:val="24"/>
          <w:lang w:val="mk-MK"/>
        </w:rPr>
        <w:t xml:space="preserve">Во табелите подолу </w:t>
      </w:r>
      <w:r>
        <w:rPr>
          <w:rFonts w:ascii="Arial" w:hAnsi="Arial" w:cs="Arial"/>
          <w:sz w:val="24"/>
          <w:szCs w:val="24"/>
          <w:lang w:val="mk-MK"/>
        </w:rPr>
        <w:t xml:space="preserve">се презентирани </w:t>
      </w:r>
      <w:r w:rsidR="00131BEB">
        <w:rPr>
          <w:rFonts w:ascii="Arial" w:hAnsi="Arial" w:cs="Arial"/>
          <w:sz w:val="24"/>
          <w:szCs w:val="24"/>
          <w:lang w:val="mk-MK"/>
        </w:rPr>
        <w:t xml:space="preserve">извршените </w:t>
      </w:r>
      <w:r>
        <w:rPr>
          <w:rFonts w:ascii="Arial" w:hAnsi="Arial" w:cs="Arial"/>
          <w:sz w:val="24"/>
          <w:szCs w:val="24"/>
          <w:lang w:val="mk-MK"/>
        </w:rPr>
        <w:t xml:space="preserve">плаќања – </w:t>
      </w:r>
      <w:r w:rsidR="00674182">
        <w:rPr>
          <w:rFonts w:ascii="Arial" w:hAnsi="Arial" w:cs="Arial"/>
          <w:sz w:val="24"/>
          <w:szCs w:val="24"/>
          <w:lang w:val="mk-MK"/>
        </w:rPr>
        <w:t>ИПА</w:t>
      </w:r>
      <w:r>
        <w:rPr>
          <w:rFonts w:ascii="Arial" w:hAnsi="Arial" w:cs="Arial"/>
          <w:sz w:val="24"/>
          <w:szCs w:val="24"/>
          <w:lang w:val="mk-MK"/>
        </w:rPr>
        <w:t xml:space="preserve"> придонес</w:t>
      </w:r>
      <w:r w:rsidR="00DC1EE2">
        <w:rPr>
          <w:rFonts w:ascii="Arial" w:hAnsi="Arial" w:cs="Arial"/>
          <w:sz w:val="24"/>
          <w:szCs w:val="24"/>
          <w:lang w:val="mk-MK"/>
        </w:rPr>
        <w:t>, вкупно</w:t>
      </w:r>
      <w:r>
        <w:rPr>
          <w:rFonts w:ascii="Arial" w:hAnsi="Arial" w:cs="Arial"/>
          <w:sz w:val="24"/>
          <w:szCs w:val="24"/>
          <w:lang w:val="mk-MK"/>
        </w:rPr>
        <w:t xml:space="preserve"> и </w:t>
      </w:r>
      <w:r w:rsidR="00DC1EE2">
        <w:rPr>
          <w:rFonts w:ascii="Arial" w:hAnsi="Arial" w:cs="Arial"/>
          <w:sz w:val="24"/>
          <w:szCs w:val="24"/>
          <w:lang w:val="mk-MK"/>
        </w:rPr>
        <w:t xml:space="preserve">посебно </w:t>
      </w:r>
      <w:r>
        <w:rPr>
          <w:rFonts w:ascii="Arial" w:hAnsi="Arial" w:cs="Arial"/>
          <w:sz w:val="24"/>
          <w:szCs w:val="24"/>
          <w:lang w:val="mk-MK"/>
        </w:rPr>
        <w:t xml:space="preserve">за 2025, </w:t>
      </w:r>
      <w:r w:rsidRPr="009E5E10">
        <w:rPr>
          <w:rFonts w:ascii="Arial" w:hAnsi="Arial" w:cs="Arial"/>
          <w:b/>
          <w:sz w:val="24"/>
          <w:szCs w:val="24"/>
          <w:u w:val="single"/>
          <w:lang w:val="mk-MK"/>
        </w:rPr>
        <w:t>со пресек 0</w:t>
      </w:r>
      <w:r w:rsidR="008B4B48" w:rsidRPr="009E5E10">
        <w:rPr>
          <w:rFonts w:ascii="Arial" w:hAnsi="Arial" w:cs="Arial"/>
          <w:b/>
          <w:sz w:val="24"/>
          <w:szCs w:val="24"/>
          <w:u w:val="single"/>
          <w:lang w:val="mk-MK"/>
        </w:rPr>
        <w:t>7</w:t>
      </w:r>
      <w:r w:rsidRPr="009E5E10">
        <w:rPr>
          <w:rFonts w:ascii="Arial" w:hAnsi="Arial" w:cs="Arial"/>
          <w:b/>
          <w:sz w:val="24"/>
          <w:szCs w:val="24"/>
          <w:u w:val="single"/>
          <w:lang w:val="mk-MK"/>
        </w:rPr>
        <w:t xml:space="preserve"> </w:t>
      </w:r>
      <w:r w:rsidR="00C71F94" w:rsidRPr="009E5E10">
        <w:rPr>
          <w:rFonts w:ascii="Arial" w:hAnsi="Arial" w:cs="Arial"/>
          <w:b/>
          <w:sz w:val="24"/>
          <w:szCs w:val="24"/>
          <w:u w:val="single"/>
          <w:lang w:val="mk-MK"/>
        </w:rPr>
        <w:t>н</w:t>
      </w:r>
      <w:r w:rsidR="008B4B48" w:rsidRPr="009E5E10">
        <w:rPr>
          <w:rFonts w:ascii="Arial" w:hAnsi="Arial" w:cs="Arial"/>
          <w:b/>
          <w:sz w:val="24"/>
          <w:szCs w:val="24"/>
          <w:u w:val="single"/>
          <w:lang w:val="mk-MK"/>
        </w:rPr>
        <w:t>оември</w:t>
      </w:r>
      <w:r w:rsidRPr="009E5E10">
        <w:rPr>
          <w:rFonts w:ascii="Arial" w:hAnsi="Arial" w:cs="Arial"/>
          <w:b/>
          <w:sz w:val="24"/>
          <w:szCs w:val="24"/>
          <w:u w:val="single"/>
          <w:lang w:val="mk-MK"/>
        </w:rPr>
        <w:t xml:space="preserve"> 2025</w:t>
      </w:r>
      <w:r w:rsidRPr="00E619D8">
        <w:rPr>
          <w:rFonts w:ascii="Arial" w:hAnsi="Arial" w:cs="Arial"/>
          <w:sz w:val="24"/>
          <w:szCs w:val="24"/>
          <w:lang w:val="mk-MK"/>
        </w:rPr>
        <w:t>:</w:t>
      </w:r>
    </w:p>
    <w:p w14:paraId="382D69B6" w14:textId="34B83A4F" w:rsidR="009E5E10" w:rsidRPr="009E5E10" w:rsidRDefault="009E5E10" w:rsidP="009E5E10">
      <w:pPr>
        <w:spacing w:before="120" w:after="120" w:line="240" w:lineRule="auto"/>
        <w:jc w:val="both"/>
        <w:rPr>
          <w:rFonts w:ascii="Arial" w:hAnsi="Arial" w:cs="Arial"/>
          <w:b/>
          <w:lang w:val="mk-MK"/>
        </w:rPr>
      </w:pPr>
      <w:r w:rsidRPr="009E5E10">
        <w:rPr>
          <w:rFonts w:ascii="Arial" w:hAnsi="Arial" w:cs="Arial"/>
          <w:b/>
          <w:lang w:val="mk-MK"/>
        </w:rPr>
        <w:t>Табела 1:</w:t>
      </w:r>
      <w:r>
        <w:rPr>
          <w:rFonts w:ascii="Arial" w:hAnsi="Arial" w:cs="Arial"/>
          <w:b/>
          <w:lang w:val="mk-MK"/>
        </w:rPr>
        <w:t xml:space="preserve"> Целосен статус на Програмата за периодот 2021-2027</w:t>
      </w:r>
      <w:r w:rsidRPr="009E5E10">
        <w:rPr>
          <w:rFonts w:ascii="Arial" w:hAnsi="Arial" w:cs="Arial"/>
          <w:b/>
          <w:lang w:val="mk-MK"/>
        </w:rPr>
        <w:t xml:space="preserve"> </w:t>
      </w:r>
    </w:p>
    <w:tbl>
      <w:tblPr>
        <w:tblpPr w:leftFromText="180" w:rightFromText="180" w:bottomFromText="160" w:vertAnchor="text" w:horzAnchor="margin" w:tblpXSpec="center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01"/>
        <w:gridCol w:w="1501"/>
        <w:gridCol w:w="1623"/>
        <w:gridCol w:w="1556"/>
      </w:tblGrid>
      <w:tr w:rsidR="00E619D8" w:rsidRPr="00E619D8" w14:paraId="61C57742" w14:textId="77777777" w:rsidTr="009E5E10">
        <w:trPr>
          <w:trHeight w:val="70"/>
        </w:trPr>
        <w:tc>
          <w:tcPr>
            <w:tcW w:w="1572" w:type="pct"/>
            <w:shd w:val="clear" w:color="auto" w:fill="D0CECE"/>
          </w:tcPr>
          <w:p w14:paraId="6E8ECE28" w14:textId="77777777" w:rsidR="00E619D8" w:rsidRPr="00E619D8" w:rsidRDefault="00E619D8" w:rsidP="009E5E1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32" w:type="pct"/>
            <w:shd w:val="clear" w:color="auto" w:fill="D0CECE"/>
            <w:hideMark/>
          </w:tcPr>
          <w:p w14:paraId="7787CA9D" w14:textId="693C0D5B" w:rsidR="00E619D8" w:rsidRPr="00674182" w:rsidRDefault="00674182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ИПА</w:t>
            </w:r>
          </w:p>
        </w:tc>
        <w:tc>
          <w:tcPr>
            <w:tcW w:w="832" w:type="pct"/>
            <w:shd w:val="clear" w:color="auto" w:fill="D0CECE"/>
            <w:hideMark/>
          </w:tcPr>
          <w:p w14:paraId="2F74F36E" w14:textId="3BD82419" w:rsidR="00E619D8" w:rsidRPr="00674182" w:rsidRDefault="00674182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НКФ</w:t>
            </w:r>
          </w:p>
        </w:tc>
        <w:tc>
          <w:tcPr>
            <w:tcW w:w="900" w:type="pct"/>
            <w:shd w:val="clear" w:color="auto" w:fill="D0CECE"/>
            <w:hideMark/>
          </w:tcPr>
          <w:p w14:paraId="34AB8952" w14:textId="2892FE73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ВКУПНО</w:t>
            </w:r>
          </w:p>
        </w:tc>
        <w:tc>
          <w:tcPr>
            <w:tcW w:w="0" w:type="auto"/>
            <w:shd w:val="clear" w:color="auto" w:fill="D0CECE"/>
            <w:vAlign w:val="center"/>
            <w:hideMark/>
          </w:tcPr>
          <w:p w14:paraId="33BFD7C5" w14:textId="42023730" w:rsidR="00E619D8" w:rsidRPr="009E5E10" w:rsidRDefault="009E5E10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mk-MK"/>
              </w:rPr>
            </w:pPr>
            <w:r w:rsidRPr="009E5E10">
              <w:rPr>
                <w:rFonts w:ascii="Arial" w:eastAsia="Calibri" w:hAnsi="Arial" w:cs="Arial"/>
                <w:b/>
                <w:lang w:val="mk-MK"/>
              </w:rPr>
              <w:t>% на реализација</w:t>
            </w:r>
          </w:p>
        </w:tc>
      </w:tr>
      <w:tr w:rsidR="00E619D8" w:rsidRPr="00E619D8" w14:paraId="757D461D" w14:textId="77777777" w:rsidTr="009E5E10">
        <w:trPr>
          <w:trHeight w:val="189"/>
        </w:trPr>
        <w:tc>
          <w:tcPr>
            <w:tcW w:w="1572" w:type="pct"/>
            <w:hideMark/>
          </w:tcPr>
          <w:p w14:paraId="6F7CFEE2" w14:textId="73A212D9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Достапен буџет за 2021-2027</w:t>
            </w:r>
          </w:p>
        </w:tc>
        <w:tc>
          <w:tcPr>
            <w:tcW w:w="832" w:type="pct"/>
            <w:hideMark/>
          </w:tcPr>
          <w:p w14:paraId="294B1120" w14:textId="77777777" w:rsidR="00E619D8" w:rsidRPr="00E619D8" w:rsidRDefault="00E619D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E619D8">
              <w:rPr>
                <w:rFonts w:ascii="Arial" w:eastAsia="Calibri" w:hAnsi="Arial" w:cs="Arial"/>
              </w:rPr>
              <w:t>97,000,000</w:t>
            </w:r>
          </w:p>
        </w:tc>
        <w:tc>
          <w:tcPr>
            <w:tcW w:w="832" w:type="pct"/>
            <w:hideMark/>
          </w:tcPr>
          <w:p w14:paraId="3FDCB731" w14:textId="77777777" w:rsidR="00E619D8" w:rsidRPr="00E619D8" w:rsidRDefault="00E619D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E619D8">
              <w:rPr>
                <w:rFonts w:ascii="Arial" w:eastAsia="Calibri" w:hAnsi="Arial" w:cs="Arial"/>
              </w:rPr>
              <w:t>31,073,333</w:t>
            </w:r>
          </w:p>
        </w:tc>
        <w:tc>
          <w:tcPr>
            <w:tcW w:w="900" w:type="pct"/>
            <w:hideMark/>
          </w:tcPr>
          <w:p w14:paraId="116C9FFB" w14:textId="77777777" w:rsidR="00E619D8" w:rsidRPr="00E619D8" w:rsidRDefault="00E619D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E619D8">
              <w:rPr>
                <w:rFonts w:ascii="Arial" w:eastAsia="Calibri" w:hAnsi="Arial" w:cs="Arial"/>
              </w:rPr>
              <w:t>128,073,333</w:t>
            </w:r>
          </w:p>
        </w:tc>
        <w:tc>
          <w:tcPr>
            <w:tcW w:w="863" w:type="pct"/>
          </w:tcPr>
          <w:p w14:paraId="0F42171C" w14:textId="77777777" w:rsidR="00E619D8" w:rsidRPr="00E619D8" w:rsidRDefault="00E619D8" w:rsidP="009E5E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619D8" w:rsidRPr="00E619D8" w14:paraId="43EE8EC1" w14:textId="77777777" w:rsidTr="009E5E10">
        <w:trPr>
          <w:trHeight w:val="194"/>
        </w:trPr>
        <w:tc>
          <w:tcPr>
            <w:tcW w:w="1572" w:type="pct"/>
            <w:hideMark/>
          </w:tcPr>
          <w:p w14:paraId="61F7C889" w14:textId="7D85867F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Исплатено</w:t>
            </w:r>
          </w:p>
        </w:tc>
        <w:tc>
          <w:tcPr>
            <w:tcW w:w="832" w:type="pct"/>
            <w:hideMark/>
          </w:tcPr>
          <w:p w14:paraId="79D50F4D" w14:textId="261C3F35" w:rsidR="00E619D8" w:rsidRPr="00E619D8" w:rsidRDefault="008B4B48" w:rsidP="009E5E10">
            <w:pPr>
              <w:spacing w:after="0" w:line="240" w:lineRule="auto"/>
              <w:ind w:left="180" w:hanging="180"/>
              <w:jc w:val="right"/>
              <w:rPr>
                <w:rFonts w:ascii="Arial" w:eastAsia="Calibri" w:hAnsi="Arial" w:cs="Arial"/>
              </w:rPr>
            </w:pPr>
            <w:r w:rsidRPr="008B4B48">
              <w:rPr>
                <w:rFonts w:ascii="Arial" w:eastAsia="Calibri" w:hAnsi="Arial" w:cs="Arial"/>
              </w:rPr>
              <w:t>8,266,412.89</w:t>
            </w:r>
          </w:p>
        </w:tc>
        <w:tc>
          <w:tcPr>
            <w:tcW w:w="832" w:type="pct"/>
            <w:hideMark/>
          </w:tcPr>
          <w:p w14:paraId="7DB8ED83" w14:textId="4E66BE82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8B4B48">
              <w:rPr>
                <w:rFonts w:ascii="Arial" w:eastAsia="Calibri" w:hAnsi="Arial" w:cs="Arial"/>
              </w:rPr>
              <w:t>2,754,499.88</w:t>
            </w:r>
          </w:p>
        </w:tc>
        <w:tc>
          <w:tcPr>
            <w:tcW w:w="900" w:type="pct"/>
            <w:hideMark/>
          </w:tcPr>
          <w:p w14:paraId="3A7CB433" w14:textId="1D5EE147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 w:rsidRPr="008B4B48">
              <w:rPr>
                <w:rFonts w:ascii="Arial" w:eastAsia="Calibri" w:hAnsi="Arial" w:cs="Arial"/>
              </w:rPr>
              <w:t>11,020,912.77</w:t>
            </w:r>
          </w:p>
        </w:tc>
        <w:tc>
          <w:tcPr>
            <w:tcW w:w="863" w:type="pct"/>
            <w:hideMark/>
          </w:tcPr>
          <w:p w14:paraId="5D19DADF" w14:textId="637673FB" w:rsidR="00E619D8" w:rsidRPr="00E619D8" w:rsidRDefault="008B4B4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E619D8" w:rsidRPr="00E619D8">
              <w:rPr>
                <w:rFonts w:ascii="Arial" w:eastAsia="Calibri" w:hAnsi="Arial" w:cs="Arial"/>
              </w:rPr>
              <w:t>%</w:t>
            </w:r>
          </w:p>
        </w:tc>
      </w:tr>
    </w:tbl>
    <w:p w14:paraId="582A92E7" w14:textId="1A35B144" w:rsidR="00E619D8" w:rsidRPr="00E619D8" w:rsidRDefault="009E5E10" w:rsidP="009E5E10">
      <w:pPr>
        <w:spacing w:after="0" w:line="240" w:lineRule="auto"/>
        <w:jc w:val="both"/>
        <w:rPr>
          <w:rFonts w:ascii="Arial" w:eastAsia="Calibri" w:hAnsi="Arial" w:cs="Arial"/>
          <w:lang w:eastAsia="mk-MK"/>
        </w:rPr>
      </w:pPr>
      <w:r w:rsidRPr="009E5E10"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  <w:lang w:val="mk-MK"/>
        </w:rPr>
        <w:t>2</w:t>
      </w:r>
      <w:r w:rsidRPr="009E5E10">
        <w:rPr>
          <w:rFonts w:ascii="Arial" w:hAnsi="Arial" w:cs="Arial"/>
          <w:b/>
          <w:lang w:val="mk-MK"/>
        </w:rPr>
        <w:t>:</w:t>
      </w:r>
      <w:r w:rsidRPr="009E5E10">
        <w:rPr>
          <w:rFonts w:ascii="Arial" w:eastAsia="Calibri" w:hAnsi="Arial" w:cs="Arial"/>
          <w:b/>
          <w:bCs/>
          <w:lang w:val="mk-MK" w:eastAsia="mk-MK"/>
        </w:rPr>
        <w:t xml:space="preserve"> </w:t>
      </w:r>
      <w:r>
        <w:rPr>
          <w:rFonts w:ascii="Arial" w:eastAsia="Calibri" w:hAnsi="Arial" w:cs="Arial"/>
          <w:b/>
          <w:bCs/>
          <w:lang w:val="mk-MK" w:eastAsia="mk-MK"/>
        </w:rPr>
        <w:t>Извршени</w:t>
      </w:r>
      <w:r w:rsidRPr="00E619D8">
        <w:rPr>
          <w:rFonts w:ascii="Arial" w:eastAsia="Calibri" w:hAnsi="Arial" w:cs="Arial"/>
          <w:b/>
          <w:bCs/>
          <w:lang w:val="mk-MK" w:eastAsia="mk-MK"/>
        </w:rPr>
        <w:t xml:space="preserve"> </w:t>
      </w:r>
      <w:r>
        <w:rPr>
          <w:rFonts w:ascii="Arial" w:eastAsia="Calibri" w:hAnsi="Arial" w:cs="Arial"/>
          <w:b/>
          <w:bCs/>
          <w:lang w:val="mk-MK" w:eastAsia="mk-MK"/>
        </w:rPr>
        <w:t>плаќања</w:t>
      </w:r>
      <w:r w:rsidRPr="00E619D8">
        <w:rPr>
          <w:rFonts w:ascii="Arial" w:eastAsia="Calibri" w:hAnsi="Arial" w:cs="Arial"/>
          <w:b/>
          <w:bCs/>
          <w:lang w:val="mk-MK" w:eastAsia="mk-MK"/>
        </w:rPr>
        <w:t xml:space="preserve"> </w:t>
      </w:r>
      <w:r>
        <w:rPr>
          <w:rFonts w:ascii="Arial" w:eastAsia="Calibri" w:hAnsi="Arial" w:cs="Arial"/>
          <w:b/>
          <w:bCs/>
          <w:lang w:val="mk-MK" w:eastAsia="mk-MK"/>
        </w:rPr>
        <w:t>во</w:t>
      </w:r>
      <w:r w:rsidRPr="00E619D8">
        <w:rPr>
          <w:rFonts w:ascii="Arial" w:eastAsia="Calibri" w:hAnsi="Arial" w:cs="Arial"/>
          <w:b/>
          <w:bCs/>
          <w:lang w:val="mk-MK" w:eastAsia="mk-MK"/>
        </w:rPr>
        <w:t xml:space="preserve"> </w:t>
      </w:r>
      <w:r>
        <w:rPr>
          <w:rFonts w:ascii="Arial" w:eastAsia="Calibri" w:hAnsi="Arial" w:cs="Arial"/>
          <w:b/>
          <w:bCs/>
          <w:lang w:val="mk-MK" w:eastAsia="mk-MK"/>
        </w:rPr>
        <w:t>2025</w:t>
      </w:r>
    </w:p>
    <w:tbl>
      <w:tblPr>
        <w:tblpPr w:leftFromText="180" w:rightFromText="180" w:bottomFromText="160" w:vertAnchor="text" w:horzAnchor="margin" w:tblpXSpec="center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965"/>
      </w:tblGrid>
      <w:tr w:rsidR="00E619D8" w:rsidRPr="00E47F9A" w14:paraId="72C8C552" w14:textId="77777777" w:rsidTr="009E5E10">
        <w:trPr>
          <w:trHeight w:val="274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528D5E" w14:textId="445BA1A3" w:rsidR="00E619D8" w:rsidRPr="00E619D8" w:rsidRDefault="00E619D8" w:rsidP="009E5E10">
            <w:pPr>
              <w:spacing w:after="0" w:line="240" w:lineRule="auto"/>
              <w:ind w:left="-687" w:firstLine="687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Мерка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E064D1B" w14:textId="459329D5" w:rsidR="00E619D8" w:rsidRPr="00E619D8" w:rsidRDefault="009E5E10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lang w:val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 xml:space="preserve">ЕУ </w:t>
            </w:r>
            <w:r w:rsidR="00E619D8">
              <w:rPr>
                <w:rFonts w:ascii="Arial" w:eastAsia="Calibri" w:hAnsi="Arial" w:cs="Arial"/>
                <w:b/>
                <w:bCs/>
                <w:lang w:val="mk-MK" w:eastAsia="mk-MK"/>
              </w:rPr>
              <w:t>придонес во Евра</w:t>
            </w:r>
            <w:r w:rsidR="00E619D8" w:rsidRPr="00E619D8">
              <w:rPr>
                <w:rFonts w:ascii="Arial" w:eastAsia="Calibri" w:hAnsi="Arial" w:cs="Arial"/>
                <w:b/>
                <w:bCs/>
                <w:lang w:val="mk-MK" w:eastAsia="mk-MK"/>
              </w:rPr>
              <w:t xml:space="preserve"> </w:t>
            </w:r>
          </w:p>
        </w:tc>
      </w:tr>
      <w:tr w:rsidR="00E619D8" w:rsidRPr="00E619D8" w14:paraId="721B604E" w14:textId="77777777" w:rsidTr="009E5E10">
        <w:trPr>
          <w:trHeight w:val="269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C3B1" w14:textId="01ACD8C6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lang w:eastAsia="mk-MK"/>
              </w:rPr>
            </w:pPr>
            <w:r>
              <w:rPr>
                <w:rFonts w:ascii="Arial" w:eastAsia="Calibri" w:hAnsi="Arial" w:cs="Arial"/>
                <w:bCs/>
                <w:lang w:val="mk-MK" w:eastAsia="mk-MK"/>
              </w:rPr>
              <w:t>Мерка</w:t>
            </w:r>
            <w:r w:rsidRPr="00E619D8">
              <w:rPr>
                <w:rFonts w:ascii="Arial" w:eastAsia="Calibri" w:hAnsi="Arial" w:cs="Arial"/>
                <w:bCs/>
                <w:lang w:eastAsia="mk-MK"/>
              </w:rPr>
              <w:t xml:space="preserve"> 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C2B" w14:textId="6FA9C21F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lang w:eastAsia="mk-MK"/>
              </w:rPr>
            </w:pPr>
            <w:r w:rsidRPr="005B1062">
              <w:rPr>
                <w:rFonts w:ascii="Arial" w:hAnsi="Arial" w:cs="Arial"/>
                <w:bCs/>
                <w:lang w:eastAsia="mk-MK"/>
              </w:rPr>
              <w:t>5,410,260.18</w:t>
            </w:r>
          </w:p>
        </w:tc>
      </w:tr>
      <w:tr w:rsidR="00E619D8" w:rsidRPr="00E619D8" w14:paraId="0932D220" w14:textId="77777777" w:rsidTr="009E5E10">
        <w:trPr>
          <w:trHeight w:val="274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8381" w14:textId="2DF5F921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lang w:eastAsia="mk-MK"/>
              </w:rPr>
            </w:pPr>
            <w:r>
              <w:rPr>
                <w:rFonts w:ascii="Arial" w:eastAsia="Calibri" w:hAnsi="Arial" w:cs="Arial"/>
                <w:bCs/>
                <w:lang w:val="mk-MK" w:eastAsia="mk-MK"/>
              </w:rPr>
              <w:t>Мерка</w:t>
            </w:r>
            <w:r w:rsidRPr="00E619D8">
              <w:rPr>
                <w:rFonts w:ascii="Arial" w:eastAsia="Calibri" w:hAnsi="Arial" w:cs="Arial"/>
                <w:bCs/>
                <w:lang w:eastAsia="mk-MK"/>
              </w:rPr>
              <w:t xml:space="preserve"> 3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663" w14:textId="2553820B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lang w:eastAsia="mk-MK"/>
              </w:rPr>
            </w:pPr>
            <w:r w:rsidRPr="005B1062">
              <w:rPr>
                <w:rFonts w:ascii="Arial" w:hAnsi="Arial" w:cs="Arial"/>
                <w:bCs/>
                <w:lang w:eastAsia="mk-MK"/>
              </w:rPr>
              <w:t>750,311.36</w:t>
            </w:r>
          </w:p>
        </w:tc>
      </w:tr>
      <w:tr w:rsidR="00E619D8" w:rsidRPr="00E619D8" w14:paraId="30747A90" w14:textId="77777777" w:rsidTr="00E619D8">
        <w:trPr>
          <w:trHeight w:val="15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4E7" w14:textId="22017BC5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lang w:eastAsia="mk-MK"/>
              </w:rPr>
            </w:pPr>
            <w:r>
              <w:rPr>
                <w:rFonts w:ascii="Arial" w:eastAsia="Calibri" w:hAnsi="Arial" w:cs="Arial"/>
                <w:bCs/>
                <w:lang w:val="mk-MK" w:eastAsia="mk-MK"/>
              </w:rPr>
              <w:t>Мерка</w:t>
            </w:r>
            <w:r w:rsidRPr="00E619D8">
              <w:rPr>
                <w:rFonts w:ascii="Arial" w:eastAsia="Calibri" w:hAnsi="Arial" w:cs="Arial"/>
                <w:bCs/>
                <w:lang w:eastAsia="mk-MK"/>
              </w:rPr>
              <w:t xml:space="preserve"> 7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C35B" w14:textId="1BA1690F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lang w:eastAsia="mk-MK"/>
              </w:rPr>
            </w:pPr>
            <w:r w:rsidRPr="005B1062">
              <w:rPr>
                <w:rFonts w:ascii="Arial" w:hAnsi="Arial" w:cs="Arial"/>
                <w:bCs/>
                <w:lang w:eastAsia="mk-MK"/>
              </w:rPr>
              <w:t>1,051,147.25</w:t>
            </w:r>
          </w:p>
        </w:tc>
      </w:tr>
      <w:tr w:rsidR="00E619D8" w:rsidRPr="00E619D8" w14:paraId="2CA8A1C3" w14:textId="77777777" w:rsidTr="009E5E10">
        <w:trPr>
          <w:trHeight w:val="296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D91" w14:textId="4A6BBB69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lang w:eastAsia="mk-MK"/>
              </w:rPr>
            </w:pPr>
            <w:r>
              <w:rPr>
                <w:rFonts w:ascii="Arial" w:eastAsia="Calibri" w:hAnsi="Arial" w:cs="Arial"/>
                <w:bCs/>
                <w:lang w:val="mk-MK" w:eastAsia="mk-MK"/>
              </w:rPr>
              <w:t>Мерка</w:t>
            </w:r>
            <w:r w:rsidRPr="00E619D8">
              <w:rPr>
                <w:rFonts w:ascii="Arial" w:eastAsia="Calibri" w:hAnsi="Arial" w:cs="Arial"/>
                <w:bCs/>
                <w:lang w:eastAsia="mk-MK"/>
              </w:rPr>
              <w:t xml:space="preserve"> 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89EA" w14:textId="6F54D9A4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lang w:eastAsia="mk-MK"/>
              </w:rPr>
            </w:pPr>
            <w:r w:rsidRPr="002F0BA9">
              <w:rPr>
                <w:rFonts w:ascii="Arial" w:hAnsi="Arial" w:cs="Arial"/>
                <w:bCs/>
                <w:lang w:eastAsia="mk-MK"/>
              </w:rPr>
              <w:t>3,184.67</w:t>
            </w:r>
          </w:p>
        </w:tc>
      </w:tr>
      <w:tr w:rsidR="00E619D8" w:rsidRPr="00E619D8" w14:paraId="2EAA4CB8" w14:textId="77777777" w:rsidTr="009E5E10">
        <w:trPr>
          <w:trHeight w:val="144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5C5281D1" w14:textId="242D9DDA" w:rsidR="00E619D8" w:rsidRPr="00E619D8" w:rsidRDefault="00E619D8" w:rsidP="009E5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mk-MK"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Вкупно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644B0FCE" w14:textId="16320335" w:rsidR="00E619D8" w:rsidRPr="00E619D8" w:rsidRDefault="008B4B48" w:rsidP="009E5E1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  <w:lang w:eastAsia="mk-MK"/>
              </w:rPr>
              <w:t>7</w:t>
            </w:r>
            <w:r w:rsidRPr="002F0BA9">
              <w:rPr>
                <w:rFonts w:ascii="Arial" w:hAnsi="Arial" w:cs="Arial"/>
                <w:b/>
                <w:bCs/>
                <w:lang w:eastAsia="mk-MK"/>
              </w:rPr>
              <w:t>,</w:t>
            </w:r>
            <w:r>
              <w:rPr>
                <w:rFonts w:ascii="Arial" w:hAnsi="Arial" w:cs="Arial"/>
                <w:b/>
                <w:bCs/>
                <w:lang w:eastAsia="mk-MK"/>
              </w:rPr>
              <w:t>214,903</w:t>
            </w:r>
            <w:r w:rsidRPr="002F0BA9">
              <w:rPr>
                <w:rFonts w:ascii="Arial" w:hAnsi="Arial" w:cs="Arial"/>
                <w:b/>
                <w:bCs/>
                <w:lang w:eastAsia="mk-MK"/>
              </w:rPr>
              <w:t>.</w:t>
            </w:r>
            <w:r>
              <w:rPr>
                <w:rFonts w:ascii="Arial" w:hAnsi="Arial" w:cs="Arial"/>
                <w:b/>
                <w:bCs/>
                <w:lang w:eastAsia="mk-MK"/>
              </w:rPr>
              <w:t>46</w:t>
            </w:r>
          </w:p>
        </w:tc>
      </w:tr>
    </w:tbl>
    <w:p w14:paraId="564E047C" w14:textId="77777777" w:rsidR="00E619D8" w:rsidRPr="00E619D8" w:rsidRDefault="00E619D8" w:rsidP="009E5E10">
      <w:pPr>
        <w:spacing w:after="0" w:line="240" w:lineRule="auto"/>
        <w:rPr>
          <w:rFonts w:ascii="Arial" w:eastAsia="Calibri" w:hAnsi="Arial" w:cs="Arial"/>
          <w:vanish/>
        </w:rPr>
      </w:pPr>
    </w:p>
    <w:p w14:paraId="439B6940" w14:textId="6E5C18A7" w:rsidR="00E619D8" w:rsidRPr="00F57719" w:rsidRDefault="00E619D8" w:rsidP="009E5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Согласно член </w:t>
      </w:r>
      <w:r w:rsidR="00F61BE6">
        <w:rPr>
          <w:rFonts w:ascii="Arial" w:hAnsi="Arial" w:cs="Arial"/>
          <w:sz w:val="24"/>
          <w:szCs w:val="24"/>
          <w:lang w:val="mk-MK"/>
        </w:rPr>
        <w:t>37 за Секторск</w:t>
      </w:r>
      <w:r w:rsidR="00C82CA0">
        <w:rPr>
          <w:rFonts w:ascii="Arial" w:hAnsi="Arial" w:cs="Arial"/>
          <w:sz w:val="24"/>
          <w:szCs w:val="24"/>
          <w:lang w:val="mk-MK"/>
        </w:rPr>
        <w:t>а</w:t>
      </w:r>
      <w:r w:rsidR="00F61BE6">
        <w:rPr>
          <w:rFonts w:ascii="Arial" w:hAnsi="Arial" w:cs="Arial"/>
          <w:sz w:val="24"/>
          <w:szCs w:val="24"/>
          <w:lang w:val="mk-MK"/>
        </w:rPr>
        <w:t>т</w:t>
      </w:r>
      <w:r w:rsidR="00C82CA0">
        <w:rPr>
          <w:rFonts w:ascii="Arial" w:hAnsi="Arial" w:cs="Arial"/>
          <w:sz w:val="24"/>
          <w:szCs w:val="24"/>
          <w:lang w:val="mk-MK"/>
        </w:rPr>
        <w:t>а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</w:t>
      </w:r>
      <w:r w:rsidR="00C82CA0">
        <w:rPr>
          <w:rFonts w:ascii="Arial" w:hAnsi="Arial" w:cs="Arial"/>
          <w:sz w:val="24"/>
          <w:szCs w:val="24"/>
          <w:lang w:val="mk-MK"/>
        </w:rPr>
        <w:t>спогодба</w:t>
      </w:r>
      <w:r w:rsidR="00F61BE6">
        <w:rPr>
          <w:rFonts w:ascii="Arial" w:hAnsi="Arial" w:cs="Arial"/>
          <w:sz w:val="24"/>
          <w:szCs w:val="24"/>
          <w:lang w:val="mk-MK"/>
        </w:rPr>
        <w:t xml:space="preserve">, НАО </w:t>
      </w:r>
      <w:r w:rsidR="00F57719">
        <w:rPr>
          <w:rFonts w:ascii="Arial" w:hAnsi="Arial" w:cs="Arial"/>
          <w:sz w:val="24"/>
          <w:szCs w:val="24"/>
          <w:lang w:val="mk-MK"/>
        </w:rPr>
        <w:t xml:space="preserve">ги </w:t>
      </w:r>
      <w:r w:rsidR="00C82CA0">
        <w:rPr>
          <w:rFonts w:ascii="Arial" w:hAnsi="Arial" w:cs="Arial"/>
          <w:sz w:val="24"/>
          <w:szCs w:val="24"/>
          <w:lang w:val="mk-MK"/>
        </w:rPr>
        <w:t>достав</w:t>
      </w:r>
      <w:r w:rsidR="00F57719">
        <w:rPr>
          <w:rFonts w:ascii="Arial" w:hAnsi="Arial" w:cs="Arial"/>
          <w:sz w:val="24"/>
          <w:szCs w:val="24"/>
          <w:lang w:val="mk-MK"/>
        </w:rPr>
        <w:t>и следните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Деклараци</w:t>
      </w:r>
      <w:r w:rsidR="00C82CA0">
        <w:rPr>
          <w:rFonts w:ascii="Arial" w:hAnsi="Arial" w:cs="Arial"/>
          <w:sz w:val="24"/>
          <w:szCs w:val="24"/>
          <w:lang w:val="mk-MK"/>
        </w:rPr>
        <w:t>и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за </w:t>
      </w:r>
      <w:r w:rsidR="00372272">
        <w:rPr>
          <w:rFonts w:ascii="Arial" w:hAnsi="Arial" w:cs="Arial"/>
          <w:sz w:val="24"/>
          <w:szCs w:val="24"/>
          <w:lang w:val="mk-MK"/>
        </w:rPr>
        <w:t>т</w:t>
      </w:r>
      <w:r w:rsidR="00F61BE6">
        <w:rPr>
          <w:rFonts w:ascii="Arial" w:hAnsi="Arial" w:cs="Arial"/>
          <w:sz w:val="24"/>
          <w:szCs w:val="24"/>
          <w:lang w:val="mk-MK"/>
        </w:rPr>
        <w:t>рошоци ко</w:t>
      </w:r>
      <w:r w:rsidR="00C82CA0">
        <w:rPr>
          <w:rFonts w:ascii="Arial" w:hAnsi="Arial" w:cs="Arial"/>
          <w:sz w:val="24"/>
          <w:szCs w:val="24"/>
          <w:lang w:val="mk-MK"/>
        </w:rPr>
        <w:t>и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</w:t>
      </w:r>
      <w:r w:rsidR="00372272">
        <w:rPr>
          <w:rFonts w:ascii="Arial" w:hAnsi="Arial" w:cs="Arial"/>
          <w:sz w:val="24"/>
          <w:szCs w:val="24"/>
          <w:lang w:val="mk-MK"/>
        </w:rPr>
        <w:t>претставува</w:t>
      </w:r>
      <w:r w:rsidR="00C82CA0">
        <w:rPr>
          <w:rFonts w:ascii="Arial" w:hAnsi="Arial" w:cs="Arial"/>
          <w:sz w:val="24"/>
          <w:szCs w:val="24"/>
          <w:lang w:val="mk-MK"/>
        </w:rPr>
        <w:t>ат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барање за паќања за настанатите трошоци и генерираните приходи </w:t>
      </w:r>
      <w:r w:rsidR="00F57719">
        <w:rPr>
          <w:rFonts w:ascii="Arial" w:hAnsi="Arial" w:cs="Arial"/>
          <w:sz w:val="24"/>
          <w:szCs w:val="24"/>
          <w:lang w:val="mk-MK"/>
        </w:rPr>
        <w:t>на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ре</w:t>
      </w:r>
      <w:r w:rsidR="00F57719">
        <w:rPr>
          <w:rFonts w:ascii="Arial" w:hAnsi="Arial" w:cs="Arial"/>
          <w:sz w:val="24"/>
          <w:szCs w:val="24"/>
          <w:lang w:val="mk-MK"/>
        </w:rPr>
        <w:t>довна</w:t>
      </w:r>
      <w:r w:rsidR="00F61BE6">
        <w:rPr>
          <w:rFonts w:ascii="Arial" w:hAnsi="Arial" w:cs="Arial"/>
          <w:sz w:val="24"/>
          <w:szCs w:val="24"/>
          <w:lang w:val="mk-MK"/>
        </w:rPr>
        <w:t xml:space="preserve"> </w:t>
      </w:r>
      <w:r w:rsidR="00F57719">
        <w:rPr>
          <w:rFonts w:ascii="Arial" w:hAnsi="Arial" w:cs="Arial"/>
          <w:sz w:val="24"/>
          <w:szCs w:val="24"/>
          <w:lang w:val="mk-MK"/>
        </w:rPr>
        <w:t xml:space="preserve">основа </w:t>
      </w:r>
      <w:r w:rsidR="00F61BE6">
        <w:rPr>
          <w:rFonts w:ascii="Arial" w:hAnsi="Arial" w:cs="Arial"/>
          <w:sz w:val="24"/>
          <w:szCs w:val="24"/>
          <w:lang w:val="mk-MK"/>
        </w:rPr>
        <w:t xml:space="preserve">преку </w:t>
      </w:r>
      <w:r w:rsidR="00372272">
        <w:rPr>
          <w:rFonts w:ascii="Arial" w:hAnsi="Arial" w:cs="Arial"/>
          <w:sz w:val="24"/>
          <w:szCs w:val="24"/>
          <w:lang w:val="mk-MK"/>
        </w:rPr>
        <w:t>СФЦ системот</w:t>
      </w:r>
      <w:r w:rsidR="00F57719">
        <w:rPr>
          <w:rFonts w:ascii="Arial" w:hAnsi="Arial" w:cs="Arial"/>
          <w:sz w:val="24"/>
          <w:szCs w:val="24"/>
        </w:rPr>
        <w:t>:</w:t>
      </w:r>
    </w:p>
    <w:p w14:paraId="3FDDC0A9" w14:textId="7E80334C" w:rsidR="008B4B48" w:rsidRDefault="009E5E10" w:rsidP="009E5E1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E5E10">
        <w:rPr>
          <w:rFonts w:ascii="Arial" w:hAnsi="Arial" w:cs="Arial"/>
          <w:b/>
          <w:lang w:val="mk-MK"/>
        </w:rPr>
        <w:t xml:space="preserve">Табела </w:t>
      </w:r>
      <w:r>
        <w:rPr>
          <w:rFonts w:ascii="Arial" w:hAnsi="Arial" w:cs="Arial"/>
          <w:b/>
          <w:lang w:val="mk-MK"/>
        </w:rPr>
        <w:t>2</w:t>
      </w:r>
      <w:r w:rsidRPr="009E5E10">
        <w:rPr>
          <w:rFonts w:ascii="Arial" w:hAnsi="Arial" w:cs="Arial"/>
          <w:b/>
          <w:lang w:val="mk-MK"/>
        </w:rPr>
        <w:t>:</w:t>
      </w:r>
      <w:r w:rsidRPr="009E5E10">
        <w:rPr>
          <w:rFonts w:ascii="Arial" w:eastAsia="Calibri" w:hAnsi="Arial" w:cs="Arial"/>
          <w:b/>
          <w:bCs/>
          <w:lang w:val="mk-MK" w:eastAsia="mk-MK"/>
        </w:rPr>
        <w:t xml:space="preserve"> </w:t>
      </w:r>
      <w:r>
        <w:rPr>
          <w:rFonts w:ascii="Arial" w:eastAsia="Calibri" w:hAnsi="Arial" w:cs="Arial"/>
          <w:b/>
          <w:bCs/>
          <w:lang w:val="mk-MK" w:eastAsia="mk-MK"/>
        </w:rPr>
        <w:t xml:space="preserve">Барања за плаќања </w:t>
      </w:r>
      <w:r>
        <w:rPr>
          <w:rFonts w:ascii="Arial" w:eastAsia="Calibri" w:hAnsi="Arial" w:cs="Arial"/>
          <w:b/>
          <w:bCs/>
          <w:lang w:val="mk-MK" w:eastAsia="mk-MK"/>
        </w:rPr>
        <w:t>доставени до 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110"/>
        <w:gridCol w:w="3491"/>
      </w:tblGrid>
      <w:tr w:rsidR="008B4B48" w:rsidRPr="008B4B48" w14:paraId="64A45514" w14:textId="77777777" w:rsidTr="008C653E">
        <w:trPr>
          <w:trHeight w:val="224"/>
        </w:trPr>
        <w:tc>
          <w:tcPr>
            <w:tcW w:w="3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45563D" w14:textId="5A425442" w:rsidR="008B4B48" w:rsidRPr="008B4B48" w:rsidRDefault="008B4B48" w:rsidP="009E5E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Референца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0A2E71" w14:textId="4D2E7904" w:rsidR="008B4B48" w:rsidRPr="008B4B48" w:rsidRDefault="009E5E10" w:rsidP="009E5E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mk-MK"/>
              </w:rPr>
            </w:pPr>
            <w:r>
              <w:rPr>
                <w:rFonts w:ascii="Arial" w:eastAsia="Calibri" w:hAnsi="Arial" w:cs="Arial"/>
                <w:b/>
                <w:bCs/>
                <w:lang w:val="mk-MK" w:eastAsia="mk-MK"/>
              </w:rPr>
              <w:t>ЕУ</w:t>
            </w:r>
            <w:r w:rsidR="008B4B48">
              <w:rPr>
                <w:rFonts w:ascii="Arial" w:eastAsia="Calibri" w:hAnsi="Arial" w:cs="Arial"/>
                <w:b/>
                <w:bCs/>
                <w:lang w:val="mk-MK" w:eastAsia="mk-MK"/>
              </w:rPr>
              <w:t xml:space="preserve"> придонес во</w:t>
            </w:r>
            <w:r w:rsidR="008B4B48" w:rsidRPr="00F61BE6">
              <w:rPr>
                <w:rFonts w:ascii="Arial" w:eastAsia="Calibri" w:hAnsi="Arial" w:cs="Arial"/>
                <w:b/>
                <w:bCs/>
                <w:lang w:eastAsia="mk-MK"/>
              </w:rPr>
              <w:t xml:space="preserve"> €</w:t>
            </w:r>
          </w:p>
        </w:tc>
      </w:tr>
      <w:tr w:rsidR="008B4B48" w:rsidRPr="008B4B48" w14:paraId="359832F1" w14:textId="77777777" w:rsidTr="005458D6">
        <w:trPr>
          <w:trHeight w:val="3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CAAB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B2E7" w14:textId="531EEFB7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Q1 2024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B04E8" w14:textId="2D0966E9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0,00</w:t>
            </w:r>
          </w:p>
        </w:tc>
      </w:tr>
      <w:tr w:rsidR="008B4B48" w:rsidRPr="008B4B48" w14:paraId="23560EC7" w14:textId="77777777" w:rsidTr="005458D6">
        <w:trPr>
          <w:trHeight w:val="3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7084A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D652" w14:textId="5CB8DD85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Q2 2024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C0705" w14:textId="78C7F626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0,00</w:t>
            </w:r>
          </w:p>
        </w:tc>
      </w:tr>
      <w:tr w:rsidR="008B4B48" w:rsidRPr="008B4B48" w14:paraId="3BF22C1C" w14:textId="77777777" w:rsidTr="005458D6">
        <w:trPr>
          <w:trHeight w:val="3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B878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E94B6" w14:textId="03CB25BA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Q3 2024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BB7AD" w14:textId="34020F95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1,543.05</w:t>
            </w:r>
          </w:p>
        </w:tc>
      </w:tr>
      <w:tr w:rsidR="008B4B48" w:rsidRPr="008B4B48" w14:paraId="2297751E" w14:textId="77777777" w:rsidTr="005458D6">
        <w:trPr>
          <w:trHeight w:val="3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2F3DB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EF8D" w14:textId="0DE2385F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Q4 2024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FC9A3" w14:textId="3972519F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1,049,966.38</w:t>
            </w:r>
          </w:p>
        </w:tc>
      </w:tr>
      <w:tr w:rsidR="008B4B48" w:rsidRPr="008B4B48" w14:paraId="49CC5E8A" w14:textId="77777777" w:rsidTr="005458D6">
        <w:trPr>
          <w:trHeight w:val="3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BFF7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25D2" w14:textId="26DE55E7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Q1 2025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8C0E2" w14:textId="59852E2D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1,014,558.18</w:t>
            </w:r>
          </w:p>
        </w:tc>
      </w:tr>
      <w:tr w:rsidR="008B4B48" w:rsidRPr="008B4B48" w14:paraId="6C26FF5C" w14:textId="77777777" w:rsidTr="005458D6">
        <w:trPr>
          <w:trHeight w:val="29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B610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6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6D29" w14:textId="1664B5B4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Q2 2025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4A692" w14:textId="4923CF48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2,074,760.72</w:t>
            </w:r>
          </w:p>
        </w:tc>
      </w:tr>
      <w:tr w:rsidR="008B4B48" w:rsidRPr="008B4B48" w14:paraId="69E0A76A" w14:textId="77777777" w:rsidTr="005458D6">
        <w:trPr>
          <w:trHeight w:val="2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F61D6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7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1A7E" w14:textId="549F1D28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Q3 2025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461E" w14:textId="41E911F3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2,970,846.68</w:t>
            </w:r>
          </w:p>
        </w:tc>
      </w:tr>
      <w:tr w:rsidR="008B4B48" w:rsidRPr="008B4B48" w14:paraId="1C4CF1C3" w14:textId="77777777" w:rsidTr="005458D6">
        <w:trPr>
          <w:trHeight w:val="2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38863" w14:textId="77777777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color w:val="000000"/>
                <w:lang w:eastAsia="mk-MK"/>
              </w:rPr>
            </w:pPr>
            <w:r w:rsidRPr="008B4B48">
              <w:rPr>
                <w:rFonts w:ascii="Arial" w:hAnsi="Arial" w:cs="Arial"/>
                <w:color w:val="000000"/>
                <w:lang w:eastAsia="mk-MK"/>
              </w:rPr>
              <w:t>8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39F8" w14:textId="4C204B3D" w:rsidR="008B4B48" w:rsidRPr="008B4B48" w:rsidRDefault="008B4B48" w:rsidP="009E5E10">
            <w:pPr>
              <w:spacing w:after="0" w:line="240" w:lineRule="auto"/>
              <w:rPr>
                <w:rFonts w:ascii="Arial" w:eastAsia="Calibri" w:hAnsi="Arial" w:cs="Arial"/>
                <w:bCs/>
                <w:lang w:val="mk-MK" w:eastAsia="mk-MK"/>
              </w:rPr>
            </w:pPr>
            <w:r w:rsidRPr="008B4B48">
              <w:rPr>
                <w:rFonts w:ascii="Arial" w:eastAsia="Calibri" w:hAnsi="Arial" w:cs="Arial"/>
                <w:bCs/>
                <w:lang w:val="mk-MK" w:eastAsia="mk-MK"/>
              </w:rPr>
              <w:t>Деклариран во Q4 2025 (ќе биде испратено до 31 јануари 2026 година)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D089" w14:textId="4AA07455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mk-MK"/>
              </w:rPr>
            </w:pPr>
            <w:r w:rsidRPr="008B4B48">
              <w:rPr>
                <w:rFonts w:ascii="Arial" w:hAnsi="Arial" w:cs="Arial"/>
                <w:bCs/>
                <w:lang w:eastAsia="mk-MK"/>
              </w:rPr>
              <w:t>0,00</w:t>
            </w:r>
          </w:p>
        </w:tc>
      </w:tr>
      <w:tr w:rsidR="008B4B48" w:rsidRPr="008B4B48" w14:paraId="5F1D01CB" w14:textId="77777777" w:rsidTr="008C653E">
        <w:trPr>
          <w:trHeight w:val="2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E37F16" w14:textId="77777777" w:rsidR="008B4B48" w:rsidRPr="008B4B48" w:rsidRDefault="008B4B48" w:rsidP="009E5E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mk-MK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8F4025" w14:textId="1F9104E2" w:rsidR="008B4B48" w:rsidRPr="008B4B48" w:rsidRDefault="008B4B48" w:rsidP="009E5E10">
            <w:pPr>
              <w:spacing w:after="0" w:line="240" w:lineRule="auto"/>
              <w:rPr>
                <w:rFonts w:ascii="Arial" w:hAnsi="Arial" w:cs="Arial"/>
                <w:b/>
                <w:bCs/>
                <w:lang w:val="mk-MK" w:eastAsia="mk-MK"/>
              </w:rPr>
            </w:pPr>
            <w:r>
              <w:rPr>
                <w:rFonts w:ascii="Arial" w:hAnsi="Arial" w:cs="Arial"/>
                <w:b/>
                <w:bCs/>
                <w:lang w:val="mk-MK" w:eastAsia="mk-MK"/>
              </w:rPr>
              <w:t>ВКУПНО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9C740D" w14:textId="77777777" w:rsidR="008B4B48" w:rsidRPr="008B4B48" w:rsidRDefault="008B4B48" w:rsidP="009E5E1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mk-MK"/>
              </w:rPr>
            </w:pPr>
            <w:r w:rsidRPr="008B4B48">
              <w:rPr>
                <w:rFonts w:ascii="Arial" w:hAnsi="Arial" w:cs="Arial"/>
                <w:b/>
                <w:bCs/>
                <w:lang w:eastAsia="mk-MK"/>
              </w:rPr>
              <w:t>7,111,675.01</w:t>
            </w:r>
          </w:p>
        </w:tc>
      </w:tr>
    </w:tbl>
    <w:p w14:paraId="4E5E9B1F" w14:textId="3A5C595C" w:rsidR="008B4B48" w:rsidRPr="00AA7551" w:rsidRDefault="00F57719" w:rsidP="009E5E10">
      <w:pPr>
        <w:widowControl w:val="0"/>
        <w:suppressAutoHyphens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mk-MK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mk-MK"/>
        </w:rPr>
        <w:t>Ризик од губ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  <w:lang w:val="mk-MK"/>
        </w:rPr>
        <w:t>ење</w:t>
      </w:r>
      <w:r w:rsidR="008B4B48" w:rsidRPr="00AA7551">
        <w:rPr>
          <w:rFonts w:ascii="Arial" w:hAnsi="Arial" w:cs="Arial"/>
          <w:b/>
          <w:bCs/>
          <w:sz w:val="24"/>
          <w:szCs w:val="24"/>
          <w:u w:val="single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mk-MK"/>
        </w:rPr>
        <w:t>на</w:t>
      </w:r>
      <w:r w:rsidR="008B4B48" w:rsidRPr="00E23AB4">
        <w:rPr>
          <w:rFonts w:ascii="Arial" w:hAnsi="Arial" w:cs="Arial"/>
          <w:b/>
          <w:bCs/>
          <w:sz w:val="24"/>
          <w:szCs w:val="24"/>
          <w:u w:val="single"/>
          <w:lang w:val="mk-MK"/>
        </w:rPr>
        <w:t xml:space="preserve"> ИПА </w:t>
      </w:r>
      <w:r>
        <w:rPr>
          <w:rFonts w:ascii="Arial" w:hAnsi="Arial" w:cs="Arial"/>
          <w:b/>
          <w:bCs/>
          <w:sz w:val="24"/>
          <w:szCs w:val="24"/>
          <w:u w:val="single"/>
          <w:lang w:val="mk-MK"/>
        </w:rPr>
        <w:t>средства</w:t>
      </w:r>
      <w:r w:rsidR="008B4B48" w:rsidRPr="00E23AB4">
        <w:rPr>
          <w:rFonts w:ascii="Arial" w:hAnsi="Arial" w:cs="Arial"/>
          <w:b/>
          <w:bCs/>
          <w:sz w:val="24"/>
          <w:szCs w:val="24"/>
          <w:u w:val="single"/>
          <w:lang w:val="mk-MK"/>
        </w:rPr>
        <w:t xml:space="preserve"> за</w:t>
      </w:r>
      <w:r w:rsidR="008B4B48" w:rsidRPr="00AA7551">
        <w:rPr>
          <w:rFonts w:ascii="Arial" w:hAnsi="Arial" w:cs="Arial"/>
          <w:b/>
          <w:bCs/>
          <w:sz w:val="24"/>
          <w:szCs w:val="24"/>
          <w:u w:val="single"/>
          <w:lang w:val="mk-MK"/>
        </w:rPr>
        <w:t xml:space="preserve"> 2025: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7"/>
        <w:gridCol w:w="3188"/>
      </w:tblGrid>
      <w:tr w:rsidR="00D54DA6" w14:paraId="2EE6077A" w14:textId="77777777" w:rsidTr="004A0C6A">
        <w:tc>
          <w:tcPr>
            <w:tcW w:w="1271" w:type="dxa"/>
          </w:tcPr>
          <w:p w14:paraId="249F332E" w14:textId="77777777" w:rsidR="00D54DA6" w:rsidRPr="003B23A9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3A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57" w:type="dxa"/>
          </w:tcPr>
          <w:p w14:paraId="0A7B2E53" w14:textId="2D16FACF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Финансиска спогодба</w:t>
            </w:r>
          </w:p>
        </w:tc>
        <w:tc>
          <w:tcPr>
            <w:tcW w:w="3188" w:type="dxa"/>
          </w:tcPr>
          <w:p w14:paraId="32ACEBFD" w14:textId="5C4A0C15" w:rsidR="00D54DA6" w:rsidRDefault="00D54DA6" w:rsidP="009E5E10">
            <w:pPr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27CE9">
              <w:rPr>
                <w:rFonts w:ascii="Arial" w:hAnsi="Arial" w:cs="Arial"/>
                <w:sz w:val="24"/>
                <w:szCs w:val="24"/>
              </w:rPr>
              <w:t xml:space="preserve">15,000,000.00 </w:t>
            </w: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евра</w:t>
            </w:r>
          </w:p>
        </w:tc>
      </w:tr>
      <w:tr w:rsidR="00D54DA6" w14:paraId="4D7FB322" w14:textId="77777777" w:rsidTr="004A0C6A">
        <w:tc>
          <w:tcPr>
            <w:tcW w:w="1271" w:type="dxa"/>
          </w:tcPr>
          <w:p w14:paraId="49B9A07F" w14:textId="77777777" w:rsidR="00D54DA6" w:rsidRPr="003B23A9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3A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57" w:type="dxa"/>
          </w:tcPr>
          <w:p w14:paraId="714F056B" w14:textId="691E2F42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Пристигнат износ на претфинансирање</w:t>
            </w:r>
          </w:p>
        </w:tc>
        <w:tc>
          <w:tcPr>
            <w:tcW w:w="3188" w:type="dxa"/>
          </w:tcPr>
          <w:p w14:paraId="7F8FDF8A" w14:textId="47B4D517" w:rsidR="00D54DA6" w:rsidRPr="00D54DA6" w:rsidRDefault="00D54DA6" w:rsidP="009E5E10">
            <w:pPr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6.300.00,00 евра</w:t>
            </w:r>
          </w:p>
        </w:tc>
      </w:tr>
      <w:tr w:rsidR="00D54DA6" w14:paraId="71EA436A" w14:textId="77777777" w:rsidTr="004A0C6A">
        <w:tc>
          <w:tcPr>
            <w:tcW w:w="1271" w:type="dxa"/>
          </w:tcPr>
          <w:p w14:paraId="553F4327" w14:textId="4D85C8FE" w:rsidR="00D54DA6" w:rsidRPr="003B23A9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3A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57" w:type="dxa"/>
          </w:tcPr>
          <w:p w14:paraId="77001DAF" w14:textId="404C049A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Декларирано до ЕК</w:t>
            </w:r>
          </w:p>
        </w:tc>
        <w:tc>
          <w:tcPr>
            <w:tcW w:w="3188" w:type="dxa"/>
          </w:tcPr>
          <w:p w14:paraId="5A7FBFB4" w14:textId="669F470E" w:rsidR="00D54DA6" w:rsidRPr="00D27CE9" w:rsidRDefault="00D54DA6" w:rsidP="009E5E10">
            <w:pPr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27CE9">
              <w:rPr>
                <w:rFonts w:ascii="Arial" w:hAnsi="Arial" w:cs="Arial"/>
                <w:sz w:val="24"/>
                <w:szCs w:val="24"/>
              </w:rPr>
              <w:t xml:space="preserve">7,111,675.01 </w:t>
            </w: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евра</w:t>
            </w:r>
          </w:p>
        </w:tc>
      </w:tr>
      <w:tr w:rsidR="00D54DA6" w14:paraId="4E0E30F8" w14:textId="77777777" w:rsidTr="004A0C6A">
        <w:tc>
          <w:tcPr>
            <w:tcW w:w="1271" w:type="dxa"/>
          </w:tcPr>
          <w:p w14:paraId="3707FEE3" w14:textId="207C999C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4</w:t>
            </w:r>
          </w:p>
        </w:tc>
        <w:tc>
          <w:tcPr>
            <w:tcW w:w="4557" w:type="dxa"/>
          </w:tcPr>
          <w:p w14:paraId="48CA14A5" w14:textId="5C4E99F0" w:rsidR="00D54DA6" w:rsidRPr="004A0C6A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A0C6A">
              <w:rPr>
                <w:rFonts w:ascii="Arial" w:hAnsi="Arial" w:cs="Arial"/>
                <w:bCs/>
                <w:sz w:val="24"/>
                <w:szCs w:val="24"/>
                <w:lang w:val="mk-MK"/>
              </w:rPr>
              <w:t>Платено во четвртиот квартал до 07 ноември 2025</w:t>
            </w:r>
          </w:p>
        </w:tc>
        <w:tc>
          <w:tcPr>
            <w:tcW w:w="3188" w:type="dxa"/>
          </w:tcPr>
          <w:p w14:paraId="0B86D10A" w14:textId="4D262632" w:rsidR="00D54DA6" w:rsidRDefault="00D54DA6" w:rsidP="009E5E10">
            <w:pPr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27CE9">
              <w:rPr>
                <w:rFonts w:ascii="Arial" w:hAnsi="Arial" w:cs="Arial"/>
                <w:sz w:val="24"/>
                <w:szCs w:val="24"/>
              </w:rPr>
              <w:t xml:space="preserve">1,154,737.88 </w:t>
            </w:r>
            <w:r w:rsidRPr="00D54DA6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евра</w:t>
            </w:r>
          </w:p>
        </w:tc>
      </w:tr>
      <w:tr w:rsidR="00D54DA6" w:rsidRPr="003B23A9" w14:paraId="0DA513A9" w14:textId="77777777" w:rsidTr="004A0C6A">
        <w:tc>
          <w:tcPr>
            <w:tcW w:w="1271" w:type="dxa"/>
          </w:tcPr>
          <w:p w14:paraId="117966C0" w14:textId="65C56445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5</w:t>
            </w:r>
            <w:r w:rsidRPr="003B23A9">
              <w:rPr>
                <w:rFonts w:ascii="Arial" w:hAnsi="Arial" w:cs="Arial"/>
                <w:b/>
                <w:bCs/>
                <w:sz w:val="24"/>
                <w:szCs w:val="24"/>
              </w:rPr>
              <w:t>=1-2-3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-4</w:t>
            </w:r>
          </w:p>
        </w:tc>
        <w:tc>
          <w:tcPr>
            <w:tcW w:w="4557" w:type="dxa"/>
          </w:tcPr>
          <w:p w14:paraId="79678041" w14:textId="01C9C9BA" w:rsidR="00D54DA6" w:rsidRPr="00D54DA6" w:rsidRDefault="00D54DA6" w:rsidP="009E5E10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Ризик од губење на средства</w:t>
            </w:r>
          </w:p>
        </w:tc>
        <w:tc>
          <w:tcPr>
            <w:tcW w:w="3188" w:type="dxa"/>
          </w:tcPr>
          <w:p w14:paraId="12B039C6" w14:textId="10D59FC2" w:rsidR="00D54DA6" w:rsidRPr="003B23A9" w:rsidRDefault="00D54DA6" w:rsidP="009E5E10">
            <w:pPr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3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433,587.11 </w:t>
            </w:r>
            <w:r w:rsidRPr="00D54DA6">
              <w:rPr>
                <w:rFonts w:ascii="Arial" w:hAnsi="Arial" w:cs="Arial"/>
                <w:b/>
                <w:sz w:val="24"/>
                <w:szCs w:val="24"/>
                <w:lang w:val="mk-MK"/>
              </w:rPr>
              <w:t>евра</w:t>
            </w:r>
          </w:p>
        </w:tc>
      </w:tr>
    </w:tbl>
    <w:p w14:paraId="538397C9" w14:textId="77777777" w:rsidR="00D54DA6" w:rsidRDefault="00D54DA6" w:rsidP="009E5E10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  <w:lang w:val="mk-MK"/>
        </w:rPr>
      </w:pPr>
    </w:p>
    <w:p w14:paraId="668DA00E" w14:textId="3FFE4736" w:rsidR="008B4B48" w:rsidRPr="00AA7551" w:rsidRDefault="008B4B48" w:rsidP="009E5E10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  <w:lang w:val="mk-MK"/>
        </w:rPr>
      </w:pPr>
      <w:r w:rsidRPr="00AA7551">
        <w:rPr>
          <w:rFonts w:ascii="Arial" w:hAnsi="Arial" w:cs="Arial"/>
          <w:bCs/>
          <w:sz w:val="24"/>
          <w:szCs w:val="24"/>
          <w:u w:val="single"/>
          <w:lang w:val="mk-MK"/>
        </w:rPr>
        <w:t>Авторизиран износ од ИПАРД Агенција кој сè уште не е платен во износ од 417.672,33 евра</w:t>
      </w:r>
    </w:p>
    <w:sectPr w:rsidR="008B4B48" w:rsidRPr="00AA7551" w:rsidSect="00393894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CE6F" w14:textId="77777777" w:rsidR="005E1271" w:rsidRDefault="005E1271" w:rsidP="00AF3E0B">
      <w:pPr>
        <w:spacing w:after="0" w:line="240" w:lineRule="auto"/>
      </w:pPr>
      <w:r>
        <w:separator/>
      </w:r>
    </w:p>
  </w:endnote>
  <w:endnote w:type="continuationSeparator" w:id="0">
    <w:p w14:paraId="793D6763" w14:textId="77777777" w:rsidR="005E1271" w:rsidRDefault="005E1271" w:rsidP="00AF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2"/>
      <w:gridCol w:w="4365"/>
      <w:gridCol w:w="3572"/>
    </w:tblGrid>
    <w:tr w:rsidR="001A708E" w:rsidRPr="00E47F9A" w14:paraId="11165377" w14:textId="77777777" w:rsidTr="00393894">
      <w:trPr>
        <w:trHeight w:val="900"/>
        <w:jc w:val="center"/>
      </w:trPr>
      <w:tc>
        <w:tcPr>
          <w:tcW w:w="3572" w:type="dxa"/>
        </w:tcPr>
        <w:p w14:paraId="6F15B7CD" w14:textId="77777777" w:rsidR="001A708E" w:rsidRPr="001140AC" w:rsidRDefault="001A708E" w:rsidP="001A708E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noProof/>
              <w:color w:val="4D4D4D"/>
              <w:sz w:val="16"/>
              <w:szCs w:val="16"/>
            </w:rPr>
            <w:drawing>
              <wp:anchor distT="0" distB="0" distL="114300" distR="114300" simplePos="0" relativeHeight="251667456" behindDoc="1" locked="0" layoutInCell="1" allowOverlap="1" wp14:anchorId="01947765" wp14:editId="37B4F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800" cy="450000"/>
                <wp:effectExtent l="0" t="0" r="0" b="7620"/>
                <wp:wrapTight wrapText="bothSides">
                  <wp:wrapPolygon edited="0">
                    <wp:start x="0" y="0"/>
                    <wp:lineTo x="0" y="21051"/>
                    <wp:lineTo x="20687" y="21051"/>
                    <wp:lineTo x="20687" y="0"/>
                    <wp:lineTo x="0" y="0"/>
                  </wp:wrapPolygon>
                </wp:wrapTight>
                <wp:docPr id="142" name="Picture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Co-funded by </w:t>
          </w:r>
        </w:p>
        <w:p w14:paraId="2F3916E7" w14:textId="77777777" w:rsidR="001A708E" w:rsidRPr="001140AC" w:rsidRDefault="001A708E" w:rsidP="001A708E">
          <w:pPr>
            <w:autoSpaceDE w:val="0"/>
            <w:autoSpaceDN w:val="0"/>
            <w:adjustRightInd w:val="0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the European Union</w:t>
          </w:r>
        </w:p>
      </w:tc>
      <w:tc>
        <w:tcPr>
          <w:tcW w:w="4365" w:type="dxa"/>
        </w:tcPr>
        <w:p w14:paraId="3C307742" w14:textId="77777777" w:rsidR="001A708E" w:rsidRPr="001140AC" w:rsidRDefault="001A708E" w:rsidP="001A708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357DB188" wp14:editId="32108433">
                <wp:extent cx="846161" cy="286530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843" cy="419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5BE290" w14:textId="77777777" w:rsidR="001A708E" w:rsidRPr="001140AC" w:rsidRDefault="001A708E" w:rsidP="001A708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ИПАРД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Програма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  <w:p w14:paraId="220F8202" w14:textId="77777777" w:rsidR="001A708E" w:rsidRPr="001140AC" w:rsidRDefault="001A708E" w:rsidP="001A708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IPARD Programme 2021-2027</w:t>
          </w:r>
        </w:p>
      </w:tc>
      <w:tc>
        <w:tcPr>
          <w:tcW w:w="3572" w:type="dxa"/>
        </w:tcPr>
        <w:p w14:paraId="47FB5C72" w14:textId="77777777" w:rsidR="001A708E" w:rsidRPr="001140AC" w:rsidRDefault="001A708E" w:rsidP="001A708E">
          <w:pPr>
            <w:autoSpaceDE w:val="0"/>
            <w:autoSpaceDN w:val="0"/>
            <w:adjustRightInd w:val="0"/>
            <w:ind w:left="-3" w:right="1332"/>
            <w:jc w:val="right"/>
            <w:rPr>
              <w:rFonts w:ascii="Arial" w:eastAsia="Calibri" w:hAnsi="Arial" w:cs="Arial"/>
              <w:b/>
              <w:color w:val="4D4D4D"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noProof/>
              <w:sz w:val="16"/>
              <w:szCs w:val="16"/>
            </w:rPr>
            <w:drawing>
              <wp:anchor distT="0" distB="0" distL="71755" distR="114300" simplePos="0" relativeHeight="251666432" behindDoc="0" locked="0" layoutInCell="1" allowOverlap="1" wp14:anchorId="3EAC718B" wp14:editId="788CB33D">
                <wp:simplePos x="0" y="0"/>
                <wp:positionH relativeFrom="column">
                  <wp:posOffset>1553987</wp:posOffset>
                </wp:positionH>
                <wp:positionV relativeFrom="page">
                  <wp:posOffset>0</wp:posOffset>
                </wp:positionV>
                <wp:extent cx="684000" cy="450000"/>
                <wp:effectExtent l="0" t="0" r="1905" b="7620"/>
                <wp:wrapSquare wrapText="bothSides"/>
                <wp:docPr id="144" name="Picture 2" descr="flaga-macedo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840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>Ко-финансирано од Северна Mакедонија</w:t>
          </w:r>
        </w:p>
      </w:tc>
    </w:tr>
  </w:tbl>
  <w:p w14:paraId="208CABBD" w14:textId="77777777" w:rsidR="005E1271" w:rsidRPr="00E619D8" w:rsidRDefault="005E1271" w:rsidP="001A708E">
    <w:pPr>
      <w:pStyle w:val="Foo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60A2" w14:textId="77777777" w:rsidR="005E1271" w:rsidRDefault="005E1271" w:rsidP="00AF3E0B">
      <w:pPr>
        <w:spacing w:after="0" w:line="240" w:lineRule="auto"/>
      </w:pPr>
      <w:r>
        <w:separator/>
      </w:r>
    </w:p>
  </w:footnote>
  <w:footnote w:type="continuationSeparator" w:id="0">
    <w:p w14:paraId="6DA7D350" w14:textId="77777777" w:rsidR="005E1271" w:rsidRDefault="005E1271" w:rsidP="00AF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03AC" w14:textId="77777777" w:rsidR="001A708E" w:rsidRPr="00476194" w:rsidRDefault="001A708E" w:rsidP="001A708E">
    <w:pPr>
      <w:pStyle w:val="Header"/>
      <w:jc w:val="center"/>
      <w:rPr>
        <w:rFonts w:ascii="Arial" w:hAnsi="Arial" w:cs="Arial"/>
        <w:b/>
        <w:noProof/>
        <w:sz w:val="20"/>
        <w:szCs w:val="20"/>
      </w:rPr>
    </w:pPr>
    <w:r w:rsidRPr="00476194">
      <w:rPr>
        <w:rFonts w:ascii="Arial" w:hAnsi="Arial" w:cs="Arial"/>
        <w:b/>
        <w:noProof/>
        <w:sz w:val="20"/>
        <w:szCs w:val="20"/>
        <w:lang w:val="mk-MK"/>
      </w:rPr>
      <w:t xml:space="preserve">Министерство за </w:t>
    </w:r>
    <w:r w:rsidR="00F522B9">
      <w:rPr>
        <w:rFonts w:ascii="Arial" w:hAnsi="Arial" w:cs="Arial"/>
        <w:b/>
        <w:noProof/>
        <w:sz w:val="20"/>
        <w:szCs w:val="20"/>
        <w:lang w:val="mk-MK"/>
      </w:rPr>
      <w:t>Финансии</w:t>
    </w:r>
  </w:p>
  <w:p w14:paraId="43B2DF1C" w14:textId="77777777" w:rsidR="001A708E" w:rsidRDefault="00F522B9" w:rsidP="001A708E">
    <w:pPr>
      <w:pStyle w:val="Header"/>
      <w:jc w:val="center"/>
      <w:rPr>
        <w:rFonts w:ascii="Arial" w:hAnsi="Arial" w:cs="Arial"/>
        <w:b/>
        <w:noProof/>
        <w:sz w:val="20"/>
        <w:szCs w:val="20"/>
        <w:lang w:val="mk-MK"/>
      </w:rPr>
    </w:pPr>
    <w:r>
      <w:rPr>
        <w:rFonts w:ascii="Arial" w:hAnsi="Arial" w:cs="Arial"/>
        <w:b/>
        <w:noProof/>
        <w:sz w:val="20"/>
        <w:szCs w:val="20"/>
        <w:lang w:val="mk-MK"/>
      </w:rPr>
      <w:t>Сектор за управување со средствата од ИПА</w:t>
    </w:r>
  </w:p>
  <w:p w14:paraId="4026184D" w14:textId="77777777" w:rsidR="001A708E" w:rsidRDefault="001A708E" w:rsidP="001A708E">
    <w:pPr>
      <w:pStyle w:val="Header"/>
      <w:jc w:val="center"/>
      <w:rPr>
        <w:rFonts w:ascii="Arial" w:hAnsi="Arial" w:cs="Arial"/>
        <w:b/>
        <w:noProof/>
        <w:sz w:val="20"/>
        <w:szCs w:val="20"/>
        <w:lang w:val="mk-MK"/>
      </w:rPr>
    </w:pPr>
  </w:p>
  <w:p w14:paraId="107F27BA" w14:textId="77777777" w:rsidR="005E1271" w:rsidRPr="001A708E" w:rsidRDefault="00F522B9" w:rsidP="001A708E">
    <w:pPr>
      <w:pStyle w:val="Header"/>
      <w:spacing w:after="240"/>
      <w:jc w:val="center"/>
      <w:rPr>
        <w:rFonts w:ascii="Arial" w:hAnsi="Arial" w:cs="Arial"/>
        <w:b/>
        <w:noProof/>
        <w:sz w:val="20"/>
        <w:szCs w:val="20"/>
        <w:lang w:val="mk-MK"/>
      </w:rPr>
    </w:pPr>
    <w:r>
      <w:rPr>
        <w:rFonts w:ascii="Arial" w:hAnsi="Arial" w:cs="Arial"/>
        <w:b/>
        <w:noProof/>
        <w:sz w:val="20"/>
        <w:szCs w:val="20"/>
        <w:lang w:val="mk-MK"/>
      </w:rPr>
      <w:t>Информација за функционирањето на системот за управување и контрола и финансиско спроведување на ИПАРД Програмата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B00"/>
    <w:multiLevelType w:val="hybridMultilevel"/>
    <w:tmpl w:val="C15A34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840"/>
    <w:multiLevelType w:val="hybridMultilevel"/>
    <w:tmpl w:val="F806B656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FA5988"/>
    <w:multiLevelType w:val="hybridMultilevel"/>
    <w:tmpl w:val="5362357A"/>
    <w:lvl w:ilvl="0" w:tplc="D9ECC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17E2"/>
    <w:multiLevelType w:val="hybridMultilevel"/>
    <w:tmpl w:val="B6AA1D5C"/>
    <w:lvl w:ilvl="0" w:tplc="0DEED26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4AD3"/>
    <w:multiLevelType w:val="hybridMultilevel"/>
    <w:tmpl w:val="896EB44E"/>
    <w:lvl w:ilvl="0" w:tplc="6A9086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1C"/>
    <w:rsid w:val="00021B70"/>
    <w:rsid w:val="00040956"/>
    <w:rsid w:val="00092CD5"/>
    <w:rsid w:val="00131BEB"/>
    <w:rsid w:val="001371B1"/>
    <w:rsid w:val="001A708E"/>
    <w:rsid w:val="001B19F0"/>
    <w:rsid w:val="001D327E"/>
    <w:rsid w:val="001F5647"/>
    <w:rsid w:val="002019AB"/>
    <w:rsid w:val="002341D5"/>
    <w:rsid w:val="002349E7"/>
    <w:rsid w:val="002558A5"/>
    <w:rsid w:val="002579C5"/>
    <w:rsid w:val="002E6276"/>
    <w:rsid w:val="00314A1C"/>
    <w:rsid w:val="00372272"/>
    <w:rsid w:val="00393894"/>
    <w:rsid w:val="003B3380"/>
    <w:rsid w:val="003B7C92"/>
    <w:rsid w:val="003D09DF"/>
    <w:rsid w:val="003D6592"/>
    <w:rsid w:val="003E6C2C"/>
    <w:rsid w:val="0043488C"/>
    <w:rsid w:val="00492B46"/>
    <w:rsid w:val="004A0C6A"/>
    <w:rsid w:val="004E6598"/>
    <w:rsid w:val="005649D5"/>
    <w:rsid w:val="00584D55"/>
    <w:rsid w:val="005C1ED4"/>
    <w:rsid w:val="005E1271"/>
    <w:rsid w:val="0063681E"/>
    <w:rsid w:val="00650B13"/>
    <w:rsid w:val="00674182"/>
    <w:rsid w:val="00682F76"/>
    <w:rsid w:val="006A48CF"/>
    <w:rsid w:val="006C720E"/>
    <w:rsid w:val="0073365E"/>
    <w:rsid w:val="007403C4"/>
    <w:rsid w:val="007627E4"/>
    <w:rsid w:val="0078770A"/>
    <w:rsid w:val="00865F14"/>
    <w:rsid w:val="008660ED"/>
    <w:rsid w:val="0086681E"/>
    <w:rsid w:val="00883371"/>
    <w:rsid w:val="00891E56"/>
    <w:rsid w:val="00897D53"/>
    <w:rsid w:val="008B3815"/>
    <w:rsid w:val="008B4B48"/>
    <w:rsid w:val="008C3A5C"/>
    <w:rsid w:val="008D2428"/>
    <w:rsid w:val="009638C6"/>
    <w:rsid w:val="009705D0"/>
    <w:rsid w:val="00995CE6"/>
    <w:rsid w:val="009C6D94"/>
    <w:rsid w:val="009E1310"/>
    <w:rsid w:val="009E5E10"/>
    <w:rsid w:val="00A24FF8"/>
    <w:rsid w:val="00A7269E"/>
    <w:rsid w:val="00A81C51"/>
    <w:rsid w:val="00AA7551"/>
    <w:rsid w:val="00AF3E0B"/>
    <w:rsid w:val="00B543D4"/>
    <w:rsid w:val="00B82B62"/>
    <w:rsid w:val="00BA0750"/>
    <w:rsid w:val="00BE2BE1"/>
    <w:rsid w:val="00C21B75"/>
    <w:rsid w:val="00C330E1"/>
    <w:rsid w:val="00C71F94"/>
    <w:rsid w:val="00C82CA0"/>
    <w:rsid w:val="00C8423E"/>
    <w:rsid w:val="00CC2085"/>
    <w:rsid w:val="00CE7239"/>
    <w:rsid w:val="00D25D16"/>
    <w:rsid w:val="00D462B6"/>
    <w:rsid w:val="00D54DA6"/>
    <w:rsid w:val="00D64540"/>
    <w:rsid w:val="00D67A82"/>
    <w:rsid w:val="00D734BB"/>
    <w:rsid w:val="00DC1EE2"/>
    <w:rsid w:val="00E23AB4"/>
    <w:rsid w:val="00E269F4"/>
    <w:rsid w:val="00E47F9A"/>
    <w:rsid w:val="00E619D8"/>
    <w:rsid w:val="00F522B9"/>
    <w:rsid w:val="00F57719"/>
    <w:rsid w:val="00F61BE6"/>
    <w:rsid w:val="00F76370"/>
    <w:rsid w:val="00FB012A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17755B"/>
  <w15:chartTrackingRefBased/>
  <w15:docId w15:val="{78731FBB-A76B-45C7-95DE-17E7C589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0B"/>
  </w:style>
  <w:style w:type="paragraph" w:styleId="Footer">
    <w:name w:val="footer"/>
    <w:basedOn w:val="Normal"/>
    <w:link w:val="FooterChar"/>
    <w:uiPriority w:val="99"/>
    <w:unhideWhenUsed/>
    <w:rsid w:val="00AF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0B"/>
  </w:style>
  <w:style w:type="table" w:styleId="TableGrid">
    <w:name w:val="Table Grid"/>
    <w:basedOn w:val="TableNormal"/>
    <w:uiPriority w:val="39"/>
    <w:rsid w:val="00AF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Mladenovski</dc:creator>
  <cp:keywords/>
  <dc:description/>
  <cp:lastModifiedBy>Viktor Mladenovski</cp:lastModifiedBy>
  <cp:revision>20</cp:revision>
  <dcterms:created xsi:type="dcterms:W3CDTF">2025-11-19T12:57:00Z</dcterms:created>
  <dcterms:modified xsi:type="dcterms:W3CDTF">2025-12-03T10:10:00Z</dcterms:modified>
</cp:coreProperties>
</file>