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9470" w14:textId="1C29ECD9" w:rsidR="00321799" w:rsidRPr="008A46DD" w:rsidRDefault="00321799" w:rsidP="008A46DD">
      <w:pPr>
        <w:spacing w:after="0" w:line="240" w:lineRule="auto"/>
        <w:jc w:val="both"/>
        <w:rPr>
          <w:rFonts w:ascii="Arial" w:hAnsi="Arial" w:cs="Arial"/>
          <w:b/>
          <w:sz w:val="28"/>
          <w:szCs w:val="28"/>
        </w:rPr>
      </w:pPr>
      <w:r w:rsidRPr="008A46DD">
        <w:rPr>
          <w:rFonts w:ascii="Arial" w:hAnsi="Arial" w:cs="Arial"/>
          <w:b/>
          <w:sz w:val="28"/>
          <w:szCs w:val="28"/>
        </w:rPr>
        <w:t xml:space="preserve">1. </w:t>
      </w:r>
      <w:r w:rsidR="008B5084" w:rsidRPr="008A46DD">
        <w:rPr>
          <w:rFonts w:ascii="Arial" w:hAnsi="Arial" w:cs="Arial"/>
          <w:b/>
          <w:sz w:val="28"/>
          <w:szCs w:val="28"/>
        </w:rPr>
        <w:t xml:space="preserve">Assessment of </w:t>
      </w:r>
      <w:r w:rsidRPr="008A46DD">
        <w:rPr>
          <w:rFonts w:ascii="Arial" w:hAnsi="Arial" w:cs="Arial"/>
          <w:b/>
          <w:sz w:val="28"/>
          <w:szCs w:val="28"/>
        </w:rPr>
        <w:t>Management and control system</w:t>
      </w:r>
    </w:p>
    <w:p w14:paraId="10AD779D" w14:textId="45CB532B" w:rsidR="00321799" w:rsidRPr="00005FD2" w:rsidRDefault="00321799" w:rsidP="008A46DD">
      <w:pPr>
        <w:spacing w:before="120" w:after="0" w:line="240" w:lineRule="auto"/>
        <w:jc w:val="both"/>
        <w:rPr>
          <w:rFonts w:ascii="Arial" w:eastAsia="SimSun" w:hAnsi="Arial" w:cs="Arial"/>
          <w:sz w:val="24"/>
          <w:szCs w:val="24"/>
          <w:lang w:eastAsia="en-GB"/>
        </w:rPr>
      </w:pPr>
      <w:r w:rsidRPr="00005FD2">
        <w:rPr>
          <w:rFonts w:ascii="Arial" w:hAnsi="Arial" w:cs="Arial"/>
          <w:sz w:val="24"/>
          <w:szCs w:val="24"/>
        </w:rPr>
        <w:t xml:space="preserve">During </w:t>
      </w:r>
      <w:r>
        <w:rPr>
          <w:rFonts w:ascii="Arial" w:hAnsi="Arial" w:cs="Arial"/>
          <w:sz w:val="24"/>
          <w:szCs w:val="24"/>
        </w:rPr>
        <w:t xml:space="preserve">2025 </w:t>
      </w:r>
      <w:r w:rsidRPr="00005FD2">
        <w:rPr>
          <w:rFonts w:ascii="Arial" w:hAnsi="Arial" w:cs="Arial"/>
          <w:sz w:val="24"/>
          <w:szCs w:val="24"/>
        </w:rPr>
        <w:t xml:space="preserve">management and control system under the implementation of IPARD III Programme 2021-2027 </w:t>
      </w:r>
      <w:r>
        <w:rPr>
          <w:rFonts w:ascii="Arial" w:hAnsi="Arial" w:cs="Arial"/>
          <w:sz w:val="24"/>
          <w:szCs w:val="24"/>
        </w:rPr>
        <w:t>was</w:t>
      </w:r>
      <w:r w:rsidRPr="00005FD2">
        <w:rPr>
          <w:rFonts w:ascii="Arial" w:hAnsi="Arial" w:cs="Arial"/>
          <w:sz w:val="24"/>
          <w:szCs w:val="24"/>
        </w:rPr>
        <w:t xml:space="preserve"> regularly </w:t>
      </w:r>
      <w:r w:rsidRPr="00005FD2">
        <w:rPr>
          <w:rFonts w:ascii="Arial" w:eastAsia="SimSun" w:hAnsi="Arial" w:cs="Arial"/>
          <w:sz w:val="24"/>
          <w:szCs w:val="24"/>
          <w:lang w:eastAsia="en-GB"/>
        </w:rPr>
        <w:t xml:space="preserve">monitored and supervised by NAO/MS through different tools. </w:t>
      </w:r>
    </w:p>
    <w:p w14:paraId="774341F2" w14:textId="383DE87F" w:rsidR="00321799" w:rsidRDefault="00321799" w:rsidP="008A46DD">
      <w:pPr>
        <w:spacing w:before="120" w:after="0" w:line="240" w:lineRule="auto"/>
        <w:jc w:val="both"/>
        <w:rPr>
          <w:rFonts w:ascii="Arial" w:hAnsi="Arial" w:cs="Arial"/>
          <w:sz w:val="24"/>
          <w:szCs w:val="24"/>
          <w:lang w:eastAsia="mk-MK"/>
        </w:rPr>
      </w:pPr>
      <w:r>
        <w:rPr>
          <w:rFonts w:ascii="Arial" w:hAnsi="Arial" w:cs="Arial"/>
          <w:sz w:val="24"/>
          <w:szCs w:val="24"/>
          <w:lang w:eastAsia="mk-MK"/>
        </w:rPr>
        <w:t>N</w:t>
      </w:r>
      <w:r w:rsidRPr="00005FD2">
        <w:rPr>
          <w:rFonts w:ascii="Arial" w:hAnsi="Arial" w:cs="Arial"/>
          <w:sz w:val="24"/>
          <w:szCs w:val="24"/>
          <w:lang w:eastAsia="mk-MK"/>
        </w:rPr>
        <w:t>o significant changes in the design of the management and control system have occurred.</w:t>
      </w:r>
      <w:r w:rsidR="00246B23">
        <w:rPr>
          <w:rFonts w:ascii="Arial" w:hAnsi="Arial" w:cs="Arial"/>
          <w:sz w:val="24"/>
          <w:szCs w:val="24"/>
          <w:lang w:eastAsia="mk-MK"/>
        </w:rPr>
        <w:t xml:space="preserve"> </w:t>
      </w:r>
      <w:r w:rsidR="00E525C8">
        <w:rPr>
          <w:rFonts w:ascii="Arial" w:hAnsi="Arial" w:cs="Arial"/>
          <w:sz w:val="24"/>
          <w:szCs w:val="24"/>
          <w:lang w:eastAsia="mk-MK"/>
        </w:rPr>
        <w:t>N</w:t>
      </w:r>
      <w:r w:rsidRPr="00005FD2">
        <w:rPr>
          <w:rFonts w:ascii="Arial" w:hAnsi="Arial" w:cs="Arial"/>
          <w:sz w:val="24"/>
          <w:szCs w:val="24"/>
          <w:lang w:eastAsia="mk-MK"/>
        </w:rPr>
        <w:t xml:space="preserve">on-substantial changes have </w:t>
      </w:r>
      <w:r w:rsidR="00982F5E">
        <w:rPr>
          <w:rFonts w:ascii="Arial" w:hAnsi="Arial" w:cs="Arial"/>
          <w:sz w:val="24"/>
          <w:szCs w:val="24"/>
          <w:lang w:eastAsia="mk-MK"/>
        </w:rPr>
        <w:t xml:space="preserve">been made </w:t>
      </w:r>
      <w:r w:rsidR="00982F5E" w:rsidRPr="00005FD2">
        <w:rPr>
          <w:rFonts w:ascii="Arial" w:hAnsi="Arial" w:cs="Arial"/>
          <w:sz w:val="24"/>
          <w:szCs w:val="24"/>
          <w:lang w:eastAsia="mk-MK"/>
        </w:rPr>
        <w:t>in Manual of Procedures of the IPARD Agency</w:t>
      </w:r>
      <w:r w:rsidR="00982F5E">
        <w:rPr>
          <w:rFonts w:ascii="Arial" w:hAnsi="Arial" w:cs="Arial"/>
          <w:sz w:val="24"/>
          <w:szCs w:val="24"/>
          <w:lang w:eastAsia="mk-MK"/>
        </w:rPr>
        <w:t xml:space="preserve"> </w:t>
      </w:r>
      <w:r w:rsidR="009671B2">
        <w:rPr>
          <w:rFonts w:ascii="Arial" w:hAnsi="Arial" w:cs="Arial"/>
          <w:sz w:val="24"/>
          <w:szCs w:val="24"/>
          <w:lang w:eastAsia="mk-MK"/>
        </w:rPr>
        <w:t>correlating</w:t>
      </w:r>
      <w:r w:rsidR="00982F5E">
        <w:rPr>
          <w:rFonts w:ascii="Arial" w:hAnsi="Arial" w:cs="Arial"/>
          <w:sz w:val="24"/>
          <w:szCs w:val="24"/>
          <w:lang w:eastAsia="mk-MK"/>
        </w:rPr>
        <w:t xml:space="preserve"> to latest EC Guidance on EC restrictive measures. </w:t>
      </w:r>
    </w:p>
    <w:p w14:paraId="26726731" w14:textId="3A4604D5" w:rsidR="00C80B5B" w:rsidRDefault="00E525C8" w:rsidP="008A46DD">
      <w:pPr>
        <w:spacing w:before="120" w:after="0" w:line="240" w:lineRule="auto"/>
        <w:jc w:val="both"/>
        <w:rPr>
          <w:rFonts w:ascii="Arial" w:hAnsi="Arial" w:cs="Arial"/>
          <w:sz w:val="24"/>
          <w:szCs w:val="24"/>
          <w:lang w:eastAsia="mk-MK"/>
        </w:rPr>
      </w:pPr>
      <w:r>
        <w:rPr>
          <w:rFonts w:ascii="Arial" w:hAnsi="Arial" w:cs="Arial"/>
          <w:sz w:val="24"/>
          <w:szCs w:val="24"/>
          <w:lang w:eastAsia="mk-MK"/>
        </w:rPr>
        <w:t>However,</w:t>
      </w:r>
      <w:r w:rsidR="00C80B5B" w:rsidRPr="00C80B5B">
        <w:rPr>
          <w:rFonts w:ascii="StobiSans Regular" w:eastAsia="Times New Roman" w:hAnsi="StobiSans Regular" w:cs="Times New Roman"/>
          <w:sz w:val="24"/>
          <w:szCs w:val="24"/>
          <w:lang w:eastAsia="en-GB"/>
        </w:rPr>
        <w:t xml:space="preserve"> </w:t>
      </w:r>
      <w:r w:rsidR="00C80B5B">
        <w:rPr>
          <w:rFonts w:ascii="StobiSans Regular" w:eastAsia="Times New Roman" w:hAnsi="StobiSans Regular" w:cs="Times New Roman"/>
          <w:sz w:val="24"/>
          <w:szCs w:val="24"/>
          <w:lang w:eastAsia="en-GB"/>
        </w:rPr>
        <w:t>i</w:t>
      </w:r>
      <w:r w:rsidR="00C80B5B" w:rsidRPr="00C80B5B">
        <w:rPr>
          <w:rFonts w:ascii="Arial" w:hAnsi="Arial" w:cs="Arial"/>
          <w:sz w:val="24"/>
          <w:szCs w:val="24"/>
          <w:lang w:eastAsia="mk-MK"/>
        </w:rPr>
        <w:t xml:space="preserve">n accordance with the </w:t>
      </w:r>
      <w:r w:rsidR="00C80B5B">
        <w:rPr>
          <w:rFonts w:ascii="Arial" w:hAnsi="Arial" w:cs="Arial"/>
          <w:sz w:val="24"/>
          <w:szCs w:val="24"/>
          <w:lang w:eastAsia="mk-MK"/>
        </w:rPr>
        <w:t xml:space="preserve">latest </w:t>
      </w:r>
      <w:r w:rsidR="00C80B5B" w:rsidRPr="00C80B5B">
        <w:rPr>
          <w:rFonts w:ascii="Arial" w:hAnsi="Arial" w:cs="Arial"/>
          <w:sz w:val="24"/>
          <w:szCs w:val="24"/>
          <w:lang w:eastAsia="mk-MK"/>
        </w:rPr>
        <w:t xml:space="preserve">events of suspicions of potential corruption by a high-ranking official within the IPARD Agency, National Authorizing Officer, based on Article 6, paragraph 5 of the Decree on establishment of the structures and authorities and determining their mutual relations for managing financial assistance under the Instrument for Pre-accession Assistance (IPA III) in indirect management, </w:t>
      </w:r>
      <w:r w:rsidR="00C80B5B">
        <w:rPr>
          <w:rFonts w:ascii="Arial" w:hAnsi="Arial" w:cs="Arial"/>
          <w:sz w:val="24"/>
          <w:szCs w:val="24"/>
          <w:lang w:eastAsia="mk-MK"/>
        </w:rPr>
        <w:t>has</w:t>
      </w:r>
      <w:r w:rsidR="00C80B5B" w:rsidRPr="00C80B5B">
        <w:rPr>
          <w:rFonts w:ascii="Arial" w:hAnsi="Arial" w:cs="Arial"/>
          <w:sz w:val="24"/>
          <w:szCs w:val="24"/>
          <w:lang w:eastAsia="mk-MK"/>
        </w:rPr>
        <w:t xml:space="preserve"> </w:t>
      </w:r>
      <w:r w:rsidR="00C80B5B">
        <w:rPr>
          <w:rFonts w:ascii="Arial" w:hAnsi="Arial" w:cs="Arial"/>
          <w:sz w:val="24"/>
          <w:szCs w:val="24"/>
          <w:lang w:eastAsia="mk-MK"/>
        </w:rPr>
        <w:t>i</w:t>
      </w:r>
      <w:r w:rsidR="00C80B5B" w:rsidRPr="00C80B5B">
        <w:rPr>
          <w:rFonts w:ascii="Arial" w:hAnsi="Arial" w:cs="Arial"/>
          <w:sz w:val="24"/>
          <w:szCs w:val="24"/>
          <w:lang w:eastAsia="mk-MK"/>
        </w:rPr>
        <w:t>nterrupt</w:t>
      </w:r>
      <w:r w:rsidR="00C80B5B">
        <w:rPr>
          <w:rFonts w:ascii="Arial" w:hAnsi="Arial" w:cs="Arial"/>
          <w:sz w:val="24"/>
          <w:szCs w:val="24"/>
          <w:lang w:eastAsia="mk-MK"/>
        </w:rPr>
        <w:t xml:space="preserve">ed </w:t>
      </w:r>
      <w:r w:rsidR="00C80B5B" w:rsidRPr="00C80B5B">
        <w:rPr>
          <w:rFonts w:ascii="Arial" w:hAnsi="Arial" w:cs="Arial"/>
          <w:sz w:val="24"/>
          <w:szCs w:val="24"/>
          <w:lang w:eastAsia="mk-MK"/>
        </w:rPr>
        <w:t>all payments from IPARD funds.</w:t>
      </w:r>
      <w:r w:rsidR="00C80B5B">
        <w:rPr>
          <w:rFonts w:ascii="Arial" w:hAnsi="Arial" w:cs="Arial"/>
          <w:sz w:val="24"/>
          <w:szCs w:val="24"/>
          <w:lang w:eastAsia="mk-MK"/>
        </w:rPr>
        <w:t xml:space="preserve"> </w:t>
      </w:r>
      <w:r w:rsidR="00C80B5B" w:rsidRPr="00C80B5B">
        <w:rPr>
          <w:rFonts w:ascii="Arial" w:hAnsi="Arial" w:cs="Arial"/>
          <w:sz w:val="24"/>
          <w:szCs w:val="24"/>
          <w:lang w:eastAsia="mk-MK"/>
        </w:rPr>
        <w:t xml:space="preserve">This measure </w:t>
      </w:r>
      <w:r w:rsidR="00C80B5B">
        <w:rPr>
          <w:rFonts w:ascii="Arial" w:hAnsi="Arial" w:cs="Arial"/>
          <w:sz w:val="24"/>
          <w:szCs w:val="24"/>
          <w:lang w:eastAsia="mk-MK"/>
        </w:rPr>
        <w:t>shall be in force</w:t>
      </w:r>
      <w:r w:rsidR="00C80B5B" w:rsidRPr="00C80B5B">
        <w:rPr>
          <w:rFonts w:ascii="Arial" w:hAnsi="Arial" w:cs="Arial"/>
          <w:sz w:val="24"/>
          <w:szCs w:val="24"/>
          <w:lang w:eastAsia="mk-MK"/>
        </w:rPr>
        <w:t xml:space="preserve"> </w:t>
      </w:r>
      <w:r w:rsidR="00C80B5B">
        <w:rPr>
          <w:rFonts w:ascii="Arial" w:hAnsi="Arial" w:cs="Arial"/>
          <w:sz w:val="24"/>
          <w:szCs w:val="24"/>
          <w:lang w:eastAsia="mk-MK"/>
        </w:rPr>
        <w:t>u</w:t>
      </w:r>
      <w:r w:rsidR="00C80B5B" w:rsidRPr="00C80B5B">
        <w:rPr>
          <w:rFonts w:ascii="Arial" w:hAnsi="Arial" w:cs="Arial"/>
          <w:sz w:val="24"/>
          <w:szCs w:val="24"/>
          <w:lang w:eastAsia="mk-MK"/>
        </w:rPr>
        <w:t>ntil its withdrawal</w:t>
      </w:r>
      <w:r w:rsidR="00C80B5B">
        <w:rPr>
          <w:rFonts w:ascii="Arial" w:hAnsi="Arial" w:cs="Arial"/>
          <w:sz w:val="24"/>
          <w:szCs w:val="24"/>
          <w:lang w:eastAsia="mk-MK"/>
        </w:rPr>
        <w:t xml:space="preserve"> </w:t>
      </w:r>
      <w:proofErr w:type="spellStart"/>
      <w:r w:rsidR="00C80B5B">
        <w:rPr>
          <w:rFonts w:ascii="Arial" w:hAnsi="Arial" w:cs="Arial"/>
          <w:sz w:val="24"/>
          <w:szCs w:val="24"/>
          <w:lang w:eastAsia="mk-MK"/>
        </w:rPr>
        <w:t>i.e</w:t>
      </w:r>
      <w:proofErr w:type="spellEnd"/>
      <w:r w:rsidR="00C80B5B">
        <w:rPr>
          <w:rFonts w:ascii="Arial" w:hAnsi="Arial" w:cs="Arial"/>
          <w:sz w:val="24"/>
          <w:szCs w:val="24"/>
          <w:lang w:eastAsia="mk-MK"/>
        </w:rPr>
        <w:t xml:space="preserve"> till </w:t>
      </w:r>
      <w:r w:rsidR="00C80B5B" w:rsidRPr="00C80B5B">
        <w:rPr>
          <w:rFonts w:ascii="Arial" w:hAnsi="Arial" w:cs="Arial"/>
          <w:sz w:val="24"/>
          <w:szCs w:val="24"/>
          <w:lang w:eastAsia="mk-MK"/>
        </w:rPr>
        <w:t>insur</w:t>
      </w:r>
      <w:r w:rsidR="00C80B5B">
        <w:rPr>
          <w:rFonts w:ascii="Arial" w:hAnsi="Arial" w:cs="Arial"/>
          <w:sz w:val="24"/>
          <w:szCs w:val="24"/>
          <w:lang w:eastAsia="mk-MK"/>
        </w:rPr>
        <w:t>ance is gained</w:t>
      </w:r>
      <w:r w:rsidR="00C80B5B" w:rsidRPr="00C80B5B">
        <w:rPr>
          <w:rFonts w:ascii="Arial" w:hAnsi="Arial" w:cs="Arial"/>
          <w:sz w:val="24"/>
          <w:szCs w:val="24"/>
          <w:lang w:eastAsia="mk-MK"/>
        </w:rPr>
        <w:t xml:space="preserve"> that the established system guarantees the legality and regularity of IPARD </w:t>
      </w:r>
      <w:r w:rsidR="00C80B5B">
        <w:rPr>
          <w:rFonts w:ascii="Arial" w:hAnsi="Arial" w:cs="Arial"/>
          <w:sz w:val="24"/>
          <w:szCs w:val="24"/>
          <w:lang w:eastAsia="mk-MK"/>
        </w:rPr>
        <w:t>transactions</w:t>
      </w:r>
      <w:r w:rsidR="00C80B5B" w:rsidRPr="00C80B5B">
        <w:rPr>
          <w:rFonts w:ascii="Arial" w:hAnsi="Arial" w:cs="Arial"/>
          <w:sz w:val="24"/>
          <w:szCs w:val="24"/>
          <w:lang w:eastAsia="mk-MK"/>
        </w:rPr>
        <w:t xml:space="preserve">. </w:t>
      </w:r>
    </w:p>
    <w:p w14:paraId="28B236CC" w14:textId="6CF7B74B" w:rsidR="00E525C8" w:rsidRPr="00982F5E" w:rsidRDefault="00C45959" w:rsidP="008A46DD">
      <w:pPr>
        <w:spacing w:before="120" w:after="0" w:line="240" w:lineRule="auto"/>
        <w:jc w:val="both"/>
        <w:rPr>
          <w:rFonts w:ascii="Arial" w:hAnsi="Arial" w:cs="Arial"/>
          <w:sz w:val="24"/>
          <w:szCs w:val="24"/>
          <w:lang w:eastAsia="mk-MK"/>
        </w:rPr>
      </w:pPr>
      <w:r w:rsidRPr="00C45959">
        <w:rPr>
          <w:rFonts w:ascii="Arial" w:hAnsi="Arial" w:cs="Arial"/>
          <w:sz w:val="24"/>
          <w:szCs w:val="24"/>
          <w:lang w:eastAsia="mk-MK"/>
        </w:rPr>
        <w:t xml:space="preserve">At present, </w:t>
      </w:r>
      <w:r>
        <w:rPr>
          <w:rFonts w:ascii="Arial" w:hAnsi="Arial" w:cs="Arial"/>
          <w:sz w:val="24"/>
          <w:szCs w:val="24"/>
          <w:lang w:eastAsia="mk-MK"/>
        </w:rPr>
        <w:t xml:space="preserve">coordinated </w:t>
      </w:r>
      <w:r w:rsidRPr="00C45959">
        <w:rPr>
          <w:rFonts w:ascii="Arial" w:hAnsi="Arial" w:cs="Arial"/>
          <w:sz w:val="24"/>
          <w:szCs w:val="24"/>
          <w:lang w:eastAsia="mk-MK"/>
        </w:rPr>
        <w:t>investigation</w:t>
      </w:r>
      <w:r>
        <w:rPr>
          <w:rFonts w:ascii="Arial" w:hAnsi="Arial" w:cs="Arial"/>
          <w:sz w:val="24"/>
          <w:szCs w:val="24"/>
          <w:lang w:eastAsia="mk-MK"/>
        </w:rPr>
        <w:t>s</w:t>
      </w:r>
      <w:r w:rsidRPr="00C45959">
        <w:rPr>
          <w:rFonts w:ascii="Arial" w:hAnsi="Arial" w:cs="Arial"/>
          <w:sz w:val="24"/>
          <w:szCs w:val="24"/>
          <w:lang w:eastAsia="mk-MK"/>
        </w:rPr>
        <w:t xml:space="preserve"> </w:t>
      </w:r>
      <w:r>
        <w:rPr>
          <w:rFonts w:ascii="Arial" w:hAnsi="Arial" w:cs="Arial"/>
          <w:sz w:val="24"/>
          <w:szCs w:val="24"/>
          <w:lang w:eastAsia="mk-MK"/>
        </w:rPr>
        <w:t xml:space="preserve">and verifications </w:t>
      </w:r>
      <w:r w:rsidRPr="00C45959">
        <w:rPr>
          <w:rFonts w:ascii="Arial" w:hAnsi="Arial" w:cs="Arial"/>
          <w:sz w:val="24"/>
          <w:szCs w:val="24"/>
          <w:lang w:eastAsia="mk-MK"/>
        </w:rPr>
        <w:t>process</w:t>
      </w:r>
      <w:r>
        <w:rPr>
          <w:rFonts w:ascii="Arial" w:hAnsi="Arial" w:cs="Arial"/>
          <w:sz w:val="24"/>
          <w:szCs w:val="24"/>
          <w:lang w:eastAsia="mk-MK"/>
        </w:rPr>
        <w:t>es</w:t>
      </w:r>
      <w:r w:rsidRPr="00C45959">
        <w:rPr>
          <w:rFonts w:ascii="Arial" w:hAnsi="Arial" w:cs="Arial"/>
          <w:sz w:val="24"/>
          <w:szCs w:val="24"/>
          <w:lang w:eastAsia="mk-MK"/>
        </w:rPr>
        <w:t xml:space="preserve"> </w:t>
      </w:r>
      <w:r>
        <w:rPr>
          <w:rFonts w:ascii="Arial" w:hAnsi="Arial" w:cs="Arial"/>
          <w:sz w:val="24"/>
          <w:szCs w:val="24"/>
          <w:lang w:eastAsia="mk-MK"/>
        </w:rPr>
        <w:t>are</w:t>
      </w:r>
      <w:r w:rsidRPr="00C45959">
        <w:rPr>
          <w:rFonts w:ascii="Arial" w:hAnsi="Arial" w:cs="Arial"/>
          <w:sz w:val="24"/>
          <w:szCs w:val="24"/>
          <w:lang w:eastAsia="mk-MK"/>
        </w:rPr>
        <w:t xml:space="preserve"> ongoing</w:t>
      </w:r>
      <w:r>
        <w:rPr>
          <w:rFonts w:ascii="Arial" w:hAnsi="Arial" w:cs="Arial"/>
          <w:sz w:val="24"/>
          <w:szCs w:val="24"/>
          <w:lang w:eastAsia="mk-MK"/>
        </w:rPr>
        <w:t xml:space="preserve"> in parallel by several institutions and structures.</w:t>
      </w:r>
      <w:r w:rsidRPr="00C45959">
        <w:rPr>
          <w:rFonts w:ascii="Arial" w:hAnsi="Arial" w:cs="Arial"/>
          <w:sz w:val="24"/>
          <w:szCs w:val="24"/>
          <w:lang w:eastAsia="mk-MK"/>
        </w:rPr>
        <w:t xml:space="preserve"> </w:t>
      </w:r>
      <w:r>
        <w:rPr>
          <w:rFonts w:ascii="Arial" w:hAnsi="Arial" w:cs="Arial"/>
          <w:sz w:val="24"/>
          <w:szCs w:val="24"/>
          <w:lang w:eastAsia="mk-MK"/>
        </w:rPr>
        <w:t xml:space="preserve">The </w:t>
      </w:r>
      <w:r w:rsidRPr="00C45959">
        <w:rPr>
          <w:rFonts w:ascii="Arial" w:hAnsi="Arial" w:cs="Arial"/>
          <w:sz w:val="24"/>
          <w:szCs w:val="24"/>
          <w:lang w:eastAsia="mk-MK"/>
        </w:rPr>
        <w:t>objective is to cover a wide range of areas identified by the Management Structure as critical points that could potentially allow corruption, as well as to reevaluate the established management and control system in light of the new circumstances. Based on th</w:t>
      </w:r>
      <w:r>
        <w:rPr>
          <w:rFonts w:ascii="Arial" w:hAnsi="Arial" w:cs="Arial"/>
          <w:sz w:val="24"/>
          <w:szCs w:val="24"/>
          <w:lang w:eastAsia="mk-MK"/>
        </w:rPr>
        <w:t>e outcome</w:t>
      </w:r>
      <w:r w:rsidRPr="00C45959">
        <w:rPr>
          <w:rFonts w:ascii="Arial" w:hAnsi="Arial" w:cs="Arial"/>
          <w:sz w:val="24"/>
          <w:szCs w:val="24"/>
          <w:lang w:eastAsia="mk-MK"/>
        </w:rPr>
        <w:t xml:space="preserve">, the national decision </w:t>
      </w:r>
      <w:r w:rsidR="00B44045">
        <w:rPr>
          <w:rFonts w:ascii="Arial" w:hAnsi="Arial" w:cs="Arial"/>
          <w:sz w:val="24"/>
          <w:szCs w:val="24"/>
          <w:lang w:eastAsia="mk-MK"/>
        </w:rPr>
        <w:t>on</w:t>
      </w:r>
      <w:r w:rsidRPr="00C45959">
        <w:rPr>
          <w:rFonts w:ascii="Arial" w:hAnsi="Arial" w:cs="Arial"/>
          <w:sz w:val="24"/>
          <w:szCs w:val="24"/>
          <w:lang w:eastAsia="mk-MK"/>
        </w:rPr>
        <w:t xml:space="preserve"> interruption</w:t>
      </w:r>
      <w:r w:rsidR="00B44045">
        <w:rPr>
          <w:rFonts w:ascii="Arial" w:hAnsi="Arial" w:cs="Arial"/>
          <w:sz w:val="24"/>
          <w:szCs w:val="24"/>
          <w:lang w:eastAsia="mk-MK"/>
        </w:rPr>
        <w:t xml:space="preserve"> shall be reassessed</w:t>
      </w:r>
      <w:r w:rsidRPr="00C45959">
        <w:rPr>
          <w:rFonts w:ascii="Arial" w:hAnsi="Arial" w:cs="Arial"/>
          <w:sz w:val="24"/>
          <w:szCs w:val="24"/>
          <w:lang w:eastAsia="mk-MK"/>
        </w:rPr>
        <w:t>.</w:t>
      </w:r>
      <w:r w:rsidR="00E525C8">
        <w:rPr>
          <w:rFonts w:ascii="Arial" w:hAnsi="Arial" w:cs="Arial"/>
          <w:sz w:val="24"/>
          <w:szCs w:val="24"/>
          <w:lang w:eastAsia="mk-MK"/>
        </w:rPr>
        <w:t xml:space="preserve"> </w:t>
      </w:r>
    </w:p>
    <w:p w14:paraId="6A45D13B" w14:textId="0729CC43" w:rsidR="00321799" w:rsidRPr="00005FD2" w:rsidRDefault="00321799" w:rsidP="008A46DD">
      <w:pPr>
        <w:spacing w:before="120" w:after="120" w:line="240" w:lineRule="auto"/>
        <w:jc w:val="both"/>
        <w:rPr>
          <w:rFonts w:ascii="Arial" w:hAnsi="Arial" w:cs="Arial"/>
          <w:b/>
          <w:sz w:val="24"/>
          <w:szCs w:val="24"/>
        </w:rPr>
      </w:pPr>
      <w:r w:rsidRPr="008A46DD">
        <w:rPr>
          <w:rFonts w:ascii="Arial" w:hAnsi="Arial" w:cs="Arial"/>
          <w:b/>
          <w:sz w:val="28"/>
          <w:szCs w:val="28"/>
        </w:rPr>
        <w:t>2. Verifications and control carried out by the Management structure</w:t>
      </w:r>
    </w:p>
    <w:p w14:paraId="16FAA27B" w14:textId="7A1162F9" w:rsidR="00321799" w:rsidRPr="00005FD2" w:rsidRDefault="00321799" w:rsidP="008A46DD">
      <w:pPr>
        <w:autoSpaceDE w:val="0"/>
        <w:autoSpaceDN w:val="0"/>
        <w:adjustRightInd w:val="0"/>
        <w:spacing w:after="0" w:line="240" w:lineRule="auto"/>
        <w:jc w:val="both"/>
        <w:rPr>
          <w:rFonts w:ascii="Arial" w:hAnsi="Arial" w:cs="Arial"/>
          <w:sz w:val="24"/>
          <w:szCs w:val="24"/>
          <w:lang w:eastAsia="mk-MK"/>
        </w:rPr>
      </w:pPr>
      <w:r w:rsidRPr="00005FD2">
        <w:rPr>
          <w:rFonts w:ascii="Arial" w:hAnsi="Arial" w:cs="Arial"/>
          <w:color w:val="000000"/>
          <w:sz w:val="24"/>
          <w:szCs w:val="24"/>
        </w:rPr>
        <w:t xml:space="preserve">NAO support office in the field of agriculture and rural development within the </w:t>
      </w:r>
      <w:r w:rsidRPr="00005FD2">
        <w:rPr>
          <w:rFonts w:ascii="Arial" w:eastAsia="Calibri" w:hAnsi="Arial" w:cs="Arial"/>
          <w:sz w:val="24"/>
          <w:szCs w:val="24"/>
        </w:rPr>
        <w:t>Annual Plan for Verification</w:t>
      </w:r>
      <w:r w:rsidRPr="00005FD2">
        <w:rPr>
          <w:rFonts w:ascii="Arial" w:hAnsi="Arial" w:cs="Arial"/>
          <w:sz w:val="24"/>
          <w:szCs w:val="24"/>
          <w:lang w:eastAsia="mk-MK"/>
        </w:rPr>
        <w:t xml:space="preserve"> Visits for 2025 adopted on 04</w:t>
      </w:r>
      <w:r w:rsidRPr="00005FD2">
        <w:rPr>
          <w:rFonts w:ascii="Arial" w:hAnsi="Arial" w:cs="Arial"/>
          <w:sz w:val="24"/>
          <w:szCs w:val="24"/>
          <w:vertAlign w:val="superscript"/>
          <w:lang w:eastAsia="mk-MK"/>
        </w:rPr>
        <w:t xml:space="preserve">th </w:t>
      </w:r>
      <w:r w:rsidRPr="00005FD2">
        <w:rPr>
          <w:rFonts w:ascii="Arial" w:hAnsi="Arial" w:cs="Arial"/>
          <w:sz w:val="24"/>
          <w:szCs w:val="24"/>
          <w:lang w:eastAsia="mk-MK"/>
        </w:rPr>
        <w:t>February 2025</w:t>
      </w:r>
      <w:r>
        <w:rPr>
          <w:rFonts w:ascii="Arial" w:hAnsi="Arial" w:cs="Arial"/>
          <w:sz w:val="24"/>
          <w:szCs w:val="24"/>
          <w:lang w:eastAsia="mk-MK"/>
        </w:rPr>
        <w:t>,</w:t>
      </w:r>
      <w:r w:rsidRPr="00005FD2">
        <w:rPr>
          <w:rFonts w:ascii="Arial" w:hAnsi="Arial" w:cs="Arial"/>
          <w:sz w:val="24"/>
          <w:szCs w:val="24"/>
          <w:lang w:eastAsia="mk-MK"/>
        </w:rPr>
        <w:t xml:space="preserve"> foresees three verification visits, as follows:</w:t>
      </w:r>
    </w:p>
    <w:p w14:paraId="28381018" w14:textId="77777777" w:rsidR="00321799" w:rsidRPr="00AD2D74" w:rsidRDefault="00321799" w:rsidP="008A46DD">
      <w:pPr>
        <w:pStyle w:val="ListParagraph"/>
        <w:numPr>
          <w:ilvl w:val="0"/>
          <w:numId w:val="11"/>
        </w:numPr>
        <w:autoSpaceDE w:val="0"/>
        <w:autoSpaceDN w:val="0"/>
        <w:adjustRightInd w:val="0"/>
        <w:spacing w:before="120" w:after="0" w:line="240" w:lineRule="auto"/>
        <w:ind w:left="714" w:hanging="357"/>
        <w:contextualSpacing w:val="0"/>
        <w:jc w:val="both"/>
        <w:rPr>
          <w:rFonts w:ascii="Arial" w:eastAsia="Calibri" w:hAnsi="Arial" w:cs="Arial"/>
          <w:sz w:val="24"/>
          <w:szCs w:val="24"/>
        </w:rPr>
      </w:pPr>
      <w:r w:rsidRPr="00AD2D74">
        <w:rPr>
          <w:rFonts w:ascii="Arial" w:eastAsia="Calibri" w:hAnsi="Arial" w:cs="Arial"/>
          <w:sz w:val="24"/>
          <w:szCs w:val="24"/>
        </w:rPr>
        <w:t>Administrative check on project level concerning implementation of Technical Assistance Measure under IPARD III</w:t>
      </w:r>
      <w:r w:rsidRPr="00AD2D74" w:rsidDel="003A1222">
        <w:rPr>
          <w:rFonts w:ascii="Arial" w:eastAsia="Calibri" w:hAnsi="Arial" w:cs="Arial"/>
          <w:sz w:val="24"/>
          <w:szCs w:val="24"/>
        </w:rPr>
        <w:t xml:space="preserve"> </w:t>
      </w:r>
      <w:r w:rsidRPr="00AD2D74">
        <w:rPr>
          <w:rFonts w:ascii="Arial" w:eastAsia="Calibri" w:hAnsi="Arial" w:cs="Arial"/>
          <w:sz w:val="24"/>
          <w:szCs w:val="24"/>
        </w:rPr>
        <w:t>(indicatively planned for March-April 2025);</w:t>
      </w:r>
    </w:p>
    <w:p w14:paraId="09CE202B" w14:textId="77777777" w:rsidR="00321799" w:rsidRPr="00AD2D74" w:rsidRDefault="00321799" w:rsidP="008A46DD">
      <w:pPr>
        <w:pStyle w:val="ListParagraph"/>
        <w:numPr>
          <w:ilvl w:val="0"/>
          <w:numId w:val="11"/>
        </w:numPr>
        <w:autoSpaceDE w:val="0"/>
        <w:autoSpaceDN w:val="0"/>
        <w:adjustRightInd w:val="0"/>
        <w:spacing w:after="0" w:line="240" w:lineRule="auto"/>
        <w:contextualSpacing w:val="0"/>
        <w:jc w:val="both"/>
        <w:rPr>
          <w:rFonts w:ascii="Arial" w:eastAsia="Calibri" w:hAnsi="Arial" w:cs="Arial"/>
          <w:sz w:val="24"/>
          <w:szCs w:val="24"/>
        </w:rPr>
      </w:pPr>
      <w:r w:rsidRPr="00AD2D74">
        <w:rPr>
          <w:rFonts w:ascii="Arial" w:hAnsi="Arial" w:cs="Arial"/>
          <w:sz w:val="24"/>
          <w:szCs w:val="24"/>
          <w:lang w:eastAsia="mk-MK"/>
        </w:rPr>
        <w:t>Verification Visit on Project Level for paid projects, in particular ex post - on the spot checks</w:t>
      </w:r>
      <w:r w:rsidRPr="00AD2D74" w:rsidDel="003A1222">
        <w:rPr>
          <w:rFonts w:ascii="Arial" w:hAnsi="Arial" w:cs="Arial"/>
          <w:sz w:val="24"/>
          <w:szCs w:val="24"/>
          <w:lang w:eastAsia="mk-MK"/>
        </w:rPr>
        <w:t xml:space="preserve"> </w:t>
      </w:r>
      <w:r w:rsidRPr="00AD2D74">
        <w:rPr>
          <w:rFonts w:ascii="Arial" w:hAnsi="Arial" w:cs="Arial"/>
          <w:sz w:val="24"/>
          <w:szCs w:val="24"/>
          <w:lang w:eastAsia="mk-MK"/>
        </w:rPr>
        <w:t>for IPARD II Programme (</w:t>
      </w:r>
      <w:r w:rsidRPr="00AD2D74">
        <w:rPr>
          <w:rFonts w:ascii="Arial" w:eastAsia="Calibri" w:hAnsi="Arial" w:cs="Arial"/>
          <w:sz w:val="24"/>
          <w:szCs w:val="24"/>
        </w:rPr>
        <w:t>indicatively</w:t>
      </w:r>
      <w:r w:rsidRPr="00AD2D74">
        <w:rPr>
          <w:rFonts w:ascii="Arial" w:hAnsi="Arial" w:cs="Arial"/>
          <w:sz w:val="24"/>
          <w:szCs w:val="24"/>
          <w:lang w:eastAsia="mk-MK"/>
        </w:rPr>
        <w:t xml:space="preserve"> planned for August-October 2025) and;</w:t>
      </w:r>
    </w:p>
    <w:p w14:paraId="43B4D4FB" w14:textId="77777777" w:rsidR="00321799" w:rsidRPr="00AD2D74" w:rsidRDefault="00321799" w:rsidP="008A46DD">
      <w:pPr>
        <w:pStyle w:val="ListParagraph"/>
        <w:numPr>
          <w:ilvl w:val="0"/>
          <w:numId w:val="11"/>
        </w:numPr>
        <w:spacing w:after="0" w:line="240" w:lineRule="auto"/>
        <w:contextualSpacing w:val="0"/>
        <w:jc w:val="both"/>
        <w:rPr>
          <w:rFonts w:ascii="Arial" w:hAnsi="Arial" w:cs="Arial"/>
          <w:sz w:val="24"/>
          <w:szCs w:val="24"/>
        </w:rPr>
      </w:pPr>
      <w:r w:rsidRPr="00AD2D74">
        <w:rPr>
          <w:rFonts w:ascii="Arial" w:eastAsia="Calibri" w:hAnsi="Arial" w:cs="Arial"/>
          <w:sz w:val="24"/>
          <w:szCs w:val="24"/>
        </w:rPr>
        <w:t>Administrative check of the paid projects under IPARD III Programme</w:t>
      </w:r>
      <w:r w:rsidRPr="00AD2D74">
        <w:rPr>
          <w:rFonts w:ascii="Arial" w:hAnsi="Arial" w:cs="Arial"/>
          <w:sz w:val="24"/>
          <w:szCs w:val="24"/>
          <w:lang w:eastAsia="mk-MK"/>
        </w:rPr>
        <w:t xml:space="preserve"> </w:t>
      </w:r>
      <w:r w:rsidRPr="00AD2D74">
        <w:rPr>
          <w:rFonts w:ascii="Arial" w:hAnsi="Arial" w:cs="Arial"/>
          <w:sz w:val="24"/>
          <w:szCs w:val="24"/>
        </w:rPr>
        <w:t>(indicatively planned for November-December 2025).</w:t>
      </w:r>
    </w:p>
    <w:p w14:paraId="0B5B8657" w14:textId="19A8AB01" w:rsidR="00321799" w:rsidRDefault="00321799" w:rsidP="008A46DD">
      <w:pPr>
        <w:spacing w:before="120" w:after="0" w:line="240" w:lineRule="auto"/>
        <w:jc w:val="both"/>
        <w:rPr>
          <w:rFonts w:ascii="Arial" w:hAnsi="Arial" w:cs="Arial"/>
          <w:sz w:val="24"/>
          <w:szCs w:val="24"/>
        </w:rPr>
      </w:pPr>
      <w:r>
        <w:rPr>
          <w:rFonts w:ascii="Arial" w:hAnsi="Arial" w:cs="Arial"/>
          <w:sz w:val="24"/>
          <w:szCs w:val="24"/>
        </w:rPr>
        <w:t xml:space="preserve">First verification visit related to the implementation of the Technical Assistance Measure under IPARD 2021-2027 Programme is </w:t>
      </w:r>
      <w:r w:rsidR="00EF6E5F">
        <w:rPr>
          <w:rFonts w:ascii="Arial" w:hAnsi="Arial" w:cs="Arial"/>
          <w:sz w:val="24"/>
          <w:szCs w:val="24"/>
        </w:rPr>
        <w:t xml:space="preserve">already </w:t>
      </w:r>
      <w:proofErr w:type="spellStart"/>
      <w:r w:rsidR="00EF6E5F">
        <w:rPr>
          <w:rFonts w:ascii="Arial" w:hAnsi="Arial" w:cs="Arial"/>
          <w:sz w:val="24"/>
          <w:szCs w:val="24"/>
        </w:rPr>
        <w:t>finalised</w:t>
      </w:r>
      <w:proofErr w:type="spellEnd"/>
      <w:r>
        <w:rPr>
          <w:rFonts w:ascii="Arial" w:hAnsi="Arial" w:cs="Arial"/>
          <w:sz w:val="24"/>
          <w:szCs w:val="24"/>
        </w:rPr>
        <w:t>.</w:t>
      </w:r>
      <w:r w:rsidR="00246B23">
        <w:rPr>
          <w:rFonts w:ascii="Arial" w:hAnsi="Arial" w:cs="Arial"/>
          <w:sz w:val="24"/>
          <w:szCs w:val="24"/>
        </w:rPr>
        <w:t xml:space="preserve"> While the second one related to ex-post on the spot check, had to be prolonged due to request by the Minister of Agriculture, Forestry and Water Economy. On his request ad hock verification on raking process on the application from Measure 3 - Public call 01/2024 was performed. In addition, ex-post verification visit is prolonged due to the current happenings and need </w:t>
      </w:r>
      <w:r w:rsidR="00EA4B9C">
        <w:rPr>
          <w:rFonts w:ascii="Arial" w:hAnsi="Arial" w:cs="Arial"/>
          <w:sz w:val="24"/>
          <w:szCs w:val="24"/>
        </w:rPr>
        <w:t>the focus to be put on other areas.</w:t>
      </w:r>
      <w:r w:rsidR="00246B23">
        <w:rPr>
          <w:rFonts w:ascii="Arial" w:hAnsi="Arial" w:cs="Arial"/>
          <w:sz w:val="24"/>
          <w:szCs w:val="24"/>
        </w:rPr>
        <w:t xml:space="preserve"> </w:t>
      </w:r>
    </w:p>
    <w:p w14:paraId="4049F8A8" w14:textId="77777777" w:rsidR="008A46DD" w:rsidRDefault="008A46DD" w:rsidP="008A46DD">
      <w:pPr>
        <w:spacing w:after="0" w:line="240" w:lineRule="auto"/>
        <w:rPr>
          <w:rFonts w:ascii="Arial" w:hAnsi="Arial" w:cs="Arial"/>
          <w:b/>
          <w:sz w:val="24"/>
          <w:szCs w:val="24"/>
        </w:rPr>
      </w:pPr>
      <w:r>
        <w:rPr>
          <w:rFonts w:ascii="Arial" w:hAnsi="Arial" w:cs="Arial"/>
          <w:b/>
          <w:sz w:val="24"/>
          <w:szCs w:val="24"/>
        </w:rPr>
        <w:br w:type="page"/>
      </w:r>
    </w:p>
    <w:p w14:paraId="513D7353" w14:textId="0083185B" w:rsidR="00321799" w:rsidRPr="004805AB" w:rsidRDefault="00321799" w:rsidP="008A46DD">
      <w:pPr>
        <w:spacing w:after="0" w:line="240" w:lineRule="auto"/>
        <w:jc w:val="both"/>
        <w:rPr>
          <w:rFonts w:ascii="Arial" w:hAnsi="Arial" w:cs="Arial"/>
          <w:b/>
          <w:sz w:val="24"/>
          <w:szCs w:val="24"/>
        </w:rPr>
      </w:pPr>
      <w:r w:rsidRPr="008A46DD">
        <w:rPr>
          <w:rFonts w:ascii="Arial" w:hAnsi="Arial" w:cs="Arial"/>
          <w:b/>
          <w:sz w:val="28"/>
          <w:szCs w:val="28"/>
        </w:rPr>
        <w:t>3.</w:t>
      </w:r>
      <w:r w:rsidR="009671B2" w:rsidRPr="008A46DD">
        <w:rPr>
          <w:rFonts w:ascii="Arial" w:hAnsi="Arial" w:cs="Arial"/>
          <w:b/>
          <w:sz w:val="28"/>
          <w:szCs w:val="28"/>
        </w:rPr>
        <w:t xml:space="preserve"> </w:t>
      </w:r>
      <w:r w:rsidRPr="008A46DD">
        <w:rPr>
          <w:rFonts w:ascii="Arial" w:hAnsi="Arial" w:cs="Arial"/>
          <w:b/>
          <w:sz w:val="28"/>
          <w:szCs w:val="28"/>
        </w:rPr>
        <w:t>Accreditation of new measures</w:t>
      </w:r>
    </w:p>
    <w:p w14:paraId="67CAB86E" w14:textId="0A5DEA65" w:rsidR="00321799" w:rsidRDefault="00EA4B9C" w:rsidP="008A46DD">
      <w:pPr>
        <w:spacing w:before="120" w:after="0" w:line="240" w:lineRule="auto"/>
        <w:jc w:val="both"/>
        <w:rPr>
          <w:rFonts w:ascii="Arial" w:hAnsi="Arial" w:cs="Arial"/>
          <w:sz w:val="24"/>
          <w:szCs w:val="24"/>
        </w:rPr>
      </w:pPr>
      <w:r>
        <w:rPr>
          <w:rFonts w:ascii="Arial" w:hAnsi="Arial" w:cs="Arial"/>
          <w:sz w:val="24"/>
          <w:szCs w:val="24"/>
        </w:rPr>
        <w:t xml:space="preserve">Request for Budget Entrustment with Investments in Rural Public Infrastructure Measure was submitted to EC/DG </w:t>
      </w:r>
      <w:proofErr w:type="spellStart"/>
      <w:r>
        <w:rPr>
          <w:rFonts w:ascii="Arial" w:hAnsi="Arial" w:cs="Arial"/>
          <w:sz w:val="24"/>
          <w:szCs w:val="24"/>
        </w:rPr>
        <w:t>Agri</w:t>
      </w:r>
      <w:proofErr w:type="spellEnd"/>
      <w:r>
        <w:rPr>
          <w:rFonts w:ascii="Arial" w:hAnsi="Arial" w:cs="Arial"/>
          <w:sz w:val="24"/>
          <w:szCs w:val="24"/>
        </w:rPr>
        <w:t xml:space="preserve"> at the end of October. IPARD Structures are awaiting DG </w:t>
      </w:r>
      <w:proofErr w:type="spellStart"/>
      <w:r>
        <w:rPr>
          <w:rFonts w:ascii="Arial" w:hAnsi="Arial" w:cs="Arial"/>
          <w:sz w:val="24"/>
          <w:szCs w:val="24"/>
        </w:rPr>
        <w:t>Agri</w:t>
      </w:r>
      <w:proofErr w:type="spellEnd"/>
      <w:r>
        <w:rPr>
          <w:rFonts w:ascii="Arial" w:hAnsi="Arial" w:cs="Arial"/>
          <w:sz w:val="24"/>
          <w:szCs w:val="24"/>
        </w:rPr>
        <w:t xml:space="preserve"> respond on the matter.</w:t>
      </w:r>
    </w:p>
    <w:p w14:paraId="6EB94086" w14:textId="24024EE4" w:rsidR="00EA4B9C" w:rsidRDefault="00EA4B9C" w:rsidP="008A46DD">
      <w:pPr>
        <w:spacing w:before="120" w:after="0" w:line="240" w:lineRule="auto"/>
        <w:jc w:val="both"/>
        <w:rPr>
          <w:rFonts w:ascii="Arial" w:hAnsi="Arial" w:cs="Arial"/>
          <w:sz w:val="24"/>
          <w:szCs w:val="24"/>
          <w:lang w:val="mk-MK"/>
        </w:rPr>
      </w:pPr>
      <w:r>
        <w:rPr>
          <w:rFonts w:ascii="Arial" w:hAnsi="Arial" w:cs="Arial"/>
          <w:sz w:val="24"/>
          <w:szCs w:val="24"/>
        </w:rPr>
        <w:t xml:space="preserve">In addition, IPARD Structures are working on setting up the system for LEADER Measure. Regular meetings </w:t>
      </w:r>
      <w:r w:rsidR="006E3AEB">
        <w:rPr>
          <w:rFonts w:ascii="Arial" w:hAnsi="Arial" w:cs="Arial"/>
          <w:sz w:val="24"/>
          <w:szCs w:val="24"/>
        </w:rPr>
        <w:t xml:space="preserve">for streamlining the processes were held </w:t>
      </w:r>
      <w:r>
        <w:rPr>
          <w:rFonts w:ascii="Arial" w:hAnsi="Arial" w:cs="Arial"/>
          <w:sz w:val="24"/>
          <w:szCs w:val="24"/>
        </w:rPr>
        <w:t>among the structures till occurrence of the latest event. The process shall be re-started in the upcoming period.</w:t>
      </w:r>
    </w:p>
    <w:p w14:paraId="78BA0CDD" w14:textId="645C7BA6" w:rsidR="00921BDF" w:rsidRPr="00921BDF" w:rsidRDefault="00921BDF" w:rsidP="008A46DD">
      <w:pPr>
        <w:spacing w:before="120" w:after="0" w:line="240" w:lineRule="auto"/>
        <w:jc w:val="both"/>
        <w:rPr>
          <w:rFonts w:ascii="Arial" w:hAnsi="Arial" w:cs="Arial"/>
          <w:sz w:val="24"/>
          <w:szCs w:val="24"/>
        </w:rPr>
      </w:pPr>
      <w:r>
        <w:rPr>
          <w:rFonts w:ascii="Arial" w:hAnsi="Arial" w:cs="Arial"/>
          <w:sz w:val="24"/>
          <w:szCs w:val="24"/>
        </w:rPr>
        <w:t xml:space="preserve">Initial coordination among IPARD Structures for </w:t>
      </w:r>
      <w:proofErr w:type="spellStart"/>
      <w:r>
        <w:rPr>
          <w:rFonts w:ascii="Arial" w:hAnsi="Arial" w:cs="Arial"/>
          <w:sz w:val="24"/>
          <w:szCs w:val="24"/>
        </w:rPr>
        <w:t>Agri</w:t>
      </w:r>
      <w:proofErr w:type="spellEnd"/>
      <w:r>
        <w:rPr>
          <w:rFonts w:ascii="Arial" w:hAnsi="Arial" w:cs="Arial"/>
          <w:sz w:val="24"/>
          <w:szCs w:val="24"/>
        </w:rPr>
        <w:t>-environment Measure was held as well. More focus on this measure will be put in second half of 2026.</w:t>
      </w:r>
    </w:p>
    <w:p w14:paraId="67124327" w14:textId="77777777" w:rsidR="00321799" w:rsidRPr="00005FD2" w:rsidRDefault="00321799" w:rsidP="008A46DD">
      <w:pPr>
        <w:spacing w:before="120" w:after="120" w:line="240" w:lineRule="auto"/>
        <w:jc w:val="both"/>
        <w:rPr>
          <w:rFonts w:ascii="Arial" w:hAnsi="Arial" w:cs="Arial"/>
          <w:b/>
          <w:sz w:val="24"/>
          <w:szCs w:val="24"/>
        </w:rPr>
      </w:pPr>
      <w:r w:rsidRPr="008A46DD">
        <w:rPr>
          <w:rFonts w:ascii="Arial" w:hAnsi="Arial" w:cs="Arial"/>
          <w:b/>
          <w:sz w:val="28"/>
          <w:szCs w:val="28"/>
        </w:rPr>
        <w:t>4. Administrative capacities of the institutions within IPARD structure</w:t>
      </w:r>
    </w:p>
    <w:p w14:paraId="42A71E49" w14:textId="77777777" w:rsidR="00321799" w:rsidRPr="00005FD2" w:rsidRDefault="00321799" w:rsidP="008A46DD">
      <w:pPr>
        <w:spacing w:after="0" w:line="240" w:lineRule="auto"/>
        <w:jc w:val="both"/>
        <w:rPr>
          <w:rFonts w:ascii="Arial" w:eastAsia="Calibri" w:hAnsi="Arial" w:cs="Arial"/>
          <w:b/>
          <w:sz w:val="24"/>
          <w:szCs w:val="24"/>
          <w:lang w:val="mk-MK"/>
        </w:rPr>
      </w:pPr>
      <w:r w:rsidRPr="00005FD2">
        <w:rPr>
          <w:rFonts w:ascii="Arial" w:eastAsia="Calibri" w:hAnsi="Arial" w:cs="Arial"/>
          <w:b/>
          <w:sz w:val="24"/>
          <w:szCs w:val="24"/>
          <w:lang w:val="mk-MK"/>
        </w:rPr>
        <w:t>Management Structure</w:t>
      </w:r>
    </w:p>
    <w:p w14:paraId="001C12DF" w14:textId="609E1845" w:rsidR="00A262B7" w:rsidRPr="00A262B7" w:rsidRDefault="00A262B7" w:rsidP="008A46DD">
      <w:pPr>
        <w:spacing w:before="120" w:after="0" w:line="240" w:lineRule="auto"/>
        <w:ind w:right="85"/>
        <w:jc w:val="both"/>
        <w:rPr>
          <w:rFonts w:ascii="Arial" w:hAnsi="Arial" w:cs="Arial"/>
          <w:sz w:val="24"/>
          <w:szCs w:val="24"/>
        </w:rPr>
      </w:pPr>
      <w:r w:rsidRPr="00A262B7">
        <w:rPr>
          <w:rFonts w:ascii="Arial" w:hAnsi="Arial" w:cs="Arial"/>
          <w:sz w:val="24"/>
          <w:szCs w:val="24"/>
        </w:rPr>
        <w:t xml:space="preserve">Current number of employees in Management Structure is 17 (seventeen - including NAO) and the occupancy rate according the WLA is 94,4% (17 filled posts out of 18 needed). </w:t>
      </w:r>
      <w:r>
        <w:rPr>
          <w:rFonts w:ascii="Arial" w:hAnsi="Arial" w:cs="Arial"/>
          <w:sz w:val="24"/>
          <w:szCs w:val="24"/>
        </w:rPr>
        <w:t>A</w:t>
      </w:r>
      <w:r w:rsidRPr="00A262B7">
        <w:rPr>
          <w:rFonts w:ascii="Arial" w:hAnsi="Arial" w:cs="Arial"/>
          <w:sz w:val="24"/>
          <w:szCs w:val="24"/>
        </w:rPr>
        <w:t xml:space="preserve">dditional 1 (one) </w:t>
      </w:r>
      <w:r>
        <w:rPr>
          <w:rFonts w:ascii="Arial" w:hAnsi="Arial" w:cs="Arial"/>
          <w:sz w:val="24"/>
          <w:szCs w:val="24"/>
        </w:rPr>
        <w:t xml:space="preserve">employee is needed in </w:t>
      </w:r>
      <w:r w:rsidRPr="00A262B7">
        <w:rPr>
          <w:rFonts w:ascii="Arial" w:hAnsi="Arial" w:cs="Arial"/>
          <w:sz w:val="24"/>
          <w:szCs w:val="24"/>
        </w:rPr>
        <w:t xml:space="preserve">NAO Support Unit </w:t>
      </w:r>
      <w:r>
        <w:rPr>
          <w:rFonts w:ascii="Arial" w:hAnsi="Arial" w:cs="Arial"/>
          <w:sz w:val="24"/>
          <w:szCs w:val="24"/>
        </w:rPr>
        <w:t xml:space="preserve">dealing with IPA </w:t>
      </w:r>
      <w:proofErr w:type="spellStart"/>
      <w:r>
        <w:rPr>
          <w:rFonts w:ascii="Arial" w:hAnsi="Arial" w:cs="Arial"/>
          <w:sz w:val="24"/>
          <w:szCs w:val="24"/>
        </w:rPr>
        <w:t>Programmes</w:t>
      </w:r>
      <w:proofErr w:type="spellEnd"/>
      <w:r w:rsidRPr="00A262B7">
        <w:rPr>
          <w:rFonts w:ascii="Arial" w:hAnsi="Arial" w:cs="Arial"/>
          <w:sz w:val="24"/>
          <w:szCs w:val="24"/>
        </w:rPr>
        <w:t>.</w:t>
      </w:r>
      <w:r>
        <w:rPr>
          <w:rFonts w:ascii="Arial" w:hAnsi="Arial" w:cs="Arial"/>
          <w:sz w:val="24"/>
          <w:szCs w:val="24"/>
        </w:rPr>
        <w:t xml:space="preserve"> </w:t>
      </w:r>
      <w:r w:rsidRPr="00A262B7">
        <w:rPr>
          <w:rFonts w:ascii="Arial" w:hAnsi="Arial" w:cs="Arial"/>
          <w:sz w:val="24"/>
          <w:szCs w:val="24"/>
        </w:rPr>
        <w:t>Accordingly, NAO/MS capacity</w:t>
      </w:r>
      <w:r>
        <w:rPr>
          <w:rFonts w:ascii="Arial" w:hAnsi="Arial" w:cs="Arial"/>
          <w:sz w:val="24"/>
          <w:szCs w:val="24"/>
        </w:rPr>
        <w:t xml:space="preserve">, in light of </w:t>
      </w:r>
      <w:r w:rsidRPr="00A262B7">
        <w:rPr>
          <w:rFonts w:ascii="Arial" w:hAnsi="Arial" w:cs="Arial"/>
          <w:sz w:val="24"/>
          <w:szCs w:val="24"/>
        </w:rPr>
        <w:t>implementation of IPARD III Programme is considered reached.</w:t>
      </w:r>
    </w:p>
    <w:p w14:paraId="16160DB0" w14:textId="77777777" w:rsidR="002159B5" w:rsidRPr="002159B5" w:rsidRDefault="002159B5" w:rsidP="008A46DD">
      <w:pPr>
        <w:spacing w:before="120" w:after="120" w:line="240" w:lineRule="auto"/>
        <w:jc w:val="both"/>
        <w:rPr>
          <w:rFonts w:ascii="Arial" w:eastAsia="Calibri" w:hAnsi="Arial" w:cs="Arial"/>
          <w:b/>
          <w:sz w:val="24"/>
          <w:szCs w:val="24"/>
          <w:lang w:val="mk-MK"/>
        </w:rPr>
      </w:pPr>
      <w:r w:rsidRPr="002159B5">
        <w:rPr>
          <w:rFonts w:ascii="Arial" w:eastAsia="Calibri" w:hAnsi="Arial" w:cs="Arial"/>
          <w:b/>
          <w:sz w:val="24"/>
          <w:szCs w:val="24"/>
          <w:lang w:val="mk-MK"/>
        </w:rPr>
        <w:t>IPARD Managing Authority</w:t>
      </w:r>
    </w:p>
    <w:p w14:paraId="6717DACC" w14:textId="37479D97" w:rsidR="002159B5" w:rsidRPr="002159B5" w:rsidRDefault="002159B5" w:rsidP="008A46DD">
      <w:pPr>
        <w:spacing w:after="0" w:line="240" w:lineRule="auto"/>
        <w:ind w:right="84"/>
        <w:jc w:val="both"/>
        <w:rPr>
          <w:rFonts w:ascii="Arial" w:hAnsi="Arial" w:cs="Arial"/>
          <w:sz w:val="24"/>
          <w:szCs w:val="24"/>
        </w:rPr>
      </w:pPr>
      <w:r w:rsidRPr="002159B5">
        <w:rPr>
          <w:rFonts w:ascii="Arial" w:hAnsi="Arial" w:cs="Arial"/>
          <w:sz w:val="24"/>
          <w:szCs w:val="24"/>
        </w:rPr>
        <w:t xml:space="preserve">Workload Analysis (WLA 2025) of Managing Authority refers to the activities at the </w:t>
      </w:r>
      <w:proofErr w:type="spellStart"/>
      <w:r w:rsidRPr="002159B5">
        <w:rPr>
          <w:rFonts w:ascii="Arial" w:hAnsi="Arial" w:cs="Arial"/>
          <w:sz w:val="24"/>
          <w:szCs w:val="24"/>
        </w:rPr>
        <w:t>programme</w:t>
      </w:r>
      <w:proofErr w:type="spellEnd"/>
      <w:r w:rsidRPr="002159B5">
        <w:rPr>
          <w:rFonts w:ascii="Arial" w:hAnsi="Arial" w:cs="Arial"/>
          <w:sz w:val="24"/>
          <w:szCs w:val="24"/>
        </w:rPr>
        <w:t xml:space="preserve"> level which covers all the measures which are part of IPARD </w:t>
      </w:r>
      <w:proofErr w:type="spellStart"/>
      <w:r w:rsidRPr="002159B5">
        <w:rPr>
          <w:rFonts w:ascii="Arial" w:hAnsi="Arial" w:cs="Arial"/>
          <w:sz w:val="24"/>
          <w:szCs w:val="24"/>
        </w:rPr>
        <w:t>programme</w:t>
      </w:r>
      <w:proofErr w:type="spellEnd"/>
      <w:r w:rsidRPr="002159B5">
        <w:rPr>
          <w:rFonts w:ascii="Arial" w:hAnsi="Arial" w:cs="Arial"/>
          <w:sz w:val="24"/>
          <w:szCs w:val="24"/>
        </w:rPr>
        <w:t xml:space="preserve">. According to Workload Analysis (WLA) the number of employees in MA at the moment is 13 (including </w:t>
      </w:r>
      <w:proofErr w:type="spellStart"/>
      <w:r w:rsidRPr="002159B5">
        <w:rPr>
          <w:rFonts w:ascii="Arial" w:hAnsi="Arial" w:cs="Arial"/>
          <w:sz w:val="24"/>
          <w:szCs w:val="24"/>
        </w:rPr>
        <w:t>HoMA</w:t>
      </w:r>
      <w:proofErr w:type="spellEnd"/>
      <w:r w:rsidRPr="002159B5">
        <w:rPr>
          <w:rFonts w:ascii="Arial" w:hAnsi="Arial" w:cs="Arial"/>
          <w:sz w:val="24"/>
          <w:szCs w:val="24"/>
        </w:rPr>
        <w:t xml:space="preserve">) representing occupancy rate of 93%. </w:t>
      </w:r>
    </w:p>
    <w:p w14:paraId="4FC8F239" w14:textId="77777777" w:rsidR="00321799" w:rsidRPr="00005FD2" w:rsidRDefault="00321799" w:rsidP="008A46DD">
      <w:pPr>
        <w:spacing w:before="120" w:after="120" w:line="240" w:lineRule="auto"/>
        <w:jc w:val="both"/>
        <w:rPr>
          <w:rFonts w:ascii="Arial" w:eastAsia="Calibri" w:hAnsi="Arial" w:cs="Arial"/>
          <w:b/>
          <w:sz w:val="24"/>
          <w:szCs w:val="24"/>
          <w:lang w:val="mk-MK"/>
        </w:rPr>
      </w:pPr>
      <w:r w:rsidRPr="00005FD2">
        <w:rPr>
          <w:rFonts w:ascii="Arial" w:eastAsia="Calibri" w:hAnsi="Arial" w:cs="Arial"/>
          <w:b/>
          <w:sz w:val="24"/>
          <w:szCs w:val="24"/>
          <w:lang w:val="mk-MK"/>
        </w:rPr>
        <w:t>IPARD Agency</w:t>
      </w:r>
    </w:p>
    <w:p w14:paraId="0FDEA2A5" w14:textId="1D78A425" w:rsidR="00392911" w:rsidRPr="00392911" w:rsidRDefault="00392911" w:rsidP="008A46DD">
      <w:pPr>
        <w:spacing w:after="0" w:line="240" w:lineRule="auto"/>
        <w:ind w:right="84"/>
        <w:jc w:val="both"/>
        <w:rPr>
          <w:rFonts w:ascii="Arial" w:hAnsi="Arial" w:cs="Arial"/>
          <w:sz w:val="24"/>
          <w:szCs w:val="24"/>
        </w:rPr>
      </w:pPr>
      <w:r w:rsidRPr="00392911">
        <w:rPr>
          <w:rFonts w:ascii="Arial" w:hAnsi="Arial" w:cs="Arial"/>
          <w:sz w:val="24"/>
          <w:szCs w:val="24"/>
        </w:rPr>
        <w:t xml:space="preserve">According to </w:t>
      </w:r>
      <w:r>
        <w:rPr>
          <w:rFonts w:ascii="Arial" w:hAnsi="Arial" w:cs="Arial"/>
          <w:sz w:val="24"/>
          <w:szCs w:val="24"/>
        </w:rPr>
        <w:t xml:space="preserve">WLA </w:t>
      </w:r>
      <w:r w:rsidRPr="00392911">
        <w:rPr>
          <w:rFonts w:ascii="Arial" w:hAnsi="Arial" w:cs="Arial"/>
          <w:sz w:val="24"/>
          <w:szCs w:val="24"/>
        </w:rPr>
        <w:t xml:space="preserve">for 2025 by the IPARD Agency, the optimal number of employees needed is 160. At the moment, there are 145 </w:t>
      </w:r>
      <w:r>
        <w:rPr>
          <w:rFonts w:ascii="Arial" w:hAnsi="Arial" w:cs="Arial"/>
          <w:sz w:val="24"/>
          <w:szCs w:val="24"/>
        </w:rPr>
        <w:t>employees</w:t>
      </w:r>
      <w:r w:rsidRPr="00392911">
        <w:rPr>
          <w:rFonts w:ascii="Arial" w:hAnsi="Arial" w:cs="Arial"/>
          <w:sz w:val="24"/>
          <w:szCs w:val="24"/>
        </w:rPr>
        <w:t xml:space="preserve"> engaged in IPARD structure of the Agency. Accordingly, IPARD Agency has identified 15 vacant positions which need to be employed in order to </w:t>
      </w:r>
      <w:r w:rsidR="009671B2" w:rsidRPr="00392911">
        <w:rPr>
          <w:rFonts w:ascii="Arial" w:hAnsi="Arial" w:cs="Arial"/>
          <w:sz w:val="24"/>
          <w:szCs w:val="24"/>
        </w:rPr>
        <w:t>reach</w:t>
      </w:r>
      <w:r w:rsidRPr="00392911">
        <w:rPr>
          <w:rFonts w:ascii="Arial" w:hAnsi="Arial" w:cs="Arial"/>
          <w:sz w:val="24"/>
          <w:szCs w:val="24"/>
        </w:rPr>
        <w:t xml:space="preserve"> the optimal number. The plan of IPARD Agency is to fill these positions by mid-2026 (Q2/Q3). </w:t>
      </w:r>
    </w:p>
    <w:p w14:paraId="1D6F092C" w14:textId="4F42119E" w:rsidR="00321799" w:rsidRPr="00005FD2" w:rsidRDefault="00321799" w:rsidP="008A46DD">
      <w:pPr>
        <w:spacing w:before="120" w:after="120" w:line="240" w:lineRule="auto"/>
        <w:jc w:val="both"/>
        <w:rPr>
          <w:rFonts w:ascii="Arial" w:eastAsia="Calibri" w:hAnsi="Arial" w:cs="Arial"/>
          <w:b/>
          <w:sz w:val="24"/>
          <w:szCs w:val="24"/>
          <w:lang w:val="mk-MK"/>
        </w:rPr>
      </w:pPr>
      <w:r w:rsidRPr="00005FD2">
        <w:rPr>
          <w:rFonts w:ascii="Arial" w:eastAsia="Calibri" w:hAnsi="Arial" w:cs="Arial"/>
          <w:b/>
          <w:sz w:val="24"/>
          <w:szCs w:val="24"/>
          <w:lang w:val="mk-MK"/>
        </w:rPr>
        <w:t>IPARD Structure capacities</w:t>
      </w:r>
    </w:p>
    <w:p w14:paraId="47BF969B" w14:textId="327F7FF9" w:rsidR="00321799" w:rsidRDefault="00321799" w:rsidP="008A46DD">
      <w:pPr>
        <w:spacing w:after="0" w:line="240" w:lineRule="auto"/>
        <w:jc w:val="both"/>
        <w:rPr>
          <w:rFonts w:ascii="Arial" w:eastAsia="Calibri" w:hAnsi="Arial" w:cs="Arial"/>
          <w:sz w:val="24"/>
          <w:szCs w:val="24"/>
          <w:lang w:val="mk-MK"/>
        </w:rPr>
      </w:pPr>
      <w:r w:rsidRPr="00005FD2">
        <w:rPr>
          <w:rFonts w:ascii="Arial" w:eastAsia="Calibri" w:hAnsi="Arial" w:cs="Arial"/>
          <w:sz w:val="24"/>
          <w:szCs w:val="24"/>
          <w:lang w:val="mk-MK"/>
        </w:rPr>
        <w:t>In the table below are presented data regarding human capacities in IPARD structure:</w:t>
      </w:r>
    </w:p>
    <w:tbl>
      <w:tblPr>
        <w:tblW w:w="9340" w:type="dxa"/>
        <w:tblLook w:val="04A0" w:firstRow="1" w:lastRow="0" w:firstColumn="1" w:lastColumn="0" w:noHBand="0" w:noVBand="1"/>
      </w:tblPr>
      <w:tblGrid>
        <w:gridCol w:w="1159"/>
        <w:gridCol w:w="1040"/>
        <w:gridCol w:w="1239"/>
        <w:gridCol w:w="1245"/>
        <w:gridCol w:w="1159"/>
        <w:gridCol w:w="1119"/>
        <w:gridCol w:w="1140"/>
        <w:gridCol w:w="1239"/>
      </w:tblGrid>
      <w:tr w:rsidR="00C014E0" w:rsidRPr="00F6275C" w14:paraId="0B44D0D6" w14:textId="77777777" w:rsidTr="00D11ADB">
        <w:trPr>
          <w:trHeight w:val="1365"/>
        </w:trPr>
        <w:tc>
          <w:tcPr>
            <w:tcW w:w="1160" w:type="dxa"/>
            <w:tcBorders>
              <w:top w:val="single" w:sz="8" w:space="0" w:color="auto"/>
              <w:left w:val="single" w:sz="8" w:space="0" w:color="auto"/>
              <w:bottom w:val="single" w:sz="8" w:space="0" w:color="auto"/>
              <w:right w:val="single" w:sz="8" w:space="0" w:color="auto"/>
            </w:tcBorders>
            <w:shd w:val="clear" w:color="BFBFBF" w:fill="BDD7EE"/>
            <w:vAlign w:val="center"/>
            <w:hideMark/>
          </w:tcPr>
          <w:p w14:paraId="671C449B"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Institution</w:t>
            </w:r>
          </w:p>
        </w:tc>
        <w:tc>
          <w:tcPr>
            <w:tcW w:w="1040" w:type="dxa"/>
            <w:tcBorders>
              <w:top w:val="single" w:sz="8" w:space="0" w:color="auto"/>
              <w:left w:val="nil"/>
              <w:bottom w:val="single" w:sz="8" w:space="0" w:color="auto"/>
              <w:right w:val="single" w:sz="8" w:space="0" w:color="auto"/>
            </w:tcBorders>
            <w:shd w:val="clear" w:color="BFBFBF" w:fill="BDD7EE"/>
            <w:vAlign w:val="center"/>
            <w:hideMark/>
          </w:tcPr>
          <w:p w14:paraId="4280DA81"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Number of staff on 01.01.2025</w:t>
            </w:r>
          </w:p>
        </w:tc>
        <w:tc>
          <w:tcPr>
            <w:tcW w:w="1240" w:type="dxa"/>
            <w:tcBorders>
              <w:top w:val="single" w:sz="8" w:space="0" w:color="auto"/>
              <w:left w:val="nil"/>
              <w:bottom w:val="single" w:sz="8" w:space="0" w:color="auto"/>
              <w:right w:val="single" w:sz="8" w:space="0" w:color="auto"/>
            </w:tcBorders>
            <w:shd w:val="clear" w:color="BFBFBF" w:fill="BDD7EE"/>
            <w:vAlign w:val="center"/>
            <w:hideMark/>
          </w:tcPr>
          <w:p w14:paraId="644B6BCA"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Number of staff needed as per WLA 2025</w:t>
            </w:r>
          </w:p>
        </w:tc>
        <w:tc>
          <w:tcPr>
            <w:tcW w:w="1240" w:type="dxa"/>
            <w:tcBorders>
              <w:top w:val="single" w:sz="8" w:space="0" w:color="auto"/>
              <w:left w:val="nil"/>
              <w:bottom w:val="single" w:sz="8" w:space="0" w:color="auto"/>
              <w:right w:val="single" w:sz="8" w:space="0" w:color="auto"/>
            </w:tcBorders>
            <w:shd w:val="clear" w:color="BFBFBF" w:fill="BDD7EE"/>
            <w:vAlign w:val="center"/>
            <w:hideMark/>
          </w:tcPr>
          <w:p w14:paraId="3C7317EC"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Realized new recruitments by 10.10.2025</w:t>
            </w:r>
          </w:p>
        </w:tc>
        <w:tc>
          <w:tcPr>
            <w:tcW w:w="1160" w:type="dxa"/>
            <w:tcBorders>
              <w:top w:val="single" w:sz="8" w:space="0" w:color="auto"/>
              <w:left w:val="nil"/>
              <w:bottom w:val="single" w:sz="8" w:space="0" w:color="auto"/>
              <w:right w:val="single" w:sz="8" w:space="0" w:color="auto"/>
            </w:tcBorders>
            <w:shd w:val="clear" w:color="BFBFBF" w:fill="BDD7EE"/>
            <w:vAlign w:val="center"/>
            <w:hideMark/>
          </w:tcPr>
          <w:p w14:paraId="26699606"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 xml:space="preserve">Left the position </w:t>
            </w:r>
            <w:r>
              <w:rPr>
                <w:rFonts w:ascii="StobiSerif Regular" w:eastAsia="Times New Roman" w:hAnsi="StobiSerif Regular" w:cs="Arial"/>
                <w:b/>
                <w:bCs/>
                <w:color w:val="000000"/>
                <w:sz w:val="16"/>
                <w:szCs w:val="16"/>
              </w:rPr>
              <w:t xml:space="preserve">by </w:t>
            </w:r>
            <w:r w:rsidRPr="00815D84">
              <w:rPr>
                <w:rFonts w:ascii="StobiSerif Regular" w:eastAsia="Times New Roman" w:hAnsi="StobiSerif Regular" w:cs="Arial"/>
                <w:b/>
                <w:bCs/>
                <w:color w:val="000000"/>
                <w:sz w:val="16"/>
                <w:szCs w:val="16"/>
              </w:rPr>
              <w:t>10.10.2025</w:t>
            </w:r>
          </w:p>
        </w:tc>
        <w:tc>
          <w:tcPr>
            <w:tcW w:w="1120" w:type="dxa"/>
            <w:tcBorders>
              <w:top w:val="single" w:sz="8" w:space="0" w:color="auto"/>
              <w:left w:val="nil"/>
              <w:bottom w:val="single" w:sz="8" w:space="0" w:color="auto"/>
              <w:right w:val="single" w:sz="8" w:space="0" w:color="auto"/>
            </w:tcBorders>
            <w:shd w:val="clear" w:color="BFBFBF" w:fill="BDD7EE"/>
            <w:vAlign w:val="center"/>
            <w:hideMark/>
          </w:tcPr>
          <w:p w14:paraId="3BAD1D20"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Number of current staff</w:t>
            </w:r>
          </w:p>
        </w:tc>
        <w:tc>
          <w:tcPr>
            <w:tcW w:w="1140" w:type="dxa"/>
            <w:tcBorders>
              <w:top w:val="single" w:sz="8" w:space="0" w:color="auto"/>
              <w:left w:val="nil"/>
              <w:bottom w:val="single" w:sz="8" w:space="0" w:color="auto"/>
              <w:right w:val="single" w:sz="8" w:space="0" w:color="auto"/>
            </w:tcBorders>
            <w:shd w:val="clear" w:color="BFBFBF" w:fill="BDD7EE"/>
            <w:vAlign w:val="center"/>
            <w:hideMark/>
          </w:tcPr>
          <w:p w14:paraId="7B433042"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Current occupancy rate</w:t>
            </w:r>
          </w:p>
        </w:tc>
        <w:tc>
          <w:tcPr>
            <w:tcW w:w="1240" w:type="dxa"/>
            <w:tcBorders>
              <w:top w:val="single" w:sz="8" w:space="0" w:color="auto"/>
              <w:left w:val="nil"/>
              <w:bottom w:val="single" w:sz="8" w:space="0" w:color="auto"/>
              <w:right w:val="single" w:sz="8" w:space="0" w:color="auto"/>
            </w:tcBorders>
            <w:shd w:val="clear" w:color="BFBFBF" w:fill="BDD7EE"/>
            <w:vAlign w:val="center"/>
            <w:hideMark/>
          </w:tcPr>
          <w:p w14:paraId="5B9F59CC" w14:textId="77777777" w:rsidR="00C014E0" w:rsidRPr="00815D84" w:rsidRDefault="00C014E0" w:rsidP="008A46DD">
            <w:pPr>
              <w:spacing w:after="0" w:line="240" w:lineRule="auto"/>
              <w:jc w:val="center"/>
              <w:rPr>
                <w:rFonts w:ascii="StobiSerif Regular" w:eastAsia="Times New Roman" w:hAnsi="StobiSerif Regular" w:cs="Arial"/>
                <w:b/>
                <w:bCs/>
                <w:color w:val="000000"/>
                <w:sz w:val="16"/>
                <w:szCs w:val="16"/>
              </w:rPr>
            </w:pPr>
            <w:r w:rsidRPr="00815D84">
              <w:rPr>
                <w:rFonts w:ascii="StobiSerif Regular" w:eastAsia="Times New Roman" w:hAnsi="StobiSerif Regular" w:cs="Arial"/>
                <w:b/>
                <w:bCs/>
                <w:color w:val="000000"/>
                <w:sz w:val="16"/>
                <w:szCs w:val="16"/>
              </w:rPr>
              <w:t>Turnover rate</w:t>
            </w:r>
          </w:p>
        </w:tc>
      </w:tr>
      <w:tr w:rsidR="00C014E0" w:rsidRPr="00F6275C" w14:paraId="559ADF6E" w14:textId="77777777" w:rsidTr="00D11ADB">
        <w:trPr>
          <w:trHeight w:val="315"/>
        </w:trPr>
        <w:tc>
          <w:tcPr>
            <w:tcW w:w="1160" w:type="dxa"/>
            <w:tcBorders>
              <w:top w:val="nil"/>
              <w:left w:val="single" w:sz="8" w:space="0" w:color="auto"/>
              <w:bottom w:val="single" w:sz="8" w:space="0" w:color="auto"/>
              <w:right w:val="single" w:sz="8" w:space="0" w:color="auto"/>
            </w:tcBorders>
            <w:vAlign w:val="center"/>
            <w:hideMark/>
          </w:tcPr>
          <w:p w14:paraId="6A0C6088"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NAO/NF</w:t>
            </w:r>
          </w:p>
        </w:tc>
        <w:tc>
          <w:tcPr>
            <w:tcW w:w="1040" w:type="dxa"/>
            <w:tcBorders>
              <w:top w:val="nil"/>
              <w:left w:val="nil"/>
              <w:bottom w:val="single" w:sz="8" w:space="0" w:color="auto"/>
              <w:right w:val="nil"/>
            </w:tcBorders>
            <w:vAlign w:val="center"/>
            <w:hideMark/>
          </w:tcPr>
          <w:p w14:paraId="77E0237C"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14</w:t>
            </w:r>
          </w:p>
        </w:tc>
        <w:tc>
          <w:tcPr>
            <w:tcW w:w="1240" w:type="dxa"/>
            <w:tcBorders>
              <w:top w:val="nil"/>
              <w:left w:val="single" w:sz="8" w:space="0" w:color="auto"/>
              <w:bottom w:val="single" w:sz="8" w:space="0" w:color="auto"/>
              <w:right w:val="nil"/>
            </w:tcBorders>
            <w:vAlign w:val="center"/>
            <w:hideMark/>
          </w:tcPr>
          <w:p w14:paraId="6CBE4355"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18</w:t>
            </w:r>
          </w:p>
        </w:tc>
        <w:tc>
          <w:tcPr>
            <w:tcW w:w="1240" w:type="dxa"/>
            <w:tcBorders>
              <w:top w:val="nil"/>
              <w:left w:val="single" w:sz="8" w:space="0" w:color="auto"/>
              <w:bottom w:val="single" w:sz="8" w:space="0" w:color="auto"/>
              <w:right w:val="nil"/>
            </w:tcBorders>
            <w:vAlign w:val="center"/>
            <w:hideMark/>
          </w:tcPr>
          <w:p w14:paraId="5A29F44F"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3</w:t>
            </w:r>
          </w:p>
        </w:tc>
        <w:tc>
          <w:tcPr>
            <w:tcW w:w="1160" w:type="dxa"/>
            <w:tcBorders>
              <w:top w:val="nil"/>
              <w:left w:val="single" w:sz="8" w:space="0" w:color="auto"/>
              <w:bottom w:val="single" w:sz="8" w:space="0" w:color="auto"/>
              <w:right w:val="nil"/>
            </w:tcBorders>
            <w:vAlign w:val="center"/>
            <w:hideMark/>
          </w:tcPr>
          <w:p w14:paraId="168E7236"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0</w:t>
            </w:r>
          </w:p>
        </w:tc>
        <w:tc>
          <w:tcPr>
            <w:tcW w:w="1120" w:type="dxa"/>
            <w:tcBorders>
              <w:top w:val="nil"/>
              <w:left w:val="single" w:sz="8" w:space="0" w:color="auto"/>
              <w:bottom w:val="single" w:sz="8" w:space="0" w:color="auto"/>
              <w:right w:val="nil"/>
            </w:tcBorders>
            <w:vAlign w:val="center"/>
            <w:hideMark/>
          </w:tcPr>
          <w:p w14:paraId="71C05097"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17</w:t>
            </w:r>
          </w:p>
        </w:tc>
        <w:tc>
          <w:tcPr>
            <w:tcW w:w="1140" w:type="dxa"/>
            <w:tcBorders>
              <w:top w:val="nil"/>
              <w:left w:val="single" w:sz="8" w:space="0" w:color="auto"/>
              <w:bottom w:val="single" w:sz="8" w:space="0" w:color="auto"/>
              <w:right w:val="nil"/>
            </w:tcBorders>
            <w:vAlign w:val="center"/>
            <w:hideMark/>
          </w:tcPr>
          <w:p w14:paraId="79E09BED"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94%</w:t>
            </w:r>
          </w:p>
        </w:tc>
        <w:tc>
          <w:tcPr>
            <w:tcW w:w="1240" w:type="dxa"/>
            <w:tcBorders>
              <w:top w:val="nil"/>
              <w:left w:val="single" w:sz="8" w:space="0" w:color="auto"/>
              <w:bottom w:val="single" w:sz="8" w:space="0" w:color="auto"/>
              <w:right w:val="single" w:sz="8" w:space="0" w:color="auto"/>
            </w:tcBorders>
            <w:vAlign w:val="center"/>
            <w:hideMark/>
          </w:tcPr>
          <w:p w14:paraId="38CAC2AB"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0.00%</w:t>
            </w:r>
          </w:p>
        </w:tc>
      </w:tr>
      <w:tr w:rsidR="00C014E0" w:rsidRPr="00F6275C" w14:paraId="54786945" w14:textId="77777777" w:rsidTr="00D11ADB">
        <w:trPr>
          <w:trHeight w:val="660"/>
        </w:trPr>
        <w:tc>
          <w:tcPr>
            <w:tcW w:w="1160" w:type="dxa"/>
            <w:tcBorders>
              <w:top w:val="nil"/>
              <w:left w:val="single" w:sz="8" w:space="0" w:color="auto"/>
              <w:bottom w:val="single" w:sz="8" w:space="0" w:color="auto"/>
              <w:right w:val="single" w:sz="8" w:space="0" w:color="auto"/>
            </w:tcBorders>
            <w:vAlign w:val="center"/>
            <w:hideMark/>
          </w:tcPr>
          <w:p w14:paraId="317A597A"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IPARD Agency</w:t>
            </w:r>
          </w:p>
        </w:tc>
        <w:tc>
          <w:tcPr>
            <w:tcW w:w="1040" w:type="dxa"/>
            <w:tcBorders>
              <w:top w:val="nil"/>
              <w:left w:val="nil"/>
              <w:bottom w:val="single" w:sz="8" w:space="0" w:color="auto"/>
              <w:right w:val="nil"/>
            </w:tcBorders>
            <w:vAlign w:val="center"/>
            <w:hideMark/>
          </w:tcPr>
          <w:p w14:paraId="3DC760FB"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143</w:t>
            </w:r>
          </w:p>
        </w:tc>
        <w:tc>
          <w:tcPr>
            <w:tcW w:w="1240" w:type="dxa"/>
            <w:tcBorders>
              <w:top w:val="nil"/>
              <w:left w:val="single" w:sz="8" w:space="0" w:color="auto"/>
              <w:bottom w:val="single" w:sz="8" w:space="0" w:color="auto"/>
              <w:right w:val="nil"/>
            </w:tcBorders>
            <w:vAlign w:val="center"/>
            <w:hideMark/>
          </w:tcPr>
          <w:p w14:paraId="24E057D9"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160</w:t>
            </w:r>
          </w:p>
        </w:tc>
        <w:tc>
          <w:tcPr>
            <w:tcW w:w="1240" w:type="dxa"/>
            <w:tcBorders>
              <w:top w:val="nil"/>
              <w:left w:val="single" w:sz="8" w:space="0" w:color="auto"/>
              <w:bottom w:val="single" w:sz="8" w:space="0" w:color="auto"/>
              <w:right w:val="nil"/>
            </w:tcBorders>
            <w:vAlign w:val="center"/>
            <w:hideMark/>
          </w:tcPr>
          <w:p w14:paraId="4D96F16E" w14:textId="77777777" w:rsidR="00C014E0" w:rsidRPr="00124930"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w:t>
            </w:r>
            <w:r>
              <w:rPr>
                <w:rFonts w:ascii="StobiSerif Regular" w:eastAsia="Times New Roman" w:hAnsi="StobiSerif Regular" w:cs="Arial"/>
                <w:color w:val="000000"/>
                <w:sz w:val="18"/>
                <w:szCs w:val="18"/>
              </w:rPr>
              <w:t>1</w:t>
            </w:r>
          </w:p>
        </w:tc>
        <w:tc>
          <w:tcPr>
            <w:tcW w:w="1160" w:type="dxa"/>
            <w:tcBorders>
              <w:top w:val="nil"/>
              <w:left w:val="single" w:sz="8" w:space="0" w:color="auto"/>
              <w:bottom w:val="single" w:sz="8" w:space="0" w:color="auto"/>
              <w:right w:val="nil"/>
            </w:tcBorders>
            <w:vAlign w:val="center"/>
            <w:hideMark/>
          </w:tcPr>
          <w:p w14:paraId="32B8DB62"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9</w:t>
            </w:r>
          </w:p>
        </w:tc>
        <w:tc>
          <w:tcPr>
            <w:tcW w:w="1120" w:type="dxa"/>
            <w:tcBorders>
              <w:top w:val="nil"/>
              <w:left w:val="single" w:sz="8" w:space="0" w:color="auto"/>
              <w:bottom w:val="single" w:sz="8" w:space="0" w:color="auto"/>
              <w:right w:val="nil"/>
            </w:tcBorders>
            <w:vAlign w:val="center"/>
            <w:hideMark/>
          </w:tcPr>
          <w:p w14:paraId="78C510F2" w14:textId="77777777" w:rsidR="00C014E0" w:rsidRPr="00124930"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14</w:t>
            </w:r>
            <w:r>
              <w:rPr>
                <w:rFonts w:ascii="StobiSerif Regular" w:eastAsia="Times New Roman" w:hAnsi="StobiSerif Regular" w:cs="Arial"/>
                <w:color w:val="000000"/>
                <w:sz w:val="18"/>
                <w:szCs w:val="18"/>
              </w:rPr>
              <w:t>5</w:t>
            </w:r>
          </w:p>
        </w:tc>
        <w:tc>
          <w:tcPr>
            <w:tcW w:w="1140" w:type="dxa"/>
            <w:tcBorders>
              <w:top w:val="nil"/>
              <w:left w:val="single" w:sz="8" w:space="0" w:color="auto"/>
              <w:bottom w:val="single" w:sz="8" w:space="0" w:color="auto"/>
              <w:right w:val="nil"/>
            </w:tcBorders>
            <w:vAlign w:val="center"/>
            <w:hideMark/>
          </w:tcPr>
          <w:p w14:paraId="3B2805A8"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9</w:t>
            </w:r>
            <w:r>
              <w:rPr>
                <w:rFonts w:ascii="StobiSerif Regular" w:eastAsia="Times New Roman" w:hAnsi="StobiSerif Regular" w:cs="Arial"/>
                <w:color w:val="000000"/>
                <w:sz w:val="18"/>
                <w:szCs w:val="18"/>
              </w:rPr>
              <w:t>1</w:t>
            </w:r>
            <w:r w:rsidRPr="00815D84">
              <w:rPr>
                <w:rFonts w:ascii="StobiSerif Regular" w:eastAsia="Times New Roman" w:hAnsi="StobiSerif Regular" w:cs="Arial"/>
                <w:color w:val="000000"/>
                <w:sz w:val="18"/>
                <w:szCs w:val="18"/>
              </w:rPr>
              <w:t>%</w:t>
            </w:r>
          </w:p>
        </w:tc>
        <w:tc>
          <w:tcPr>
            <w:tcW w:w="1240" w:type="dxa"/>
            <w:tcBorders>
              <w:top w:val="nil"/>
              <w:left w:val="single" w:sz="8" w:space="0" w:color="auto"/>
              <w:bottom w:val="single" w:sz="8" w:space="0" w:color="auto"/>
              <w:right w:val="single" w:sz="8" w:space="0" w:color="auto"/>
            </w:tcBorders>
            <w:vAlign w:val="center"/>
            <w:hideMark/>
          </w:tcPr>
          <w:p w14:paraId="096DCDAF"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6.29%</w:t>
            </w:r>
          </w:p>
        </w:tc>
      </w:tr>
      <w:tr w:rsidR="00C014E0" w:rsidRPr="00F6275C" w14:paraId="09207C60" w14:textId="77777777" w:rsidTr="00D11ADB">
        <w:trPr>
          <w:trHeight w:val="600"/>
        </w:trPr>
        <w:tc>
          <w:tcPr>
            <w:tcW w:w="1160" w:type="dxa"/>
            <w:tcBorders>
              <w:top w:val="nil"/>
              <w:left w:val="single" w:sz="8" w:space="0" w:color="auto"/>
              <w:bottom w:val="single" w:sz="8" w:space="0" w:color="auto"/>
              <w:right w:val="single" w:sz="8" w:space="0" w:color="auto"/>
            </w:tcBorders>
            <w:vAlign w:val="center"/>
            <w:hideMark/>
          </w:tcPr>
          <w:p w14:paraId="2A6B6CD6"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Managing Authority</w:t>
            </w:r>
          </w:p>
        </w:tc>
        <w:tc>
          <w:tcPr>
            <w:tcW w:w="1040" w:type="dxa"/>
            <w:tcBorders>
              <w:top w:val="nil"/>
              <w:left w:val="nil"/>
              <w:bottom w:val="single" w:sz="8" w:space="0" w:color="auto"/>
              <w:right w:val="nil"/>
            </w:tcBorders>
            <w:vAlign w:val="center"/>
            <w:hideMark/>
          </w:tcPr>
          <w:p w14:paraId="763B0F60"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14</w:t>
            </w:r>
          </w:p>
        </w:tc>
        <w:tc>
          <w:tcPr>
            <w:tcW w:w="1240" w:type="dxa"/>
            <w:tcBorders>
              <w:top w:val="nil"/>
              <w:left w:val="single" w:sz="8" w:space="0" w:color="auto"/>
              <w:bottom w:val="single" w:sz="8" w:space="0" w:color="auto"/>
              <w:right w:val="nil"/>
            </w:tcBorders>
            <w:vAlign w:val="center"/>
            <w:hideMark/>
          </w:tcPr>
          <w:p w14:paraId="52C9DA92"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16</w:t>
            </w:r>
          </w:p>
        </w:tc>
        <w:tc>
          <w:tcPr>
            <w:tcW w:w="1240" w:type="dxa"/>
            <w:tcBorders>
              <w:top w:val="nil"/>
              <w:left w:val="single" w:sz="8" w:space="0" w:color="auto"/>
              <w:bottom w:val="single" w:sz="8" w:space="0" w:color="auto"/>
              <w:right w:val="nil"/>
            </w:tcBorders>
            <w:vAlign w:val="center"/>
            <w:hideMark/>
          </w:tcPr>
          <w:p w14:paraId="24D30741"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0</w:t>
            </w:r>
          </w:p>
        </w:tc>
        <w:tc>
          <w:tcPr>
            <w:tcW w:w="1160" w:type="dxa"/>
            <w:tcBorders>
              <w:top w:val="nil"/>
              <w:left w:val="single" w:sz="8" w:space="0" w:color="auto"/>
              <w:bottom w:val="single" w:sz="8" w:space="0" w:color="auto"/>
              <w:right w:val="nil"/>
            </w:tcBorders>
            <w:vAlign w:val="center"/>
            <w:hideMark/>
          </w:tcPr>
          <w:p w14:paraId="4ECA17E3"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w:t>
            </w:r>
          </w:p>
        </w:tc>
        <w:tc>
          <w:tcPr>
            <w:tcW w:w="1120" w:type="dxa"/>
            <w:tcBorders>
              <w:top w:val="nil"/>
              <w:left w:val="single" w:sz="8" w:space="0" w:color="auto"/>
              <w:bottom w:val="single" w:sz="8" w:space="0" w:color="auto"/>
              <w:right w:val="nil"/>
            </w:tcBorders>
            <w:vAlign w:val="center"/>
            <w:hideMark/>
          </w:tcPr>
          <w:p w14:paraId="3A03400C"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13</w:t>
            </w:r>
          </w:p>
        </w:tc>
        <w:tc>
          <w:tcPr>
            <w:tcW w:w="1140" w:type="dxa"/>
            <w:tcBorders>
              <w:top w:val="nil"/>
              <w:left w:val="single" w:sz="8" w:space="0" w:color="auto"/>
              <w:bottom w:val="single" w:sz="8" w:space="0" w:color="auto"/>
              <w:right w:val="nil"/>
            </w:tcBorders>
            <w:vAlign w:val="center"/>
            <w:hideMark/>
          </w:tcPr>
          <w:p w14:paraId="29BCEB5F"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81%</w:t>
            </w:r>
          </w:p>
        </w:tc>
        <w:tc>
          <w:tcPr>
            <w:tcW w:w="1240" w:type="dxa"/>
            <w:tcBorders>
              <w:top w:val="nil"/>
              <w:left w:val="single" w:sz="8" w:space="0" w:color="auto"/>
              <w:bottom w:val="single" w:sz="8" w:space="0" w:color="auto"/>
              <w:right w:val="single" w:sz="8" w:space="0" w:color="auto"/>
            </w:tcBorders>
            <w:vAlign w:val="center"/>
            <w:hideMark/>
          </w:tcPr>
          <w:p w14:paraId="4F9E5B46"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7.14%</w:t>
            </w:r>
          </w:p>
        </w:tc>
      </w:tr>
      <w:tr w:rsidR="00C014E0" w:rsidRPr="00F6275C" w14:paraId="27A8DC9D" w14:textId="77777777" w:rsidTr="00D11ADB">
        <w:trPr>
          <w:trHeight w:val="315"/>
        </w:trPr>
        <w:tc>
          <w:tcPr>
            <w:tcW w:w="1160" w:type="dxa"/>
            <w:tcBorders>
              <w:top w:val="nil"/>
              <w:left w:val="single" w:sz="8" w:space="0" w:color="auto"/>
              <w:bottom w:val="single" w:sz="8" w:space="0" w:color="auto"/>
              <w:right w:val="single" w:sz="8" w:space="0" w:color="auto"/>
            </w:tcBorders>
            <w:shd w:val="clear" w:color="BFBFBF" w:fill="BDD7EE"/>
            <w:vAlign w:val="center"/>
            <w:hideMark/>
          </w:tcPr>
          <w:p w14:paraId="3E503096"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Total</w:t>
            </w:r>
          </w:p>
        </w:tc>
        <w:tc>
          <w:tcPr>
            <w:tcW w:w="1040" w:type="dxa"/>
            <w:tcBorders>
              <w:top w:val="nil"/>
              <w:left w:val="nil"/>
              <w:bottom w:val="single" w:sz="8" w:space="0" w:color="auto"/>
              <w:right w:val="nil"/>
            </w:tcBorders>
            <w:shd w:val="clear" w:color="C0C0C0" w:fill="BDD7EE"/>
            <w:vAlign w:val="center"/>
            <w:hideMark/>
          </w:tcPr>
          <w:p w14:paraId="2564CFCC"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171</w:t>
            </w:r>
          </w:p>
        </w:tc>
        <w:tc>
          <w:tcPr>
            <w:tcW w:w="1240" w:type="dxa"/>
            <w:tcBorders>
              <w:top w:val="nil"/>
              <w:left w:val="single" w:sz="8" w:space="0" w:color="auto"/>
              <w:bottom w:val="single" w:sz="8" w:space="0" w:color="auto"/>
              <w:right w:val="nil"/>
            </w:tcBorders>
            <w:shd w:val="clear" w:color="C0C0C0" w:fill="BDD7EE"/>
            <w:vAlign w:val="center"/>
            <w:hideMark/>
          </w:tcPr>
          <w:p w14:paraId="27848EC4"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194</w:t>
            </w:r>
          </w:p>
        </w:tc>
        <w:tc>
          <w:tcPr>
            <w:tcW w:w="1240" w:type="dxa"/>
            <w:tcBorders>
              <w:top w:val="nil"/>
              <w:left w:val="single" w:sz="8" w:space="0" w:color="auto"/>
              <w:bottom w:val="single" w:sz="8" w:space="0" w:color="auto"/>
              <w:right w:val="nil"/>
            </w:tcBorders>
            <w:shd w:val="clear" w:color="C0C0C0" w:fill="BDD7EE"/>
            <w:vAlign w:val="center"/>
            <w:hideMark/>
          </w:tcPr>
          <w:p w14:paraId="2365BDE3" w14:textId="77777777" w:rsidR="00C014E0" w:rsidRPr="00124930"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w:t>
            </w:r>
            <w:r>
              <w:rPr>
                <w:rFonts w:ascii="StobiSerif Regular" w:eastAsia="Times New Roman" w:hAnsi="StobiSerif Regular" w:cs="Arial"/>
                <w:color w:val="000000"/>
                <w:sz w:val="18"/>
                <w:szCs w:val="18"/>
              </w:rPr>
              <w:t>4</w:t>
            </w:r>
          </w:p>
        </w:tc>
        <w:tc>
          <w:tcPr>
            <w:tcW w:w="1160" w:type="dxa"/>
            <w:tcBorders>
              <w:top w:val="nil"/>
              <w:left w:val="single" w:sz="8" w:space="0" w:color="auto"/>
              <w:bottom w:val="single" w:sz="8" w:space="0" w:color="auto"/>
              <w:right w:val="nil"/>
            </w:tcBorders>
            <w:shd w:val="clear" w:color="C0C0C0" w:fill="BDD7EE"/>
            <w:vAlign w:val="center"/>
            <w:hideMark/>
          </w:tcPr>
          <w:p w14:paraId="11326849"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10</w:t>
            </w:r>
          </w:p>
        </w:tc>
        <w:tc>
          <w:tcPr>
            <w:tcW w:w="1120" w:type="dxa"/>
            <w:tcBorders>
              <w:top w:val="nil"/>
              <w:left w:val="single" w:sz="8" w:space="0" w:color="auto"/>
              <w:bottom w:val="single" w:sz="8" w:space="0" w:color="auto"/>
              <w:right w:val="nil"/>
            </w:tcBorders>
            <w:shd w:val="clear" w:color="C0C0C0" w:fill="BDD7EE"/>
            <w:vAlign w:val="center"/>
            <w:hideMark/>
          </w:tcPr>
          <w:p w14:paraId="55D7828C" w14:textId="77777777" w:rsidR="00C014E0" w:rsidRPr="00124930"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17</w:t>
            </w:r>
            <w:r>
              <w:rPr>
                <w:rFonts w:ascii="StobiSerif Regular" w:eastAsia="Times New Roman" w:hAnsi="StobiSerif Regular" w:cs="Arial"/>
                <w:color w:val="000000"/>
                <w:sz w:val="18"/>
                <w:szCs w:val="18"/>
              </w:rPr>
              <w:t>5</w:t>
            </w:r>
          </w:p>
        </w:tc>
        <w:tc>
          <w:tcPr>
            <w:tcW w:w="1140" w:type="dxa"/>
            <w:tcBorders>
              <w:top w:val="nil"/>
              <w:left w:val="single" w:sz="8" w:space="0" w:color="auto"/>
              <w:bottom w:val="single" w:sz="8" w:space="0" w:color="auto"/>
              <w:right w:val="single" w:sz="8" w:space="0" w:color="auto"/>
            </w:tcBorders>
            <w:shd w:val="clear" w:color="C0C0C0" w:fill="BDD7EE"/>
            <w:vAlign w:val="center"/>
            <w:hideMark/>
          </w:tcPr>
          <w:p w14:paraId="47B82062"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90%</w:t>
            </w:r>
          </w:p>
        </w:tc>
        <w:tc>
          <w:tcPr>
            <w:tcW w:w="1240" w:type="dxa"/>
            <w:tcBorders>
              <w:top w:val="nil"/>
              <w:left w:val="nil"/>
              <w:bottom w:val="single" w:sz="8" w:space="0" w:color="auto"/>
              <w:right w:val="single" w:sz="8" w:space="0" w:color="auto"/>
            </w:tcBorders>
            <w:shd w:val="clear" w:color="C0C0C0" w:fill="BDD7EE"/>
            <w:vAlign w:val="center"/>
            <w:hideMark/>
          </w:tcPr>
          <w:p w14:paraId="7DBF1C2D" w14:textId="77777777" w:rsidR="00C014E0" w:rsidRPr="00815D84" w:rsidRDefault="00C014E0" w:rsidP="008A46DD">
            <w:pPr>
              <w:spacing w:after="0" w:line="240" w:lineRule="auto"/>
              <w:jc w:val="center"/>
              <w:rPr>
                <w:rFonts w:ascii="StobiSerif Regular" w:eastAsia="Times New Roman" w:hAnsi="StobiSerif Regular" w:cs="Arial"/>
                <w:color w:val="000000"/>
                <w:sz w:val="18"/>
                <w:szCs w:val="18"/>
              </w:rPr>
            </w:pPr>
            <w:r w:rsidRPr="00815D84">
              <w:rPr>
                <w:rFonts w:ascii="StobiSerif Regular" w:eastAsia="Times New Roman" w:hAnsi="StobiSerif Regular" w:cs="Arial"/>
                <w:color w:val="000000"/>
                <w:sz w:val="18"/>
                <w:szCs w:val="18"/>
              </w:rPr>
              <w:t>5.85%</w:t>
            </w:r>
          </w:p>
        </w:tc>
      </w:tr>
    </w:tbl>
    <w:p w14:paraId="25570484" w14:textId="30A7495F" w:rsidR="00321799" w:rsidRPr="00005FD2" w:rsidRDefault="00321799" w:rsidP="008A46DD">
      <w:pPr>
        <w:shd w:val="clear" w:color="auto" w:fill="FFFFFF" w:themeFill="background1"/>
        <w:spacing w:before="120" w:after="0" w:line="240" w:lineRule="auto"/>
        <w:jc w:val="both"/>
        <w:rPr>
          <w:rFonts w:ascii="Arial" w:eastAsia="Calibri" w:hAnsi="Arial" w:cs="Arial"/>
          <w:sz w:val="24"/>
          <w:szCs w:val="24"/>
          <w:lang w:val="mk-MK"/>
        </w:rPr>
      </w:pPr>
      <w:r w:rsidRPr="00005FD2">
        <w:rPr>
          <w:rFonts w:ascii="Arial" w:hAnsi="Arial" w:cs="Arial"/>
          <w:color w:val="000000"/>
          <w:sz w:val="24"/>
          <w:szCs w:val="24"/>
        </w:rPr>
        <w:t xml:space="preserve">With the WLA’s for 2025 the number of staffs needed in the IPARD Structure is increased to 194, occupancy rate is </w:t>
      </w:r>
      <w:r w:rsidR="00C014E0">
        <w:rPr>
          <w:rFonts w:ascii="Arial" w:hAnsi="Arial" w:cs="Arial"/>
          <w:color w:val="000000"/>
          <w:sz w:val="24"/>
          <w:szCs w:val="24"/>
        </w:rPr>
        <w:t>90</w:t>
      </w:r>
      <w:r w:rsidRPr="00005FD2">
        <w:rPr>
          <w:rFonts w:ascii="Arial" w:eastAsia="Calibri" w:hAnsi="Arial" w:cs="Arial"/>
          <w:sz w:val="24"/>
          <w:szCs w:val="24"/>
          <w:lang w:val="mk-MK"/>
        </w:rPr>
        <w:t xml:space="preserve">%. </w:t>
      </w:r>
      <w:r w:rsidRPr="00EA2825">
        <w:rPr>
          <w:rFonts w:ascii="Arial" w:hAnsi="Arial" w:cs="Arial"/>
          <w:color w:val="000000"/>
          <w:sz w:val="24"/>
          <w:szCs w:val="24"/>
        </w:rPr>
        <w:t xml:space="preserve">The staff turnover on the level of the Programme is </w:t>
      </w:r>
      <w:r w:rsidR="00C014E0">
        <w:rPr>
          <w:rFonts w:ascii="Arial" w:hAnsi="Arial" w:cs="Arial"/>
          <w:color w:val="000000"/>
          <w:sz w:val="24"/>
          <w:szCs w:val="24"/>
        </w:rPr>
        <w:t>5</w:t>
      </w:r>
      <w:r w:rsidRPr="00EA2825">
        <w:rPr>
          <w:rFonts w:ascii="Arial" w:hAnsi="Arial" w:cs="Arial"/>
          <w:color w:val="000000"/>
          <w:sz w:val="24"/>
          <w:szCs w:val="24"/>
        </w:rPr>
        <w:t>.</w:t>
      </w:r>
      <w:r w:rsidR="00C014E0">
        <w:rPr>
          <w:rFonts w:ascii="Arial" w:hAnsi="Arial" w:cs="Arial"/>
          <w:color w:val="000000"/>
          <w:sz w:val="24"/>
          <w:szCs w:val="24"/>
        </w:rPr>
        <w:t>85</w:t>
      </w:r>
      <w:r w:rsidRPr="00EA2825">
        <w:rPr>
          <w:rFonts w:ascii="Arial" w:hAnsi="Arial" w:cs="Arial"/>
          <w:color w:val="000000"/>
          <w:sz w:val="24"/>
          <w:szCs w:val="24"/>
        </w:rPr>
        <w:t xml:space="preserve">%.  </w:t>
      </w:r>
    </w:p>
    <w:p w14:paraId="5448B9F9" w14:textId="77777777" w:rsidR="00321799" w:rsidRPr="00005FD2" w:rsidRDefault="00321799" w:rsidP="008A46DD">
      <w:pPr>
        <w:spacing w:before="120" w:after="120" w:line="240" w:lineRule="auto"/>
        <w:jc w:val="both"/>
        <w:rPr>
          <w:rFonts w:ascii="Arial" w:eastAsia="Calibri" w:hAnsi="Arial" w:cs="Arial"/>
          <w:b/>
          <w:sz w:val="24"/>
          <w:szCs w:val="24"/>
          <w:lang w:val="mk-MK"/>
        </w:rPr>
      </w:pPr>
      <w:r w:rsidRPr="00005FD2">
        <w:rPr>
          <w:rFonts w:ascii="Arial" w:eastAsia="Calibri" w:hAnsi="Arial" w:cs="Arial"/>
          <w:b/>
          <w:sz w:val="24"/>
          <w:szCs w:val="24"/>
          <w:lang w:val="mk-MK"/>
        </w:rPr>
        <w:t>Staff retention and motivation policy</w:t>
      </w:r>
    </w:p>
    <w:p w14:paraId="05137AA6" w14:textId="77777777" w:rsidR="00321799" w:rsidRDefault="00321799" w:rsidP="008A46DD">
      <w:pPr>
        <w:spacing w:before="120" w:after="0" w:line="240" w:lineRule="auto"/>
        <w:jc w:val="both"/>
        <w:rPr>
          <w:rFonts w:ascii="Arial" w:hAnsi="Arial" w:cs="Arial"/>
          <w:color w:val="000000"/>
          <w:sz w:val="24"/>
          <w:szCs w:val="24"/>
        </w:rPr>
      </w:pPr>
      <w:r w:rsidRPr="00005FD2">
        <w:rPr>
          <w:rFonts w:ascii="Arial" w:hAnsi="Arial" w:cs="Arial"/>
          <w:color w:val="000000"/>
          <w:sz w:val="24"/>
          <w:szCs w:val="24"/>
        </w:rPr>
        <w:t>Regarding the staff retention in IPA St</w:t>
      </w:r>
      <w:r>
        <w:rPr>
          <w:rFonts w:ascii="Arial" w:hAnsi="Arial" w:cs="Arial"/>
          <w:color w:val="000000"/>
          <w:sz w:val="24"/>
          <w:szCs w:val="24"/>
        </w:rPr>
        <w:t>r</w:t>
      </w:r>
      <w:r w:rsidRPr="00005FD2">
        <w:rPr>
          <w:rFonts w:ascii="Arial" w:hAnsi="Arial" w:cs="Arial"/>
          <w:color w:val="000000"/>
          <w:sz w:val="24"/>
          <w:szCs w:val="24"/>
        </w:rPr>
        <w:t>ucture with the Law on Execution of the Budget for 202</w:t>
      </w:r>
      <w:r>
        <w:rPr>
          <w:rFonts w:ascii="Arial" w:hAnsi="Arial" w:cs="Arial"/>
          <w:color w:val="000000"/>
          <w:sz w:val="24"/>
          <w:szCs w:val="24"/>
        </w:rPr>
        <w:t>5</w:t>
      </w:r>
      <w:r w:rsidRPr="00005FD2">
        <w:rPr>
          <w:rFonts w:ascii="Arial" w:hAnsi="Arial" w:cs="Arial"/>
          <w:color w:val="000000"/>
          <w:sz w:val="24"/>
          <w:szCs w:val="24"/>
        </w:rPr>
        <w:t xml:space="preserve"> short term solution for motivation and retention of staff in IPA structures is implemented. The solution provides 15% flat rate top up on the salary of the staff in the IPA structures till the end of 202</w:t>
      </w:r>
      <w:r>
        <w:rPr>
          <w:rFonts w:ascii="Arial" w:hAnsi="Arial" w:cs="Arial"/>
          <w:color w:val="000000"/>
          <w:sz w:val="24"/>
          <w:szCs w:val="24"/>
        </w:rPr>
        <w:t>5</w:t>
      </w:r>
      <w:r w:rsidRPr="00005FD2">
        <w:rPr>
          <w:rFonts w:ascii="Arial" w:hAnsi="Arial" w:cs="Arial"/>
          <w:color w:val="000000"/>
          <w:sz w:val="24"/>
          <w:szCs w:val="24"/>
        </w:rPr>
        <w:t>. With this solution is intended to overcome the gap till adoption of long</w:t>
      </w:r>
      <w:r>
        <w:rPr>
          <w:rFonts w:ascii="Arial" w:hAnsi="Arial" w:cs="Arial"/>
          <w:color w:val="000000"/>
          <w:sz w:val="24"/>
          <w:szCs w:val="24"/>
        </w:rPr>
        <w:t>-</w:t>
      </w:r>
      <w:r w:rsidRPr="00005FD2">
        <w:rPr>
          <w:rFonts w:ascii="Arial" w:hAnsi="Arial" w:cs="Arial"/>
          <w:color w:val="000000"/>
          <w:sz w:val="24"/>
          <w:szCs w:val="24"/>
        </w:rPr>
        <w:t xml:space="preserve"> term systematic solution. </w:t>
      </w:r>
    </w:p>
    <w:p w14:paraId="5A05F75E" w14:textId="579EB9F1" w:rsidR="00C014E0" w:rsidRPr="00C014E0" w:rsidRDefault="00C014E0" w:rsidP="008A46DD">
      <w:pPr>
        <w:spacing w:before="120" w:after="0" w:line="240" w:lineRule="auto"/>
        <w:jc w:val="both"/>
        <w:rPr>
          <w:rFonts w:ascii="Arial" w:hAnsi="Arial" w:cs="Arial"/>
          <w:color w:val="000000"/>
          <w:sz w:val="24"/>
          <w:szCs w:val="24"/>
        </w:rPr>
      </w:pPr>
      <w:r w:rsidRPr="00C014E0">
        <w:rPr>
          <w:rFonts w:ascii="Arial" w:hAnsi="Arial" w:cs="Arial"/>
          <w:color w:val="000000"/>
          <w:sz w:val="24"/>
          <w:szCs w:val="24"/>
        </w:rPr>
        <w:t xml:space="preserve">The new Law on Administrative Servants that has been adopted on 17.07.2025 (Official Gazette 144/2025) provides the possibility of top-up supplement of 15-30% to the basic net salary of all employees in the IPA structure, based on pre-defined criteria (this criterion will be implemented </w:t>
      </w:r>
      <w:r>
        <w:rPr>
          <w:rFonts w:ascii="Arial" w:hAnsi="Arial" w:cs="Arial"/>
          <w:color w:val="000000"/>
          <w:sz w:val="24"/>
          <w:szCs w:val="24"/>
        </w:rPr>
        <w:t>as of</w:t>
      </w:r>
      <w:r w:rsidRPr="00C014E0">
        <w:rPr>
          <w:rFonts w:ascii="Arial" w:hAnsi="Arial" w:cs="Arial"/>
          <w:color w:val="000000"/>
          <w:sz w:val="24"/>
          <w:szCs w:val="24"/>
        </w:rPr>
        <w:t xml:space="preserve"> 01.01.2026). Draft Decree, as by-law deriving as request (condition) from the abovementioned Law, regulating detailed criteria for top up distribution, is drafted and is in intra-institutional coordination. </w:t>
      </w:r>
    </w:p>
    <w:p w14:paraId="31EFAA3D" w14:textId="77777777" w:rsidR="00C014E0" w:rsidRPr="00C014E0" w:rsidRDefault="00C014E0" w:rsidP="008A46DD">
      <w:pPr>
        <w:spacing w:before="120" w:after="0" w:line="240" w:lineRule="auto"/>
        <w:jc w:val="both"/>
        <w:rPr>
          <w:rFonts w:ascii="Arial" w:hAnsi="Arial" w:cs="Arial"/>
          <w:color w:val="000000"/>
          <w:sz w:val="24"/>
          <w:szCs w:val="24"/>
        </w:rPr>
      </w:pPr>
      <w:r w:rsidRPr="00C014E0">
        <w:rPr>
          <w:rFonts w:ascii="Arial" w:hAnsi="Arial" w:cs="Arial"/>
          <w:color w:val="000000"/>
          <w:sz w:val="24"/>
          <w:szCs w:val="24"/>
        </w:rPr>
        <w:t>In parallel, technical assistance through SUPRAE Project was secured, where the expert is working on overall sustainable retention policy according to EC requirements. We expect by the end of 2025 to have more detailed information on these topics.</w:t>
      </w:r>
    </w:p>
    <w:p w14:paraId="70E728F0" w14:textId="4BF36A5A" w:rsidR="00005FD2" w:rsidRPr="008A46DD" w:rsidRDefault="0061486A" w:rsidP="008A46DD">
      <w:pPr>
        <w:spacing w:before="120" w:after="120" w:line="240" w:lineRule="auto"/>
        <w:jc w:val="both"/>
        <w:rPr>
          <w:rFonts w:ascii="Arial" w:hAnsi="Arial" w:cs="Arial"/>
          <w:b/>
          <w:sz w:val="28"/>
          <w:szCs w:val="28"/>
        </w:rPr>
      </w:pPr>
      <w:r w:rsidRPr="008A46DD">
        <w:rPr>
          <w:rFonts w:ascii="Arial" w:hAnsi="Arial" w:cs="Arial"/>
          <w:b/>
          <w:sz w:val="28"/>
          <w:szCs w:val="28"/>
        </w:rPr>
        <w:t xml:space="preserve">5. </w:t>
      </w:r>
      <w:r w:rsidR="00005FD2" w:rsidRPr="008A46DD">
        <w:rPr>
          <w:rFonts w:ascii="Arial" w:hAnsi="Arial" w:cs="Arial"/>
          <w:b/>
          <w:sz w:val="28"/>
          <w:szCs w:val="28"/>
        </w:rPr>
        <w:t>Financial management</w:t>
      </w:r>
    </w:p>
    <w:p w14:paraId="6334B813" w14:textId="7337B98A" w:rsidR="00005FD2" w:rsidRPr="00005FD2" w:rsidRDefault="00005FD2" w:rsidP="008A46DD">
      <w:pPr>
        <w:spacing w:before="120" w:after="0" w:line="240" w:lineRule="auto"/>
        <w:jc w:val="both"/>
        <w:rPr>
          <w:rFonts w:ascii="Arial" w:hAnsi="Arial" w:cs="Arial"/>
          <w:color w:val="000000"/>
          <w:sz w:val="24"/>
          <w:szCs w:val="24"/>
        </w:rPr>
      </w:pPr>
      <w:r w:rsidRPr="00005FD2">
        <w:rPr>
          <w:rFonts w:ascii="Arial" w:hAnsi="Arial" w:cs="Arial"/>
          <w:color w:val="000000"/>
          <w:sz w:val="24"/>
          <w:szCs w:val="24"/>
        </w:rPr>
        <w:t>Pursuant to Article 33(3) of the Financial Framework Partnership Agreement for IPA III and Annex 7 of the Sectoral Agreement, NAO sent to the Commission a Forecast of its Likely Payment Request for 202</w:t>
      </w:r>
      <w:r w:rsidR="000A3DDC">
        <w:rPr>
          <w:rFonts w:ascii="Arial" w:hAnsi="Arial" w:cs="Arial"/>
          <w:color w:val="000000"/>
          <w:sz w:val="24"/>
          <w:szCs w:val="24"/>
        </w:rPr>
        <w:t>5</w:t>
      </w:r>
      <w:r w:rsidRPr="00005FD2">
        <w:rPr>
          <w:rFonts w:ascii="Arial" w:hAnsi="Arial" w:cs="Arial"/>
          <w:color w:val="000000"/>
          <w:sz w:val="24"/>
          <w:szCs w:val="24"/>
        </w:rPr>
        <w:t>-202</w:t>
      </w:r>
      <w:r w:rsidR="000A3DDC">
        <w:rPr>
          <w:rFonts w:ascii="Arial" w:hAnsi="Arial" w:cs="Arial"/>
          <w:color w:val="000000"/>
          <w:sz w:val="24"/>
          <w:szCs w:val="24"/>
        </w:rPr>
        <w:t>6</w:t>
      </w:r>
      <w:r w:rsidRPr="00005FD2">
        <w:rPr>
          <w:rFonts w:ascii="Arial" w:hAnsi="Arial" w:cs="Arial"/>
          <w:color w:val="000000"/>
          <w:sz w:val="24"/>
          <w:szCs w:val="24"/>
        </w:rPr>
        <w:t xml:space="preserve"> for the IPARD III </w:t>
      </w:r>
      <w:proofErr w:type="spellStart"/>
      <w:r w:rsidRPr="00005FD2">
        <w:rPr>
          <w:rFonts w:ascii="Arial" w:hAnsi="Arial" w:cs="Arial"/>
          <w:color w:val="000000"/>
          <w:sz w:val="24"/>
          <w:szCs w:val="24"/>
        </w:rPr>
        <w:t>programme</w:t>
      </w:r>
      <w:proofErr w:type="spellEnd"/>
      <w:r w:rsidR="002C4F46" w:rsidRPr="002C4F46">
        <w:rPr>
          <w:rFonts w:ascii="Arial" w:hAnsi="Arial" w:cs="Arial"/>
          <w:color w:val="000000"/>
          <w:sz w:val="24"/>
          <w:szCs w:val="24"/>
        </w:rPr>
        <w:t xml:space="preserve"> </w:t>
      </w:r>
      <w:r w:rsidR="002C4F46">
        <w:rPr>
          <w:rFonts w:ascii="Arial" w:hAnsi="Arial" w:cs="Arial"/>
          <w:color w:val="000000"/>
          <w:sz w:val="24"/>
          <w:szCs w:val="24"/>
        </w:rPr>
        <w:t>on 15</w:t>
      </w:r>
      <w:r w:rsidR="002C4F46" w:rsidRPr="005F4F59">
        <w:rPr>
          <w:rFonts w:ascii="Arial" w:hAnsi="Arial" w:cs="Arial"/>
          <w:color w:val="000000"/>
          <w:sz w:val="24"/>
          <w:szCs w:val="24"/>
        </w:rPr>
        <w:t>th</w:t>
      </w:r>
      <w:r w:rsidR="002C4F46">
        <w:rPr>
          <w:rFonts w:ascii="Arial" w:hAnsi="Arial" w:cs="Arial"/>
          <w:color w:val="000000"/>
          <w:sz w:val="24"/>
          <w:szCs w:val="24"/>
        </w:rPr>
        <w:t xml:space="preserve"> January 2025 and</w:t>
      </w:r>
      <w:r w:rsidRPr="00005FD2">
        <w:rPr>
          <w:rFonts w:ascii="Arial" w:hAnsi="Arial" w:cs="Arial"/>
          <w:color w:val="000000"/>
          <w:sz w:val="24"/>
          <w:szCs w:val="24"/>
        </w:rPr>
        <w:t xml:space="preserve"> on 1</w:t>
      </w:r>
      <w:r w:rsidR="005B1062">
        <w:rPr>
          <w:rFonts w:ascii="Arial" w:hAnsi="Arial" w:cs="Arial"/>
          <w:color w:val="000000"/>
          <w:sz w:val="24"/>
          <w:szCs w:val="24"/>
        </w:rPr>
        <w:t>1</w:t>
      </w:r>
      <w:r w:rsidRPr="005F4F59">
        <w:rPr>
          <w:rFonts w:ascii="Arial" w:hAnsi="Arial" w:cs="Arial"/>
          <w:color w:val="000000"/>
          <w:sz w:val="24"/>
          <w:szCs w:val="24"/>
        </w:rPr>
        <w:t>th</w:t>
      </w:r>
      <w:r w:rsidRPr="00005FD2">
        <w:rPr>
          <w:rFonts w:ascii="Arial" w:hAnsi="Arial" w:cs="Arial"/>
          <w:color w:val="000000"/>
          <w:sz w:val="24"/>
          <w:szCs w:val="24"/>
        </w:rPr>
        <w:t xml:space="preserve"> J</w:t>
      </w:r>
      <w:r w:rsidR="002F0BA9">
        <w:rPr>
          <w:rFonts w:ascii="Arial" w:hAnsi="Arial" w:cs="Arial"/>
          <w:color w:val="000000"/>
          <w:sz w:val="24"/>
          <w:szCs w:val="24"/>
        </w:rPr>
        <w:t>uly</w:t>
      </w:r>
      <w:r w:rsidRPr="00005FD2">
        <w:rPr>
          <w:rFonts w:ascii="Arial" w:hAnsi="Arial" w:cs="Arial"/>
          <w:color w:val="000000"/>
          <w:sz w:val="24"/>
          <w:szCs w:val="24"/>
        </w:rPr>
        <w:t xml:space="preserve"> </w:t>
      </w:r>
      <w:r w:rsidR="000A3DDC">
        <w:rPr>
          <w:rFonts w:ascii="Arial" w:hAnsi="Arial" w:cs="Arial"/>
          <w:color w:val="000000"/>
          <w:sz w:val="24"/>
          <w:szCs w:val="24"/>
        </w:rPr>
        <w:t>2025</w:t>
      </w:r>
      <w:r w:rsidRPr="00005FD2">
        <w:rPr>
          <w:rFonts w:ascii="Arial" w:hAnsi="Arial" w:cs="Arial"/>
          <w:color w:val="000000"/>
          <w:sz w:val="24"/>
          <w:szCs w:val="24"/>
        </w:rPr>
        <w:t>.</w:t>
      </w:r>
    </w:p>
    <w:p w14:paraId="60793F2C" w14:textId="2B30D44B" w:rsidR="00005FD2" w:rsidRDefault="00005FD2" w:rsidP="008A46DD">
      <w:pPr>
        <w:spacing w:before="120" w:after="0" w:line="240" w:lineRule="auto"/>
        <w:jc w:val="both"/>
        <w:rPr>
          <w:rFonts w:ascii="Arial" w:hAnsi="Arial" w:cs="Arial"/>
          <w:sz w:val="24"/>
          <w:szCs w:val="24"/>
          <w:lang w:eastAsia="mk-MK"/>
        </w:rPr>
      </w:pPr>
      <w:r w:rsidRPr="00005FD2">
        <w:rPr>
          <w:rFonts w:ascii="Arial" w:hAnsi="Arial" w:cs="Arial"/>
          <w:color w:val="000000"/>
          <w:sz w:val="24"/>
          <w:szCs w:val="24"/>
        </w:rPr>
        <w:t xml:space="preserve">In the tables below are presented the executed payments – </w:t>
      </w:r>
      <w:r w:rsidR="00E43BA8">
        <w:rPr>
          <w:rFonts w:ascii="Arial" w:hAnsi="Arial" w:cs="Arial"/>
          <w:color w:val="000000"/>
          <w:sz w:val="24"/>
          <w:szCs w:val="24"/>
        </w:rPr>
        <w:t>Community</w:t>
      </w:r>
      <w:r w:rsidRPr="00005FD2">
        <w:rPr>
          <w:rFonts w:ascii="Arial" w:hAnsi="Arial" w:cs="Arial"/>
          <w:color w:val="000000"/>
          <w:sz w:val="24"/>
          <w:szCs w:val="24"/>
        </w:rPr>
        <w:t xml:space="preserve"> contribution</w:t>
      </w:r>
      <w:r w:rsidR="00E43BA8">
        <w:rPr>
          <w:rFonts w:ascii="Arial" w:hAnsi="Arial" w:cs="Arial"/>
          <w:color w:val="000000"/>
          <w:sz w:val="24"/>
          <w:szCs w:val="24"/>
        </w:rPr>
        <w:t xml:space="preserve"> (</w:t>
      </w:r>
      <w:r w:rsidR="00E43BA8" w:rsidRPr="00005FD2">
        <w:rPr>
          <w:rFonts w:ascii="Arial" w:hAnsi="Arial" w:cs="Arial"/>
          <w:color w:val="000000"/>
          <w:sz w:val="24"/>
          <w:szCs w:val="24"/>
        </w:rPr>
        <w:t>IPA</w:t>
      </w:r>
      <w:r w:rsidR="00E43BA8">
        <w:rPr>
          <w:rFonts w:ascii="Arial" w:hAnsi="Arial" w:cs="Arial"/>
          <w:color w:val="000000"/>
          <w:sz w:val="24"/>
          <w:szCs w:val="24"/>
        </w:rPr>
        <w:t>)</w:t>
      </w:r>
      <w:r w:rsidRPr="00005FD2">
        <w:rPr>
          <w:rFonts w:ascii="Arial" w:hAnsi="Arial" w:cs="Arial"/>
          <w:color w:val="000000"/>
          <w:sz w:val="24"/>
          <w:szCs w:val="24"/>
        </w:rPr>
        <w:t xml:space="preserve"> </w:t>
      </w:r>
      <w:r w:rsidR="005D61DB">
        <w:rPr>
          <w:rFonts w:ascii="Arial" w:hAnsi="Arial" w:cs="Arial"/>
          <w:color w:val="000000"/>
          <w:sz w:val="24"/>
          <w:szCs w:val="24"/>
        </w:rPr>
        <w:t xml:space="preserve">for the overall status of the Programme and for 2025 solely, </w:t>
      </w:r>
      <w:r w:rsidR="005D61DB" w:rsidRPr="00F53697">
        <w:rPr>
          <w:rFonts w:ascii="Arial" w:hAnsi="Arial" w:cs="Arial"/>
          <w:b/>
          <w:bCs/>
          <w:color w:val="000000"/>
          <w:sz w:val="24"/>
          <w:szCs w:val="24"/>
          <w:u w:val="single"/>
        </w:rPr>
        <w:t xml:space="preserve">with cut off </w:t>
      </w:r>
      <w:r w:rsidR="002F0BA9" w:rsidRPr="00F53697">
        <w:rPr>
          <w:rFonts w:ascii="Arial" w:hAnsi="Arial" w:cs="Arial"/>
          <w:b/>
          <w:bCs/>
          <w:color w:val="000000"/>
          <w:sz w:val="24"/>
          <w:szCs w:val="24"/>
          <w:u w:val="single"/>
        </w:rPr>
        <w:t>07</w:t>
      </w:r>
      <w:r w:rsidR="005D61DB" w:rsidRPr="00F53697">
        <w:rPr>
          <w:rFonts w:ascii="Arial" w:hAnsi="Arial" w:cs="Arial"/>
          <w:b/>
          <w:bCs/>
          <w:color w:val="000000"/>
          <w:sz w:val="24"/>
          <w:szCs w:val="24"/>
          <w:u w:val="single"/>
        </w:rPr>
        <w:t xml:space="preserve"> </w:t>
      </w:r>
      <w:r w:rsidR="00CC7846" w:rsidRPr="00F53697">
        <w:rPr>
          <w:rFonts w:ascii="Arial" w:hAnsi="Arial" w:cs="Arial"/>
          <w:b/>
          <w:bCs/>
          <w:color w:val="000000"/>
          <w:sz w:val="24"/>
          <w:szCs w:val="24"/>
          <w:u w:val="single"/>
        </w:rPr>
        <w:t>November</w:t>
      </w:r>
      <w:r w:rsidR="005D61DB" w:rsidRPr="00F53697">
        <w:rPr>
          <w:rFonts w:ascii="Arial" w:hAnsi="Arial" w:cs="Arial"/>
          <w:b/>
          <w:bCs/>
          <w:color w:val="000000"/>
          <w:sz w:val="24"/>
          <w:szCs w:val="24"/>
          <w:u w:val="single"/>
        </w:rPr>
        <w:t xml:space="preserve"> 2025</w:t>
      </w:r>
      <w:r w:rsidRPr="00005FD2">
        <w:rPr>
          <w:rFonts w:ascii="Arial" w:hAnsi="Arial" w:cs="Arial"/>
          <w:sz w:val="24"/>
          <w:szCs w:val="24"/>
          <w:lang w:eastAsia="mk-MK"/>
        </w:rPr>
        <w:t>:</w:t>
      </w:r>
    </w:p>
    <w:p w14:paraId="18C0686E" w14:textId="30BCA1F4" w:rsidR="00005FD2" w:rsidRPr="00005FD2" w:rsidRDefault="00B52D5E" w:rsidP="008A46DD">
      <w:pPr>
        <w:spacing w:before="120" w:after="120" w:line="240" w:lineRule="auto"/>
        <w:jc w:val="both"/>
        <w:rPr>
          <w:rFonts w:ascii="Arial" w:hAnsi="Arial" w:cs="Arial"/>
          <w:lang w:eastAsia="mk-MK"/>
        </w:rPr>
      </w:pPr>
      <w:r>
        <w:rPr>
          <w:rFonts w:ascii="Arial" w:hAnsi="Arial" w:cs="Arial"/>
          <w:b/>
          <w:bCs/>
          <w:lang w:eastAsia="mk-MK"/>
        </w:rPr>
        <w:t xml:space="preserve">Table 1: </w:t>
      </w:r>
      <w:r w:rsidRPr="00005FD2">
        <w:rPr>
          <w:rFonts w:ascii="Arial" w:hAnsi="Arial" w:cs="Arial"/>
          <w:b/>
          <w:bCs/>
          <w:lang w:eastAsia="mk-MK"/>
        </w:rPr>
        <w:t>Overall status of Programme for the period 2021-2027</w:t>
      </w: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565"/>
        <w:gridCol w:w="1547"/>
        <w:gridCol w:w="1634"/>
        <w:gridCol w:w="1329"/>
      </w:tblGrid>
      <w:tr w:rsidR="00005FD2" w:rsidRPr="00005FD2" w14:paraId="18A75AF2" w14:textId="77777777" w:rsidTr="00B52D5E">
        <w:trPr>
          <w:trHeight w:val="70"/>
        </w:trPr>
        <w:tc>
          <w:tcPr>
            <w:tcW w:w="1631" w:type="pct"/>
            <w:shd w:val="clear" w:color="auto" w:fill="D0CECE"/>
          </w:tcPr>
          <w:p w14:paraId="55247BBC" w14:textId="77777777" w:rsidR="00005FD2" w:rsidRPr="00005FD2" w:rsidRDefault="00005FD2" w:rsidP="008A46DD">
            <w:pPr>
              <w:spacing w:after="0" w:line="240" w:lineRule="auto"/>
              <w:rPr>
                <w:rFonts w:ascii="Arial" w:hAnsi="Arial" w:cs="Arial"/>
                <w:b/>
              </w:rPr>
            </w:pPr>
          </w:p>
        </w:tc>
        <w:tc>
          <w:tcPr>
            <w:tcW w:w="868" w:type="pct"/>
            <w:shd w:val="clear" w:color="auto" w:fill="D0CECE"/>
            <w:vAlign w:val="center"/>
          </w:tcPr>
          <w:p w14:paraId="73ABCF0F" w14:textId="4A8D2283" w:rsidR="001779BC" w:rsidRPr="00005FD2" w:rsidRDefault="001779BC" w:rsidP="008A46DD">
            <w:pPr>
              <w:spacing w:after="0" w:line="240" w:lineRule="auto"/>
              <w:jc w:val="center"/>
              <w:rPr>
                <w:rFonts w:ascii="Arial" w:hAnsi="Arial" w:cs="Arial"/>
                <w:b/>
                <w:bCs/>
                <w:lang w:eastAsia="mk-MK"/>
              </w:rPr>
            </w:pPr>
            <w:r w:rsidRPr="00005FD2">
              <w:rPr>
                <w:rFonts w:ascii="Arial" w:hAnsi="Arial" w:cs="Arial"/>
                <w:b/>
                <w:bCs/>
                <w:lang w:eastAsia="mk-MK"/>
              </w:rPr>
              <w:t>Community Contribution</w:t>
            </w:r>
            <w:r>
              <w:rPr>
                <w:rFonts w:ascii="Arial" w:hAnsi="Arial" w:cs="Arial"/>
                <w:b/>
                <w:bCs/>
                <w:lang w:eastAsia="mk-MK"/>
              </w:rPr>
              <w:t xml:space="preserve"> (IPA)</w:t>
            </w:r>
          </w:p>
        </w:tc>
        <w:tc>
          <w:tcPr>
            <w:tcW w:w="858" w:type="pct"/>
            <w:shd w:val="clear" w:color="auto" w:fill="D0CECE"/>
            <w:vAlign w:val="center"/>
          </w:tcPr>
          <w:p w14:paraId="213364A4" w14:textId="6A343C15" w:rsidR="00005FD2" w:rsidRPr="00005FD2" w:rsidRDefault="001779BC" w:rsidP="008A46DD">
            <w:pPr>
              <w:spacing w:after="0" w:line="240" w:lineRule="auto"/>
              <w:jc w:val="center"/>
              <w:rPr>
                <w:rFonts w:ascii="Arial" w:hAnsi="Arial" w:cs="Arial"/>
                <w:b/>
                <w:bCs/>
                <w:lang w:eastAsia="mk-MK"/>
              </w:rPr>
            </w:pPr>
            <w:r>
              <w:rPr>
                <w:rFonts w:ascii="Arial" w:hAnsi="Arial" w:cs="Arial"/>
                <w:b/>
                <w:bCs/>
                <w:lang w:eastAsia="mk-MK"/>
              </w:rPr>
              <w:t>National Co-financing (</w:t>
            </w:r>
            <w:r w:rsidR="00005FD2" w:rsidRPr="00005FD2">
              <w:rPr>
                <w:rFonts w:ascii="Arial" w:hAnsi="Arial" w:cs="Arial"/>
                <w:b/>
                <w:bCs/>
                <w:lang w:eastAsia="mk-MK"/>
              </w:rPr>
              <w:t>NCF</w:t>
            </w:r>
            <w:r>
              <w:rPr>
                <w:rFonts w:ascii="Arial" w:hAnsi="Arial" w:cs="Arial"/>
                <w:b/>
                <w:bCs/>
                <w:lang w:eastAsia="mk-MK"/>
              </w:rPr>
              <w:t>)</w:t>
            </w:r>
          </w:p>
        </w:tc>
        <w:tc>
          <w:tcPr>
            <w:tcW w:w="906" w:type="pct"/>
            <w:shd w:val="clear" w:color="auto" w:fill="D0CECE"/>
            <w:vAlign w:val="center"/>
          </w:tcPr>
          <w:p w14:paraId="4BA8BA86" w14:textId="77777777" w:rsidR="00005FD2" w:rsidRPr="00005FD2" w:rsidRDefault="00005FD2" w:rsidP="008A46DD">
            <w:pPr>
              <w:spacing w:after="0" w:line="240" w:lineRule="auto"/>
              <w:jc w:val="center"/>
              <w:rPr>
                <w:rFonts w:ascii="Arial" w:hAnsi="Arial" w:cs="Arial"/>
                <w:b/>
                <w:bCs/>
                <w:lang w:eastAsia="mk-MK"/>
              </w:rPr>
            </w:pPr>
            <w:r w:rsidRPr="00005FD2">
              <w:rPr>
                <w:rFonts w:ascii="Arial" w:hAnsi="Arial" w:cs="Arial"/>
                <w:b/>
                <w:bCs/>
                <w:lang w:eastAsia="mk-MK"/>
              </w:rPr>
              <w:t>TOTAL</w:t>
            </w:r>
          </w:p>
        </w:tc>
        <w:tc>
          <w:tcPr>
            <w:tcW w:w="737" w:type="pct"/>
            <w:shd w:val="clear" w:color="auto" w:fill="D0CECE"/>
          </w:tcPr>
          <w:p w14:paraId="23088371" w14:textId="4AC77AED" w:rsidR="00005FD2" w:rsidRPr="00005FD2" w:rsidRDefault="00B52D5E" w:rsidP="008A46DD">
            <w:pPr>
              <w:spacing w:after="0" w:line="240" w:lineRule="auto"/>
              <w:rPr>
                <w:rFonts w:ascii="Arial" w:hAnsi="Arial" w:cs="Arial"/>
              </w:rPr>
            </w:pPr>
            <w:r w:rsidRPr="00005FD2">
              <w:rPr>
                <w:rFonts w:ascii="Arial" w:hAnsi="Arial" w:cs="Arial"/>
                <w:b/>
                <w:bCs/>
                <w:lang w:eastAsia="mk-MK"/>
              </w:rPr>
              <w:t xml:space="preserve">% </w:t>
            </w:r>
            <w:r>
              <w:rPr>
                <w:rFonts w:ascii="Arial" w:hAnsi="Arial" w:cs="Arial"/>
                <w:b/>
                <w:bCs/>
                <w:lang w:eastAsia="mk-MK"/>
              </w:rPr>
              <w:t xml:space="preserve">of </w:t>
            </w:r>
            <w:proofErr w:type="spellStart"/>
            <w:r>
              <w:rPr>
                <w:rFonts w:ascii="Arial" w:hAnsi="Arial" w:cs="Arial"/>
                <w:b/>
                <w:bCs/>
                <w:lang w:eastAsia="mk-MK"/>
              </w:rPr>
              <w:t>realisation</w:t>
            </w:r>
            <w:proofErr w:type="spellEnd"/>
          </w:p>
        </w:tc>
      </w:tr>
      <w:tr w:rsidR="00005FD2" w:rsidRPr="00005FD2" w14:paraId="5831FB30" w14:textId="77777777" w:rsidTr="00B931BA">
        <w:trPr>
          <w:trHeight w:val="189"/>
        </w:trPr>
        <w:tc>
          <w:tcPr>
            <w:tcW w:w="1631" w:type="pct"/>
            <w:vAlign w:val="bottom"/>
          </w:tcPr>
          <w:p w14:paraId="6758C809" w14:textId="77777777" w:rsidR="00005FD2" w:rsidRPr="00005FD2" w:rsidRDefault="00005FD2" w:rsidP="008A46DD">
            <w:pPr>
              <w:spacing w:after="0" w:line="240" w:lineRule="auto"/>
              <w:jc w:val="center"/>
              <w:rPr>
                <w:rFonts w:ascii="Arial" w:hAnsi="Arial" w:cs="Arial"/>
                <w:b/>
                <w:bCs/>
                <w:lang w:eastAsia="mk-MK"/>
              </w:rPr>
            </w:pPr>
            <w:r w:rsidRPr="00005FD2">
              <w:rPr>
                <w:rFonts w:ascii="Arial" w:hAnsi="Arial" w:cs="Arial"/>
                <w:b/>
                <w:bCs/>
                <w:lang w:eastAsia="mk-MK"/>
              </w:rPr>
              <w:t>Available budget 2021-2027</w:t>
            </w:r>
          </w:p>
        </w:tc>
        <w:tc>
          <w:tcPr>
            <w:tcW w:w="868" w:type="pct"/>
            <w:vAlign w:val="bottom"/>
          </w:tcPr>
          <w:p w14:paraId="53FEDE1B" w14:textId="77777777" w:rsidR="00005FD2" w:rsidRPr="00005FD2" w:rsidRDefault="00005FD2" w:rsidP="008A46DD">
            <w:pPr>
              <w:spacing w:after="0" w:line="240" w:lineRule="auto"/>
              <w:jc w:val="center"/>
              <w:rPr>
                <w:rFonts w:ascii="Arial" w:hAnsi="Arial" w:cs="Arial"/>
              </w:rPr>
            </w:pPr>
            <w:r w:rsidRPr="00005FD2">
              <w:rPr>
                <w:rFonts w:ascii="Arial" w:hAnsi="Arial" w:cs="Arial"/>
              </w:rPr>
              <w:t>97,000,000</w:t>
            </w:r>
          </w:p>
        </w:tc>
        <w:tc>
          <w:tcPr>
            <w:tcW w:w="858" w:type="pct"/>
            <w:vAlign w:val="bottom"/>
          </w:tcPr>
          <w:p w14:paraId="739B8DAB" w14:textId="77777777" w:rsidR="00005FD2" w:rsidRPr="00005FD2" w:rsidRDefault="00005FD2" w:rsidP="008A46DD">
            <w:pPr>
              <w:spacing w:after="0" w:line="240" w:lineRule="auto"/>
              <w:jc w:val="center"/>
              <w:rPr>
                <w:rFonts w:ascii="Arial" w:hAnsi="Arial" w:cs="Arial"/>
              </w:rPr>
            </w:pPr>
            <w:r w:rsidRPr="00005FD2">
              <w:rPr>
                <w:rFonts w:ascii="Arial" w:hAnsi="Arial" w:cs="Arial"/>
              </w:rPr>
              <w:t>31,073,333</w:t>
            </w:r>
          </w:p>
        </w:tc>
        <w:tc>
          <w:tcPr>
            <w:tcW w:w="906" w:type="pct"/>
            <w:vAlign w:val="bottom"/>
          </w:tcPr>
          <w:p w14:paraId="3196CD7C" w14:textId="77777777" w:rsidR="00005FD2" w:rsidRPr="00005FD2" w:rsidRDefault="00005FD2" w:rsidP="008A46DD">
            <w:pPr>
              <w:spacing w:after="0" w:line="240" w:lineRule="auto"/>
              <w:jc w:val="center"/>
              <w:rPr>
                <w:rFonts w:ascii="Arial" w:hAnsi="Arial" w:cs="Arial"/>
              </w:rPr>
            </w:pPr>
            <w:r w:rsidRPr="00005FD2">
              <w:rPr>
                <w:rFonts w:ascii="Arial" w:hAnsi="Arial" w:cs="Arial"/>
              </w:rPr>
              <w:t>128,073,333</w:t>
            </w:r>
          </w:p>
        </w:tc>
        <w:tc>
          <w:tcPr>
            <w:tcW w:w="737" w:type="pct"/>
            <w:vAlign w:val="bottom"/>
          </w:tcPr>
          <w:p w14:paraId="0155EB56" w14:textId="77777777" w:rsidR="00005FD2" w:rsidRPr="00005FD2" w:rsidRDefault="00005FD2" w:rsidP="008A46DD">
            <w:pPr>
              <w:spacing w:after="0" w:line="240" w:lineRule="auto"/>
              <w:jc w:val="center"/>
              <w:rPr>
                <w:rFonts w:ascii="Arial" w:hAnsi="Arial" w:cs="Arial"/>
              </w:rPr>
            </w:pPr>
          </w:p>
        </w:tc>
      </w:tr>
      <w:tr w:rsidR="00005FD2" w:rsidRPr="00005FD2" w14:paraId="37FD09F2" w14:textId="77777777" w:rsidTr="00B931BA">
        <w:trPr>
          <w:trHeight w:val="194"/>
        </w:trPr>
        <w:tc>
          <w:tcPr>
            <w:tcW w:w="1631" w:type="pct"/>
            <w:vAlign w:val="bottom"/>
          </w:tcPr>
          <w:p w14:paraId="107E3C14" w14:textId="77777777" w:rsidR="00005FD2" w:rsidRPr="00005FD2" w:rsidRDefault="00005FD2" w:rsidP="008A46DD">
            <w:pPr>
              <w:spacing w:after="0" w:line="240" w:lineRule="auto"/>
              <w:jc w:val="center"/>
              <w:rPr>
                <w:rFonts w:ascii="Arial" w:hAnsi="Arial" w:cs="Arial"/>
                <w:b/>
                <w:bCs/>
                <w:lang w:eastAsia="mk-MK"/>
              </w:rPr>
            </w:pPr>
            <w:r w:rsidRPr="00005FD2">
              <w:rPr>
                <w:rFonts w:ascii="Arial" w:hAnsi="Arial" w:cs="Arial"/>
                <w:b/>
                <w:bCs/>
                <w:lang w:eastAsia="mk-MK"/>
              </w:rPr>
              <w:t>Disbursed</w:t>
            </w:r>
          </w:p>
        </w:tc>
        <w:tc>
          <w:tcPr>
            <w:tcW w:w="868" w:type="pct"/>
            <w:vAlign w:val="bottom"/>
          </w:tcPr>
          <w:p w14:paraId="55D38FD3" w14:textId="4C89F8E8" w:rsidR="00005FD2" w:rsidRPr="00005FD2" w:rsidRDefault="00CC7846" w:rsidP="008A46DD">
            <w:pPr>
              <w:spacing w:after="0" w:line="240" w:lineRule="auto"/>
              <w:ind w:left="180" w:hanging="180"/>
              <w:jc w:val="center"/>
              <w:rPr>
                <w:rFonts w:ascii="Arial" w:hAnsi="Arial" w:cs="Arial"/>
              </w:rPr>
            </w:pPr>
            <w:r w:rsidRPr="00CC7846">
              <w:rPr>
                <w:rFonts w:ascii="Arial" w:hAnsi="Arial" w:cs="Arial"/>
              </w:rPr>
              <w:t>8,266,412.89</w:t>
            </w:r>
          </w:p>
        </w:tc>
        <w:tc>
          <w:tcPr>
            <w:tcW w:w="858" w:type="pct"/>
            <w:vAlign w:val="bottom"/>
          </w:tcPr>
          <w:p w14:paraId="30417336" w14:textId="641EC82D" w:rsidR="00005FD2" w:rsidRPr="00005FD2" w:rsidRDefault="00CC7846" w:rsidP="008A46DD">
            <w:pPr>
              <w:spacing w:after="0" w:line="240" w:lineRule="auto"/>
              <w:jc w:val="center"/>
              <w:rPr>
                <w:rFonts w:ascii="Arial" w:hAnsi="Arial" w:cs="Arial"/>
              </w:rPr>
            </w:pPr>
            <w:r w:rsidRPr="00CC7846">
              <w:rPr>
                <w:rFonts w:ascii="Arial" w:hAnsi="Arial" w:cs="Arial"/>
              </w:rPr>
              <w:t>2,754,499.88</w:t>
            </w:r>
          </w:p>
        </w:tc>
        <w:tc>
          <w:tcPr>
            <w:tcW w:w="906" w:type="pct"/>
            <w:vAlign w:val="bottom"/>
          </w:tcPr>
          <w:p w14:paraId="59EDA520" w14:textId="0BF255C5" w:rsidR="00005FD2" w:rsidRPr="00005FD2" w:rsidRDefault="00CC7846" w:rsidP="008A46DD">
            <w:pPr>
              <w:spacing w:after="0" w:line="240" w:lineRule="auto"/>
              <w:jc w:val="center"/>
              <w:rPr>
                <w:rFonts w:ascii="Arial" w:hAnsi="Arial" w:cs="Arial"/>
              </w:rPr>
            </w:pPr>
            <w:r w:rsidRPr="00CC7846">
              <w:rPr>
                <w:rFonts w:ascii="Arial" w:hAnsi="Arial" w:cs="Arial"/>
              </w:rPr>
              <w:t>11,020,912.77</w:t>
            </w:r>
          </w:p>
        </w:tc>
        <w:tc>
          <w:tcPr>
            <w:tcW w:w="737" w:type="pct"/>
            <w:vAlign w:val="bottom"/>
          </w:tcPr>
          <w:p w14:paraId="0CE4938C" w14:textId="76A710BF" w:rsidR="00005FD2" w:rsidRPr="00005FD2" w:rsidRDefault="00CC7846" w:rsidP="008A46DD">
            <w:pPr>
              <w:spacing w:after="0" w:line="240" w:lineRule="auto"/>
              <w:jc w:val="center"/>
              <w:rPr>
                <w:rFonts w:ascii="Arial" w:hAnsi="Arial" w:cs="Arial"/>
              </w:rPr>
            </w:pPr>
            <w:r>
              <w:rPr>
                <w:rFonts w:ascii="Arial" w:hAnsi="Arial" w:cs="Arial"/>
              </w:rPr>
              <w:t>8</w:t>
            </w:r>
            <w:r w:rsidR="004E58FE">
              <w:rPr>
                <w:rFonts w:ascii="Arial" w:hAnsi="Arial" w:cs="Arial"/>
              </w:rPr>
              <w:t>%</w:t>
            </w:r>
          </w:p>
        </w:tc>
      </w:tr>
    </w:tbl>
    <w:p w14:paraId="56BF55C2" w14:textId="72367815" w:rsidR="00B52D5E" w:rsidRPr="00005FD2" w:rsidRDefault="00B52D5E" w:rsidP="008A46DD">
      <w:pPr>
        <w:spacing w:before="120" w:after="0" w:line="240" w:lineRule="auto"/>
        <w:jc w:val="both"/>
        <w:rPr>
          <w:rFonts w:ascii="Arial" w:hAnsi="Arial" w:cs="Arial"/>
          <w:lang w:eastAsia="mk-MK"/>
        </w:rPr>
      </w:pPr>
      <w:r>
        <w:rPr>
          <w:rFonts w:ascii="Arial" w:hAnsi="Arial" w:cs="Arial"/>
          <w:b/>
          <w:bCs/>
          <w:lang w:eastAsia="mk-MK"/>
        </w:rPr>
        <w:t>Table 2:</w:t>
      </w:r>
      <w:r w:rsidRPr="00B52D5E">
        <w:rPr>
          <w:rFonts w:ascii="Arial" w:hAnsi="Arial" w:cs="Arial"/>
          <w:b/>
          <w:bCs/>
          <w:lang w:eastAsia="mk-MK"/>
        </w:rPr>
        <w:t xml:space="preserve"> </w:t>
      </w:r>
      <w:r w:rsidRPr="00005FD2">
        <w:rPr>
          <w:rFonts w:ascii="Arial" w:hAnsi="Arial" w:cs="Arial"/>
          <w:b/>
          <w:bCs/>
          <w:lang w:eastAsia="mk-MK"/>
        </w:rPr>
        <w:t>Executed payments in 202</w:t>
      </w:r>
      <w:r>
        <w:rPr>
          <w:rFonts w:ascii="Arial" w:hAnsi="Arial" w:cs="Arial"/>
          <w:b/>
          <w:bCs/>
          <w:lang w:eastAsia="mk-MK"/>
        </w:rPr>
        <w:t>5</w:t>
      </w:r>
    </w:p>
    <w:tbl>
      <w:tblPr>
        <w:tblpPr w:leftFromText="180" w:rightFromText="180" w:vertAnchor="text" w:horzAnchor="margin" w:tblpXSpec="center"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5"/>
      </w:tblGrid>
      <w:tr w:rsidR="00005FD2" w:rsidRPr="00005FD2" w14:paraId="1FC87F4A" w14:textId="77777777" w:rsidTr="008A46DD">
        <w:trPr>
          <w:trHeight w:val="274"/>
        </w:trPr>
        <w:tc>
          <w:tcPr>
            <w:tcW w:w="1692" w:type="pct"/>
            <w:shd w:val="clear" w:color="auto" w:fill="D0CECE"/>
          </w:tcPr>
          <w:p w14:paraId="43A5EC04" w14:textId="77777777" w:rsidR="00005FD2" w:rsidRPr="00005FD2" w:rsidRDefault="00005FD2" w:rsidP="008A46DD">
            <w:pPr>
              <w:spacing w:after="0" w:line="240" w:lineRule="auto"/>
              <w:ind w:left="-687" w:firstLine="687"/>
              <w:jc w:val="center"/>
              <w:rPr>
                <w:rFonts w:ascii="Arial" w:hAnsi="Arial" w:cs="Arial"/>
                <w:b/>
                <w:bCs/>
                <w:lang w:eastAsia="mk-MK"/>
              </w:rPr>
            </w:pPr>
            <w:r w:rsidRPr="00005FD2">
              <w:rPr>
                <w:rFonts w:ascii="Arial" w:hAnsi="Arial" w:cs="Arial"/>
                <w:b/>
                <w:bCs/>
                <w:lang w:eastAsia="mk-MK"/>
              </w:rPr>
              <w:t>Measure</w:t>
            </w:r>
          </w:p>
        </w:tc>
        <w:tc>
          <w:tcPr>
            <w:tcW w:w="3308" w:type="pct"/>
            <w:shd w:val="clear" w:color="auto" w:fill="D0CECE"/>
          </w:tcPr>
          <w:p w14:paraId="4F5C3776" w14:textId="7ACCA00E" w:rsidR="00005FD2" w:rsidRPr="00005FD2" w:rsidRDefault="00E0114D" w:rsidP="008A46DD">
            <w:pPr>
              <w:spacing w:after="0" w:line="240" w:lineRule="auto"/>
              <w:jc w:val="center"/>
              <w:rPr>
                <w:rFonts w:ascii="Arial" w:hAnsi="Arial" w:cs="Arial"/>
              </w:rPr>
            </w:pPr>
            <w:r w:rsidRPr="00005FD2">
              <w:rPr>
                <w:rFonts w:ascii="Arial" w:hAnsi="Arial" w:cs="Arial"/>
                <w:b/>
                <w:bCs/>
                <w:lang w:eastAsia="mk-MK"/>
              </w:rPr>
              <w:t xml:space="preserve">Community Contribution </w:t>
            </w:r>
            <w:r w:rsidR="00005FD2" w:rsidRPr="00005FD2">
              <w:rPr>
                <w:rFonts w:ascii="Arial" w:hAnsi="Arial" w:cs="Arial"/>
                <w:b/>
                <w:bCs/>
                <w:lang w:eastAsia="mk-MK"/>
              </w:rPr>
              <w:t xml:space="preserve">in </w:t>
            </w:r>
            <w:r w:rsidR="00B52D5E" w:rsidRPr="00005FD2">
              <w:rPr>
                <w:rFonts w:ascii="Arial" w:hAnsi="Arial" w:cs="Arial"/>
                <w:b/>
                <w:bCs/>
                <w:lang w:eastAsia="mk-MK"/>
              </w:rPr>
              <w:t>€</w:t>
            </w:r>
          </w:p>
        </w:tc>
      </w:tr>
      <w:tr w:rsidR="00005FD2" w:rsidRPr="00005FD2" w14:paraId="6395BA2C" w14:textId="77777777" w:rsidTr="008A46DD">
        <w:trPr>
          <w:trHeight w:val="274"/>
        </w:trPr>
        <w:tc>
          <w:tcPr>
            <w:tcW w:w="1692" w:type="pct"/>
          </w:tcPr>
          <w:p w14:paraId="69C7F00E" w14:textId="77777777" w:rsidR="00005FD2" w:rsidRPr="00005FD2" w:rsidRDefault="00005FD2" w:rsidP="008A46DD">
            <w:pPr>
              <w:spacing w:after="0" w:line="240" w:lineRule="auto"/>
              <w:jc w:val="center"/>
              <w:rPr>
                <w:rFonts w:ascii="Arial" w:hAnsi="Arial" w:cs="Arial"/>
                <w:bCs/>
                <w:lang w:eastAsia="mk-MK"/>
              </w:rPr>
            </w:pPr>
            <w:r w:rsidRPr="00005FD2">
              <w:rPr>
                <w:rFonts w:ascii="Arial" w:hAnsi="Arial" w:cs="Arial"/>
                <w:bCs/>
                <w:lang w:eastAsia="mk-MK"/>
              </w:rPr>
              <w:t>Measure 1</w:t>
            </w:r>
          </w:p>
        </w:tc>
        <w:tc>
          <w:tcPr>
            <w:tcW w:w="3308" w:type="pct"/>
          </w:tcPr>
          <w:p w14:paraId="36512F70" w14:textId="642D5FE5" w:rsidR="00005FD2" w:rsidRPr="00005FD2" w:rsidRDefault="005B1062" w:rsidP="008A46DD">
            <w:pPr>
              <w:spacing w:after="0" w:line="240" w:lineRule="auto"/>
              <w:jc w:val="right"/>
              <w:rPr>
                <w:rFonts w:ascii="Arial" w:hAnsi="Arial" w:cs="Arial"/>
                <w:bCs/>
                <w:lang w:eastAsia="mk-MK"/>
              </w:rPr>
            </w:pPr>
            <w:r w:rsidRPr="005B1062">
              <w:rPr>
                <w:rFonts w:ascii="Arial" w:hAnsi="Arial" w:cs="Arial"/>
                <w:bCs/>
                <w:lang w:eastAsia="mk-MK"/>
              </w:rPr>
              <w:t>5,410,260.18</w:t>
            </w:r>
          </w:p>
        </w:tc>
      </w:tr>
      <w:tr w:rsidR="00005FD2" w:rsidRPr="00005FD2" w14:paraId="7CABABCF" w14:textId="77777777" w:rsidTr="008A46DD">
        <w:trPr>
          <w:trHeight w:val="278"/>
        </w:trPr>
        <w:tc>
          <w:tcPr>
            <w:tcW w:w="1692" w:type="pct"/>
          </w:tcPr>
          <w:p w14:paraId="021405B3" w14:textId="77777777" w:rsidR="00005FD2" w:rsidRPr="00005FD2" w:rsidRDefault="00005FD2" w:rsidP="008A46DD">
            <w:pPr>
              <w:spacing w:after="0" w:line="240" w:lineRule="auto"/>
              <w:jc w:val="center"/>
              <w:rPr>
                <w:rFonts w:ascii="Arial" w:hAnsi="Arial" w:cs="Arial"/>
                <w:bCs/>
                <w:lang w:eastAsia="mk-MK"/>
              </w:rPr>
            </w:pPr>
            <w:r w:rsidRPr="00005FD2">
              <w:rPr>
                <w:rFonts w:ascii="Arial" w:hAnsi="Arial" w:cs="Arial"/>
                <w:bCs/>
                <w:lang w:eastAsia="mk-MK"/>
              </w:rPr>
              <w:t>Measure 3</w:t>
            </w:r>
          </w:p>
        </w:tc>
        <w:tc>
          <w:tcPr>
            <w:tcW w:w="3308" w:type="pct"/>
          </w:tcPr>
          <w:p w14:paraId="552B6417" w14:textId="76F9A6FF" w:rsidR="00005FD2" w:rsidRPr="00005FD2" w:rsidRDefault="005B1062" w:rsidP="008A46DD">
            <w:pPr>
              <w:spacing w:after="0" w:line="240" w:lineRule="auto"/>
              <w:jc w:val="right"/>
              <w:rPr>
                <w:rFonts w:ascii="Arial" w:hAnsi="Arial" w:cs="Arial"/>
                <w:bCs/>
                <w:lang w:eastAsia="mk-MK"/>
              </w:rPr>
            </w:pPr>
            <w:r w:rsidRPr="005B1062">
              <w:rPr>
                <w:rFonts w:ascii="Arial" w:hAnsi="Arial" w:cs="Arial"/>
                <w:bCs/>
                <w:lang w:eastAsia="mk-MK"/>
              </w:rPr>
              <w:t>750,311.36</w:t>
            </w:r>
          </w:p>
        </w:tc>
      </w:tr>
      <w:tr w:rsidR="00005FD2" w:rsidRPr="00005FD2" w14:paraId="7989F870" w14:textId="77777777" w:rsidTr="004A32E2">
        <w:trPr>
          <w:trHeight w:val="151"/>
        </w:trPr>
        <w:tc>
          <w:tcPr>
            <w:tcW w:w="1692" w:type="pct"/>
          </w:tcPr>
          <w:p w14:paraId="60EB12CB" w14:textId="77777777" w:rsidR="00005FD2" w:rsidRPr="00005FD2" w:rsidRDefault="00005FD2" w:rsidP="008A46DD">
            <w:pPr>
              <w:spacing w:after="0" w:line="240" w:lineRule="auto"/>
              <w:jc w:val="center"/>
              <w:rPr>
                <w:rFonts w:ascii="Arial" w:hAnsi="Arial" w:cs="Arial"/>
                <w:bCs/>
                <w:lang w:eastAsia="mk-MK"/>
              </w:rPr>
            </w:pPr>
            <w:r w:rsidRPr="00005FD2">
              <w:rPr>
                <w:rFonts w:ascii="Arial" w:hAnsi="Arial" w:cs="Arial"/>
                <w:bCs/>
                <w:lang w:eastAsia="mk-MK"/>
              </w:rPr>
              <w:t>Measure 7</w:t>
            </w:r>
          </w:p>
        </w:tc>
        <w:tc>
          <w:tcPr>
            <w:tcW w:w="3308" w:type="pct"/>
          </w:tcPr>
          <w:p w14:paraId="353CD37B" w14:textId="2CD5E1F2" w:rsidR="00005FD2" w:rsidRPr="00005FD2" w:rsidRDefault="005B1062" w:rsidP="008A46DD">
            <w:pPr>
              <w:spacing w:after="0" w:line="240" w:lineRule="auto"/>
              <w:jc w:val="right"/>
              <w:rPr>
                <w:rFonts w:ascii="Arial" w:hAnsi="Arial" w:cs="Arial"/>
                <w:bCs/>
                <w:lang w:eastAsia="mk-MK"/>
              </w:rPr>
            </w:pPr>
            <w:r w:rsidRPr="005B1062">
              <w:rPr>
                <w:rFonts w:ascii="Arial" w:hAnsi="Arial" w:cs="Arial"/>
                <w:bCs/>
                <w:lang w:eastAsia="mk-MK"/>
              </w:rPr>
              <w:t>1,051,147.25</w:t>
            </w:r>
          </w:p>
        </w:tc>
      </w:tr>
      <w:tr w:rsidR="00005FD2" w:rsidRPr="00005FD2" w14:paraId="34EDC138" w14:textId="77777777" w:rsidTr="008A46DD">
        <w:trPr>
          <w:trHeight w:val="286"/>
        </w:trPr>
        <w:tc>
          <w:tcPr>
            <w:tcW w:w="1692" w:type="pct"/>
          </w:tcPr>
          <w:p w14:paraId="3D0CC9F6" w14:textId="77777777" w:rsidR="00005FD2" w:rsidRPr="00005FD2" w:rsidRDefault="00005FD2" w:rsidP="008A46DD">
            <w:pPr>
              <w:spacing w:after="0" w:line="240" w:lineRule="auto"/>
              <w:jc w:val="center"/>
              <w:rPr>
                <w:rFonts w:ascii="Arial" w:hAnsi="Arial" w:cs="Arial"/>
                <w:bCs/>
                <w:lang w:eastAsia="mk-MK"/>
              </w:rPr>
            </w:pPr>
            <w:r w:rsidRPr="00005FD2">
              <w:rPr>
                <w:rFonts w:ascii="Arial" w:hAnsi="Arial" w:cs="Arial"/>
                <w:bCs/>
                <w:lang w:eastAsia="mk-MK"/>
              </w:rPr>
              <w:t>Measure 9</w:t>
            </w:r>
          </w:p>
        </w:tc>
        <w:tc>
          <w:tcPr>
            <w:tcW w:w="3308" w:type="pct"/>
          </w:tcPr>
          <w:p w14:paraId="2EACC426" w14:textId="5AC217BA" w:rsidR="00005FD2" w:rsidRPr="00005FD2" w:rsidRDefault="002F0BA9" w:rsidP="008A46DD">
            <w:pPr>
              <w:spacing w:after="0" w:line="240" w:lineRule="auto"/>
              <w:jc w:val="right"/>
              <w:rPr>
                <w:rFonts w:ascii="Arial" w:hAnsi="Arial" w:cs="Arial"/>
                <w:bCs/>
                <w:lang w:eastAsia="mk-MK"/>
              </w:rPr>
            </w:pPr>
            <w:r w:rsidRPr="002F0BA9">
              <w:rPr>
                <w:rFonts w:ascii="Arial" w:hAnsi="Arial" w:cs="Arial"/>
                <w:bCs/>
                <w:lang w:eastAsia="mk-MK"/>
              </w:rPr>
              <w:t>3,184.67</w:t>
            </w:r>
          </w:p>
        </w:tc>
      </w:tr>
      <w:tr w:rsidR="00005FD2" w:rsidRPr="00005FD2" w14:paraId="12CC7615" w14:textId="77777777" w:rsidTr="008A46DD">
        <w:trPr>
          <w:trHeight w:val="70"/>
        </w:trPr>
        <w:tc>
          <w:tcPr>
            <w:tcW w:w="1692" w:type="pct"/>
            <w:shd w:val="clear" w:color="auto" w:fill="AEAAAA"/>
          </w:tcPr>
          <w:p w14:paraId="201A4BE6" w14:textId="0FEDE346" w:rsidR="00005FD2" w:rsidRPr="00005FD2" w:rsidRDefault="00F53697" w:rsidP="008A46DD">
            <w:pPr>
              <w:spacing w:after="0" w:line="240" w:lineRule="auto"/>
              <w:jc w:val="center"/>
              <w:rPr>
                <w:rFonts w:ascii="Arial" w:hAnsi="Arial" w:cs="Arial"/>
                <w:b/>
                <w:bCs/>
                <w:lang w:eastAsia="mk-MK"/>
              </w:rPr>
            </w:pPr>
            <w:r>
              <w:rPr>
                <w:rFonts w:ascii="Arial" w:hAnsi="Arial" w:cs="Arial"/>
                <w:b/>
                <w:bCs/>
                <w:lang w:eastAsia="mk-MK"/>
              </w:rPr>
              <w:t>TOTAL</w:t>
            </w:r>
          </w:p>
        </w:tc>
        <w:tc>
          <w:tcPr>
            <w:tcW w:w="3308" w:type="pct"/>
            <w:shd w:val="clear" w:color="auto" w:fill="AEAAAA"/>
          </w:tcPr>
          <w:p w14:paraId="2BDE8621" w14:textId="7C77BDBC" w:rsidR="00005FD2" w:rsidRPr="00005FD2" w:rsidRDefault="005B1062" w:rsidP="008A46DD">
            <w:pPr>
              <w:spacing w:after="0" w:line="240" w:lineRule="auto"/>
              <w:jc w:val="right"/>
              <w:rPr>
                <w:rFonts w:ascii="Arial" w:hAnsi="Arial" w:cs="Arial"/>
              </w:rPr>
            </w:pPr>
            <w:r>
              <w:rPr>
                <w:rFonts w:ascii="Arial" w:hAnsi="Arial" w:cs="Arial"/>
                <w:b/>
                <w:bCs/>
                <w:lang w:eastAsia="mk-MK"/>
              </w:rPr>
              <w:t>7</w:t>
            </w:r>
            <w:r w:rsidR="002F0BA9" w:rsidRPr="002F0BA9">
              <w:rPr>
                <w:rFonts w:ascii="Arial" w:hAnsi="Arial" w:cs="Arial"/>
                <w:b/>
                <w:bCs/>
                <w:lang w:eastAsia="mk-MK"/>
              </w:rPr>
              <w:t>,</w:t>
            </w:r>
            <w:r>
              <w:rPr>
                <w:rFonts w:ascii="Arial" w:hAnsi="Arial" w:cs="Arial"/>
                <w:b/>
                <w:bCs/>
                <w:lang w:eastAsia="mk-MK"/>
              </w:rPr>
              <w:t>214,903</w:t>
            </w:r>
            <w:r w:rsidR="002F0BA9" w:rsidRPr="002F0BA9">
              <w:rPr>
                <w:rFonts w:ascii="Arial" w:hAnsi="Arial" w:cs="Arial"/>
                <w:b/>
                <w:bCs/>
                <w:lang w:eastAsia="mk-MK"/>
              </w:rPr>
              <w:t>.</w:t>
            </w:r>
            <w:r>
              <w:rPr>
                <w:rFonts w:ascii="Arial" w:hAnsi="Arial" w:cs="Arial"/>
                <w:b/>
                <w:bCs/>
                <w:lang w:eastAsia="mk-MK"/>
              </w:rPr>
              <w:t>46</w:t>
            </w:r>
          </w:p>
        </w:tc>
      </w:tr>
    </w:tbl>
    <w:p w14:paraId="48DAD227" w14:textId="48A3AFEF" w:rsidR="00005FD2" w:rsidRDefault="00005FD2" w:rsidP="008A46DD">
      <w:pPr>
        <w:spacing w:after="0" w:line="240" w:lineRule="auto"/>
        <w:rPr>
          <w:rFonts w:ascii="Arial" w:hAnsi="Arial" w:cs="Arial"/>
        </w:rPr>
      </w:pPr>
    </w:p>
    <w:p w14:paraId="43E10EBB" w14:textId="77777777" w:rsidR="00CC7846" w:rsidRPr="00005FD2" w:rsidRDefault="00CC7846" w:rsidP="008A46DD">
      <w:pPr>
        <w:spacing w:after="0" w:line="240" w:lineRule="auto"/>
        <w:rPr>
          <w:rFonts w:ascii="Arial" w:hAnsi="Arial" w:cs="Arial"/>
          <w:vanish/>
        </w:rPr>
      </w:pPr>
    </w:p>
    <w:p w14:paraId="282D929B" w14:textId="2EC6E5B9" w:rsidR="004E58FE" w:rsidRDefault="004E58FE" w:rsidP="008A46DD">
      <w:pPr>
        <w:spacing w:after="0" w:line="240" w:lineRule="auto"/>
        <w:jc w:val="both"/>
        <w:rPr>
          <w:rFonts w:ascii="Arial" w:hAnsi="Arial" w:cs="Arial"/>
          <w:color w:val="000000"/>
          <w:sz w:val="24"/>
          <w:szCs w:val="24"/>
        </w:rPr>
      </w:pPr>
      <w:r w:rsidRPr="005F4F59">
        <w:rPr>
          <w:rFonts w:ascii="Arial" w:hAnsi="Arial" w:cs="Arial"/>
          <w:color w:val="000000"/>
          <w:sz w:val="24"/>
          <w:szCs w:val="24"/>
        </w:rPr>
        <w:t>Pursuant to Article 37 of the Sector</w:t>
      </w:r>
      <w:r w:rsidR="00345EED" w:rsidRPr="005F4F59">
        <w:rPr>
          <w:rFonts w:ascii="Arial" w:hAnsi="Arial" w:cs="Arial"/>
          <w:color w:val="000000"/>
          <w:sz w:val="24"/>
          <w:szCs w:val="24"/>
        </w:rPr>
        <w:t>al</w:t>
      </w:r>
      <w:r w:rsidRPr="005F4F59">
        <w:rPr>
          <w:rFonts w:ascii="Arial" w:hAnsi="Arial" w:cs="Arial"/>
          <w:color w:val="000000"/>
          <w:sz w:val="24"/>
          <w:szCs w:val="24"/>
        </w:rPr>
        <w:t xml:space="preserve"> Agreement, NAO has sent a Declaration</w:t>
      </w:r>
      <w:r w:rsidR="00663DD7">
        <w:rPr>
          <w:rFonts w:ascii="Arial" w:hAnsi="Arial" w:cs="Arial"/>
          <w:color w:val="000000"/>
          <w:sz w:val="24"/>
          <w:szCs w:val="24"/>
        </w:rPr>
        <w:t>s</w:t>
      </w:r>
      <w:r w:rsidRPr="005F4F59">
        <w:rPr>
          <w:rFonts w:ascii="Arial" w:hAnsi="Arial" w:cs="Arial"/>
          <w:color w:val="000000"/>
          <w:sz w:val="24"/>
          <w:szCs w:val="24"/>
        </w:rPr>
        <w:t xml:space="preserve"> of Expenditure</w:t>
      </w:r>
      <w:r w:rsidR="00663DD7">
        <w:rPr>
          <w:rFonts w:ascii="Arial" w:hAnsi="Arial" w:cs="Arial"/>
          <w:color w:val="000000"/>
          <w:sz w:val="24"/>
          <w:szCs w:val="24"/>
        </w:rPr>
        <w:t>s</w:t>
      </w:r>
      <w:r w:rsidRPr="005F4F59">
        <w:rPr>
          <w:rFonts w:ascii="Arial" w:hAnsi="Arial" w:cs="Arial"/>
          <w:color w:val="000000"/>
          <w:sz w:val="24"/>
          <w:szCs w:val="24"/>
        </w:rPr>
        <w:t xml:space="preserve"> which served as payment requests for the expenditure</w:t>
      </w:r>
      <w:r w:rsidR="00663DD7">
        <w:rPr>
          <w:rFonts w:ascii="Arial" w:hAnsi="Arial" w:cs="Arial"/>
          <w:color w:val="000000"/>
          <w:sz w:val="24"/>
          <w:szCs w:val="24"/>
        </w:rPr>
        <w:t>s</w:t>
      </w:r>
      <w:r w:rsidRPr="005F4F59">
        <w:rPr>
          <w:rFonts w:ascii="Arial" w:hAnsi="Arial" w:cs="Arial"/>
          <w:color w:val="000000"/>
          <w:sz w:val="24"/>
          <w:szCs w:val="24"/>
        </w:rPr>
        <w:t xml:space="preserve"> incurred and the revenue generated via SFC 20</w:t>
      </w:r>
      <w:r w:rsidR="00123332" w:rsidRPr="005F4F59">
        <w:rPr>
          <w:rFonts w:ascii="Arial" w:hAnsi="Arial" w:cs="Arial"/>
          <w:color w:val="000000"/>
          <w:sz w:val="24"/>
          <w:szCs w:val="24"/>
        </w:rPr>
        <w:t>21 system, as presented in the table below</w:t>
      </w:r>
      <w:r w:rsidRPr="005F4F59">
        <w:rPr>
          <w:rFonts w:ascii="Arial" w:hAnsi="Arial" w:cs="Arial"/>
          <w:color w:val="000000"/>
          <w:sz w:val="24"/>
          <w:szCs w:val="24"/>
        </w:rPr>
        <w:t>.</w:t>
      </w:r>
    </w:p>
    <w:p w14:paraId="7530B2A5" w14:textId="16168C06" w:rsidR="009B29D4" w:rsidRPr="00005FD2" w:rsidRDefault="00B52D5E" w:rsidP="008A46DD">
      <w:pPr>
        <w:spacing w:before="120" w:after="120" w:line="240" w:lineRule="auto"/>
        <w:jc w:val="both"/>
        <w:rPr>
          <w:rFonts w:ascii="Arial" w:hAnsi="Arial" w:cs="Arial"/>
          <w:lang w:eastAsia="mk-MK"/>
        </w:rPr>
      </w:pPr>
      <w:r>
        <w:rPr>
          <w:rFonts w:ascii="Arial" w:hAnsi="Arial" w:cs="Arial"/>
          <w:b/>
          <w:bCs/>
          <w:lang w:eastAsia="mk-MK"/>
        </w:rPr>
        <w:t>Table 3:</w:t>
      </w:r>
      <w:r w:rsidRPr="00B52D5E">
        <w:rPr>
          <w:rFonts w:ascii="Arial" w:hAnsi="Arial" w:cs="Arial"/>
          <w:b/>
          <w:bCs/>
          <w:lang w:eastAsia="mk-MK"/>
        </w:rPr>
        <w:t xml:space="preserve"> </w:t>
      </w:r>
      <w:r w:rsidRPr="00005FD2">
        <w:rPr>
          <w:rFonts w:ascii="Arial" w:hAnsi="Arial" w:cs="Arial"/>
          <w:b/>
          <w:bCs/>
          <w:lang w:eastAsia="mk-MK"/>
        </w:rPr>
        <w:t xml:space="preserve">Payment requests </w:t>
      </w:r>
      <w:r>
        <w:rPr>
          <w:rFonts w:ascii="Arial" w:hAnsi="Arial" w:cs="Arial"/>
          <w:b/>
          <w:bCs/>
          <w:lang w:eastAsia="mk-MK"/>
        </w:rPr>
        <w:t>to EC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5110"/>
        <w:gridCol w:w="3491"/>
      </w:tblGrid>
      <w:tr w:rsidR="00005FD2" w:rsidRPr="00005FD2" w14:paraId="2D386080" w14:textId="77777777" w:rsidTr="008A46DD">
        <w:trPr>
          <w:trHeight w:val="224"/>
        </w:trPr>
        <w:tc>
          <w:tcPr>
            <w:tcW w:w="306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0C02B51" w14:textId="0486D5A6" w:rsidR="00005FD2" w:rsidRPr="00005FD2" w:rsidRDefault="00B52D5E" w:rsidP="008A46DD">
            <w:pPr>
              <w:spacing w:after="0" w:line="240" w:lineRule="auto"/>
              <w:jc w:val="center"/>
              <w:rPr>
                <w:rFonts w:ascii="Arial" w:hAnsi="Arial" w:cs="Arial"/>
                <w:b/>
                <w:bCs/>
                <w:lang w:eastAsia="mk-MK"/>
              </w:rPr>
            </w:pPr>
            <w:r>
              <w:rPr>
                <w:rFonts w:ascii="Arial" w:hAnsi="Arial" w:cs="Arial"/>
                <w:b/>
                <w:bCs/>
                <w:lang w:eastAsia="mk-MK"/>
              </w:rPr>
              <w:t>Quarterly Declaration of expenditure</w:t>
            </w:r>
          </w:p>
        </w:tc>
        <w:tc>
          <w:tcPr>
            <w:tcW w:w="193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74A6CAF" w14:textId="77777777" w:rsidR="00005FD2" w:rsidRPr="00005FD2" w:rsidRDefault="00005FD2" w:rsidP="008A46DD">
            <w:pPr>
              <w:spacing w:after="0" w:line="240" w:lineRule="auto"/>
              <w:jc w:val="center"/>
              <w:rPr>
                <w:rFonts w:ascii="Arial" w:hAnsi="Arial" w:cs="Arial"/>
                <w:b/>
                <w:bCs/>
                <w:lang w:eastAsia="mk-MK"/>
              </w:rPr>
            </w:pPr>
            <w:r w:rsidRPr="00005FD2">
              <w:rPr>
                <w:rFonts w:ascii="Arial" w:hAnsi="Arial" w:cs="Arial"/>
                <w:b/>
                <w:bCs/>
                <w:lang w:eastAsia="mk-MK"/>
              </w:rPr>
              <w:t>Community Contribution in €</w:t>
            </w:r>
          </w:p>
        </w:tc>
      </w:tr>
      <w:tr w:rsidR="00B52D5E" w:rsidRPr="00005FD2" w14:paraId="7B818076" w14:textId="77777777" w:rsidTr="008A46DD">
        <w:trPr>
          <w:trHeight w:val="360"/>
        </w:trPr>
        <w:tc>
          <w:tcPr>
            <w:tcW w:w="230" w:type="pct"/>
            <w:tcBorders>
              <w:top w:val="single" w:sz="4" w:space="0" w:color="auto"/>
              <w:left w:val="single" w:sz="4" w:space="0" w:color="auto"/>
              <w:bottom w:val="single" w:sz="4" w:space="0" w:color="auto"/>
              <w:right w:val="single" w:sz="4" w:space="0" w:color="auto"/>
            </w:tcBorders>
            <w:vAlign w:val="bottom"/>
          </w:tcPr>
          <w:p w14:paraId="5F453F33" w14:textId="0183A176" w:rsidR="00B52D5E" w:rsidRPr="00005FD2" w:rsidRDefault="00B52D5E" w:rsidP="008A46DD">
            <w:pPr>
              <w:spacing w:after="0" w:line="240" w:lineRule="auto"/>
              <w:rPr>
                <w:rFonts w:ascii="Arial" w:hAnsi="Arial" w:cs="Arial"/>
                <w:color w:val="000000"/>
                <w:lang w:eastAsia="mk-MK"/>
              </w:rPr>
            </w:pPr>
            <w:r w:rsidRPr="00005FD2">
              <w:rPr>
                <w:rFonts w:ascii="Arial" w:hAnsi="Arial" w:cs="Arial"/>
                <w:color w:val="000000"/>
                <w:lang w:eastAsia="mk-MK"/>
              </w:rPr>
              <w:t>1</w:t>
            </w:r>
          </w:p>
        </w:tc>
        <w:tc>
          <w:tcPr>
            <w:tcW w:w="2834" w:type="pct"/>
            <w:tcBorders>
              <w:top w:val="single" w:sz="4" w:space="0" w:color="auto"/>
              <w:left w:val="single" w:sz="4" w:space="0" w:color="auto"/>
              <w:bottom w:val="single" w:sz="4" w:space="0" w:color="auto"/>
              <w:right w:val="single" w:sz="4" w:space="0" w:color="auto"/>
            </w:tcBorders>
            <w:noWrap/>
            <w:vAlign w:val="bottom"/>
          </w:tcPr>
          <w:p w14:paraId="7E967153" w14:textId="52798697"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w:t>
            </w:r>
            <w:r>
              <w:rPr>
                <w:rFonts w:ascii="Arial" w:hAnsi="Arial" w:cs="Arial"/>
                <w:color w:val="000000"/>
                <w:lang w:eastAsia="mk-MK"/>
              </w:rPr>
              <w:t>1</w:t>
            </w:r>
            <w:r w:rsidRPr="00123332">
              <w:rPr>
                <w:rFonts w:ascii="Arial" w:hAnsi="Arial" w:cs="Arial"/>
                <w:color w:val="000000"/>
                <w:lang w:eastAsia="mk-MK"/>
              </w:rPr>
              <w:t xml:space="preserve"> 202</w:t>
            </w:r>
            <w:r>
              <w:rPr>
                <w:rFonts w:ascii="Arial" w:hAnsi="Arial" w:cs="Arial"/>
                <w:color w:val="000000"/>
                <w:lang w:eastAsia="mk-MK"/>
              </w:rPr>
              <w:t>4</w:t>
            </w:r>
          </w:p>
        </w:tc>
        <w:tc>
          <w:tcPr>
            <w:tcW w:w="1936" w:type="pct"/>
            <w:tcBorders>
              <w:top w:val="single" w:sz="4" w:space="0" w:color="auto"/>
              <w:left w:val="single" w:sz="4" w:space="0" w:color="auto"/>
              <w:bottom w:val="single" w:sz="4" w:space="0" w:color="auto"/>
              <w:right w:val="single" w:sz="4" w:space="0" w:color="auto"/>
            </w:tcBorders>
            <w:noWrap/>
            <w:vAlign w:val="bottom"/>
          </w:tcPr>
          <w:p w14:paraId="6C866945" w14:textId="2F4A2D71" w:rsidR="00B52D5E" w:rsidRDefault="00B52D5E" w:rsidP="008A46DD">
            <w:pPr>
              <w:spacing w:after="0" w:line="240" w:lineRule="auto"/>
              <w:jc w:val="right"/>
              <w:rPr>
                <w:rFonts w:ascii="Arial" w:hAnsi="Arial" w:cs="Arial"/>
                <w:lang w:eastAsia="mk-MK"/>
              </w:rPr>
            </w:pPr>
            <w:r>
              <w:rPr>
                <w:rFonts w:ascii="Arial" w:hAnsi="Arial" w:cs="Arial"/>
                <w:lang w:eastAsia="mk-MK"/>
              </w:rPr>
              <w:t>0.00</w:t>
            </w:r>
          </w:p>
        </w:tc>
      </w:tr>
      <w:tr w:rsidR="00B52D5E" w:rsidRPr="00005FD2" w14:paraId="15EC5CCA" w14:textId="77777777" w:rsidTr="008A46DD">
        <w:trPr>
          <w:trHeight w:val="360"/>
        </w:trPr>
        <w:tc>
          <w:tcPr>
            <w:tcW w:w="230" w:type="pct"/>
            <w:tcBorders>
              <w:top w:val="single" w:sz="4" w:space="0" w:color="auto"/>
              <w:left w:val="single" w:sz="4" w:space="0" w:color="auto"/>
              <w:bottom w:val="single" w:sz="4" w:space="0" w:color="auto"/>
              <w:right w:val="single" w:sz="4" w:space="0" w:color="auto"/>
            </w:tcBorders>
            <w:vAlign w:val="bottom"/>
          </w:tcPr>
          <w:p w14:paraId="322A2D92" w14:textId="6B5CA7B4" w:rsidR="00B52D5E" w:rsidRPr="00005FD2" w:rsidRDefault="00B52D5E" w:rsidP="008A46DD">
            <w:pPr>
              <w:spacing w:after="0" w:line="240" w:lineRule="auto"/>
              <w:rPr>
                <w:rFonts w:ascii="Arial" w:hAnsi="Arial" w:cs="Arial"/>
                <w:color w:val="000000"/>
                <w:lang w:eastAsia="mk-MK"/>
              </w:rPr>
            </w:pPr>
            <w:r w:rsidRPr="00005FD2">
              <w:rPr>
                <w:rFonts w:ascii="Arial" w:hAnsi="Arial" w:cs="Arial"/>
                <w:color w:val="000000"/>
                <w:lang w:eastAsia="mk-MK"/>
              </w:rPr>
              <w:t>2</w:t>
            </w:r>
          </w:p>
        </w:tc>
        <w:tc>
          <w:tcPr>
            <w:tcW w:w="2834" w:type="pct"/>
            <w:tcBorders>
              <w:top w:val="single" w:sz="4" w:space="0" w:color="auto"/>
              <w:left w:val="single" w:sz="4" w:space="0" w:color="auto"/>
              <w:bottom w:val="single" w:sz="4" w:space="0" w:color="auto"/>
              <w:right w:val="single" w:sz="4" w:space="0" w:color="auto"/>
            </w:tcBorders>
            <w:noWrap/>
            <w:vAlign w:val="bottom"/>
          </w:tcPr>
          <w:p w14:paraId="172319E0" w14:textId="318A034A"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w:t>
            </w:r>
            <w:r>
              <w:rPr>
                <w:rFonts w:ascii="Arial" w:hAnsi="Arial" w:cs="Arial"/>
                <w:color w:val="000000"/>
                <w:lang w:eastAsia="mk-MK"/>
              </w:rPr>
              <w:t>2</w:t>
            </w:r>
            <w:r w:rsidRPr="00123332">
              <w:rPr>
                <w:rFonts w:ascii="Arial" w:hAnsi="Arial" w:cs="Arial"/>
                <w:color w:val="000000"/>
                <w:lang w:eastAsia="mk-MK"/>
              </w:rPr>
              <w:t xml:space="preserve"> 202</w:t>
            </w:r>
            <w:r>
              <w:rPr>
                <w:rFonts w:ascii="Arial" w:hAnsi="Arial" w:cs="Arial"/>
                <w:color w:val="000000"/>
                <w:lang w:eastAsia="mk-MK"/>
              </w:rPr>
              <w:t>4</w:t>
            </w:r>
          </w:p>
        </w:tc>
        <w:tc>
          <w:tcPr>
            <w:tcW w:w="1936" w:type="pct"/>
            <w:tcBorders>
              <w:top w:val="single" w:sz="4" w:space="0" w:color="auto"/>
              <w:left w:val="single" w:sz="4" w:space="0" w:color="auto"/>
              <w:bottom w:val="single" w:sz="4" w:space="0" w:color="auto"/>
              <w:right w:val="single" w:sz="4" w:space="0" w:color="auto"/>
            </w:tcBorders>
            <w:noWrap/>
            <w:vAlign w:val="bottom"/>
          </w:tcPr>
          <w:p w14:paraId="38A46611" w14:textId="2028586E" w:rsidR="00B52D5E" w:rsidRDefault="00B52D5E" w:rsidP="008A46DD">
            <w:pPr>
              <w:spacing w:after="0" w:line="240" w:lineRule="auto"/>
              <w:jc w:val="right"/>
              <w:rPr>
                <w:rFonts w:ascii="Arial" w:hAnsi="Arial" w:cs="Arial"/>
                <w:lang w:eastAsia="mk-MK"/>
              </w:rPr>
            </w:pPr>
            <w:r>
              <w:rPr>
                <w:rFonts w:ascii="Arial" w:hAnsi="Arial" w:cs="Arial"/>
                <w:lang w:eastAsia="mk-MK"/>
              </w:rPr>
              <w:t>0.00</w:t>
            </w:r>
          </w:p>
        </w:tc>
      </w:tr>
      <w:tr w:rsidR="00B52D5E" w:rsidRPr="00005FD2" w14:paraId="255C8978" w14:textId="77777777" w:rsidTr="008A46DD">
        <w:trPr>
          <w:trHeight w:val="360"/>
        </w:trPr>
        <w:tc>
          <w:tcPr>
            <w:tcW w:w="230" w:type="pct"/>
            <w:tcBorders>
              <w:top w:val="single" w:sz="4" w:space="0" w:color="auto"/>
              <w:left w:val="single" w:sz="4" w:space="0" w:color="auto"/>
              <w:bottom w:val="single" w:sz="4" w:space="0" w:color="auto"/>
              <w:right w:val="single" w:sz="4" w:space="0" w:color="auto"/>
            </w:tcBorders>
            <w:vAlign w:val="bottom"/>
            <w:hideMark/>
          </w:tcPr>
          <w:p w14:paraId="66DAD528" w14:textId="5C9AA797" w:rsidR="00B52D5E" w:rsidRPr="00005FD2" w:rsidRDefault="00B52D5E" w:rsidP="008A46DD">
            <w:pPr>
              <w:spacing w:after="0" w:line="240" w:lineRule="auto"/>
              <w:rPr>
                <w:rFonts w:ascii="Arial" w:hAnsi="Arial" w:cs="Arial"/>
                <w:color w:val="000000"/>
                <w:lang w:eastAsia="mk-MK"/>
              </w:rPr>
            </w:pPr>
            <w:r w:rsidRPr="00005FD2">
              <w:rPr>
                <w:rFonts w:ascii="Arial" w:hAnsi="Arial" w:cs="Arial"/>
                <w:color w:val="000000"/>
                <w:lang w:eastAsia="mk-MK"/>
              </w:rPr>
              <w:t>3</w:t>
            </w:r>
          </w:p>
        </w:tc>
        <w:tc>
          <w:tcPr>
            <w:tcW w:w="2834" w:type="pct"/>
            <w:tcBorders>
              <w:top w:val="single" w:sz="4" w:space="0" w:color="auto"/>
              <w:left w:val="single" w:sz="4" w:space="0" w:color="auto"/>
              <w:bottom w:val="single" w:sz="4" w:space="0" w:color="auto"/>
              <w:right w:val="single" w:sz="4" w:space="0" w:color="auto"/>
            </w:tcBorders>
            <w:noWrap/>
            <w:vAlign w:val="bottom"/>
          </w:tcPr>
          <w:p w14:paraId="74304462" w14:textId="046517A9"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Q3 202</w:t>
            </w:r>
            <w:r>
              <w:rPr>
                <w:rFonts w:ascii="Arial" w:hAnsi="Arial" w:cs="Arial"/>
                <w:color w:val="000000"/>
                <w:lang w:eastAsia="mk-MK"/>
              </w:rPr>
              <w:t>4</w:t>
            </w:r>
          </w:p>
        </w:tc>
        <w:tc>
          <w:tcPr>
            <w:tcW w:w="1936" w:type="pct"/>
            <w:tcBorders>
              <w:top w:val="single" w:sz="4" w:space="0" w:color="auto"/>
              <w:left w:val="single" w:sz="4" w:space="0" w:color="auto"/>
              <w:bottom w:val="single" w:sz="4" w:space="0" w:color="auto"/>
              <w:right w:val="single" w:sz="4" w:space="0" w:color="auto"/>
            </w:tcBorders>
            <w:noWrap/>
            <w:vAlign w:val="bottom"/>
          </w:tcPr>
          <w:p w14:paraId="7ABC502B" w14:textId="45CE0A78" w:rsidR="00B52D5E" w:rsidRPr="00123332" w:rsidRDefault="00B52D5E" w:rsidP="008A46DD">
            <w:pPr>
              <w:spacing w:after="0" w:line="240" w:lineRule="auto"/>
              <w:jc w:val="right"/>
              <w:rPr>
                <w:rFonts w:ascii="Arial" w:hAnsi="Arial" w:cs="Arial"/>
                <w:lang w:eastAsia="mk-MK"/>
              </w:rPr>
            </w:pPr>
            <w:r>
              <w:rPr>
                <w:rFonts w:ascii="Arial" w:hAnsi="Arial" w:cs="Arial"/>
                <w:lang w:eastAsia="mk-MK"/>
              </w:rPr>
              <w:t>1,543.05</w:t>
            </w:r>
          </w:p>
        </w:tc>
      </w:tr>
      <w:tr w:rsidR="00B52D5E" w:rsidRPr="00005FD2" w14:paraId="2CC18C51" w14:textId="77777777" w:rsidTr="008A46DD">
        <w:trPr>
          <w:trHeight w:val="360"/>
        </w:trPr>
        <w:tc>
          <w:tcPr>
            <w:tcW w:w="230" w:type="pct"/>
            <w:tcBorders>
              <w:top w:val="single" w:sz="4" w:space="0" w:color="auto"/>
              <w:left w:val="single" w:sz="4" w:space="0" w:color="auto"/>
              <w:bottom w:val="single" w:sz="4" w:space="0" w:color="auto"/>
              <w:right w:val="single" w:sz="4" w:space="0" w:color="auto"/>
            </w:tcBorders>
            <w:vAlign w:val="bottom"/>
          </w:tcPr>
          <w:p w14:paraId="46CDC2BB" w14:textId="341C27CB" w:rsidR="00B52D5E" w:rsidRPr="00005FD2" w:rsidRDefault="00B52D5E" w:rsidP="008A46DD">
            <w:pPr>
              <w:spacing w:after="0" w:line="240" w:lineRule="auto"/>
              <w:rPr>
                <w:rFonts w:ascii="Arial" w:hAnsi="Arial" w:cs="Arial"/>
                <w:color w:val="000000"/>
                <w:lang w:eastAsia="mk-MK"/>
              </w:rPr>
            </w:pPr>
            <w:r w:rsidRPr="00005FD2">
              <w:rPr>
                <w:rFonts w:ascii="Arial" w:hAnsi="Arial" w:cs="Arial"/>
                <w:color w:val="000000"/>
                <w:lang w:eastAsia="mk-MK"/>
              </w:rPr>
              <w:t>4</w:t>
            </w:r>
          </w:p>
        </w:tc>
        <w:tc>
          <w:tcPr>
            <w:tcW w:w="2834" w:type="pct"/>
            <w:tcBorders>
              <w:top w:val="single" w:sz="4" w:space="0" w:color="auto"/>
              <w:left w:val="single" w:sz="4" w:space="0" w:color="auto"/>
              <w:bottom w:val="single" w:sz="4" w:space="0" w:color="auto"/>
              <w:right w:val="single" w:sz="4" w:space="0" w:color="auto"/>
            </w:tcBorders>
            <w:noWrap/>
            <w:vAlign w:val="bottom"/>
          </w:tcPr>
          <w:p w14:paraId="5EB44F82" w14:textId="513344A9"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w:t>
            </w:r>
            <w:r>
              <w:rPr>
                <w:rFonts w:ascii="Arial" w:hAnsi="Arial" w:cs="Arial"/>
                <w:color w:val="000000"/>
                <w:lang w:eastAsia="mk-MK"/>
              </w:rPr>
              <w:t>4</w:t>
            </w:r>
            <w:r w:rsidRPr="00123332">
              <w:rPr>
                <w:rFonts w:ascii="Arial" w:hAnsi="Arial" w:cs="Arial"/>
                <w:color w:val="000000"/>
                <w:lang w:eastAsia="mk-MK"/>
              </w:rPr>
              <w:t xml:space="preserve"> 202</w:t>
            </w:r>
            <w:r>
              <w:rPr>
                <w:rFonts w:ascii="Arial" w:hAnsi="Arial" w:cs="Arial"/>
                <w:color w:val="000000"/>
                <w:lang w:eastAsia="mk-MK"/>
              </w:rPr>
              <w:t>4</w:t>
            </w:r>
          </w:p>
        </w:tc>
        <w:tc>
          <w:tcPr>
            <w:tcW w:w="1936" w:type="pct"/>
            <w:tcBorders>
              <w:top w:val="single" w:sz="4" w:space="0" w:color="auto"/>
              <w:left w:val="single" w:sz="4" w:space="0" w:color="auto"/>
              <w:bottom w:val="single" w:sz="4" w:space="0" w:color="auto"/>
              <w:right w:val="single" w:sz="4" w:space="0" w:color="auto"/>
            </w:tcBorders>
            <w:noWrap/>
            <w:vAlign w:val="bottom"/>
          </w:tcPr>
          <w:p w14:paraId="465B0452" w14:textId="60533A6B" w:rsidR="00B52D5E" w:rsidRPr="00123332" w:rsidRDefault="00B52D5E" w:rsidP="008A46DD">
            <w:pPr>
              <w:spacing w:after="0" w:line="240" w:lineRule="auto"/>
              <w:jc w:val="right"/>
              <w:rPr>
                <w:rFonts w:ascii="Arial" w:hAnsi="Arial" w:cs="Arial"/>
                <w:lang w:eastAsia="mk-MK"/>
              </w:rPr>
            </w:pPr>
            <w:r>
              <w:rPr>
                <w:rFonts w:ascii="Arial" w:hAnsi="Arial" w:cs="Arial"/>
                <w:lang w:eastAsia="mk-MK"/>
              </w:rPr>
              <w:t>1,049,966.38</w:t>
            </w:r>
          </w:p>
        </w:tc>
      </w:tr>
      <w:tr w:rsidR="00B52D5E" w:rsidRPr="00005FD2" w14:paraId="5870D155" w14:textId="77777777" w:rsidTr="008A46DD">
        <w:trPr>
          <w:trHeight w:val="360"/>
        </w:trPr>
        <w:tc>
          <w:tcPr>
            <w:tcW w:w="230" w:type="pct"/>
            <w:tcBorders>
              <w:top w:val="single" w:sz="4" w:space="0" w:color="auto"/>
              <w:left w:val="single" w:sz="4" w:space="0" w:color="auto"/>
              <w:bottom w:val="single" w:sz="4" w:space="0" w:color="auto"/>
              <w:right w:val="single" w:sz="4" w:space="0" w:color="auto"/>
            </w:tcBorders>
            <w:vAlign w:val="bottom"/>
          </w:tcPr>
          <w:p w14:paraId="2A087E10" w14:textId="372F6BB7" w:rsidR="00B52D5E" w:rsidRPr="00005FD2" w:rsidRDefault="00B52D5E" w:rsidP="008A46DD">
            <w:pPr>
              <w:spacing w:after="0" w:line="240" w:lineRule="auto"/>
              <w:rPr>
                <w:rFonts w:ascii="Arial" w:hAnsi="Arial" w:cs="Arial"/>
                <w:color w:val="000000"/>
                <w:lang w:eastAsia="mk-MK"/>
              </w:rPr>
            </w:pPr>
            <w:r>
              <w:rPr>
                <w:rFonts w:ascii="Arial" w:hAnsi="Arial" w:cs="Arial"/>
                <w:color w:val="000000"/>
                <w:lang w:eastAsia="mk-MK"/>
              </w:rPr>
              <w:t>5</w:t>
            </w:r>
          </w:p>
        </w:tc>
        <w:tc>
          <w:tcPr>
            <w:tcW w:w="2834" w:type="pct"/>
            <w:tcBorders>
              <w:top w:val="single" w:sz="4" w:space="0" w:color="auto"/>
              <w:left w:val="single" w:sz="4" w:space="0" w:color="auto"/>
              <w:bottom w:val="single" w:sz="4" w:space="0" w:color="auto"/>
              <w:right w:val="single" w:sz="4" w:space="0" w:color="auto"/>
            </w:tcBorders>
            <w:noWrap/>
            <w:vAlign w:val="bottom"/>
          </w:tcPr>
          <w:p w14:paraId="22D8FC83" w14:textId="4EC4D19C"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Q1 2025</w:t>
            </w:r>
          </w:p>
        </w:tc>
        <w:tc>
          <w:tcPr>
            <w:tcW w:w="1936" w:type="pct"/>
            <w:tcBorders>
              <w:top w:val="single" w:sz="4" w:space="0" w:color="auto"/>
              <w:left w:val="single" w:sz="4" w:space="0" w:color="auto"/>
              <w:bottom w:val="single" w:sz="4" w:space="0" w:color="auto"/>
              <w:right w:val="single" w:sz="4" w:space="0" w:color="auto"/>
            </w:tcBorders>
            <w:noWrap/>
            <w:vAlign w:val="bottom"/>
          </w:tcPr>
          <w:p w14:paraId="795BF91D" w14:textId="6FAA3D3D" w:rsidR="00B52D5E" w:rsidRPr="00123332" w:rsidRDefault="00B52D5E" w:rsidP="008A46DD">
            <w:pPr>
              <w:spacing w:after="0" w:line="240" w:lineRule="auto"/>
              <w:jc w:val="right"/>
              <w:rPr>
                <w:rFonts w:ascii="Arial" w:hAnsi="Arial" w:cs="Arial"/>
                <w:lang w:eastAsia="mk-MK"/>
              </w:rPr>
            </w:pPr>
            <w:r w:rsidRPr="00123332">
              <w:rPr>
                <w:rFonts w:ascii="Arial" w:hAnsi="Arial" w:cs="Arial"/>
                <w:lang w:eastAsia="mk-MK"/>
              </w:rPr>
              <w:t>1,014,558.18</w:t>
            </w:r>
          </w:p>
        </w:tc>
      </w:tr>
      <w:tr w:rsidR="00B52D5E" w:rsidRPr="00005FD2" w14:paraId="6C5850CC" w14:textId="77777777" w:rsidTr="008A46DD">
        <w:trPr>
          <w:trHeight w:val="298"/>
        </w:trPr>
        <w:tc>
          <w:tcPr>
            <w:tcW w:w="230" w:type="pct"/>
            <w:tcBorders>
              <w:top w:val="single" w:sz="4" w:space="0" w:color="auto"/>
              <w:left w:val="single" w:sz="4" w:space="0" w:color="auto"/>
              <w:bottom w:val="single" w:sz="4" w:space="0" w:color="auto"/>
              <w:right w:val="single" w:sz="4" w:space="0" w:color="auto"/>
            </w:tcBorders>
            <w:vAlign w:val="bottom"/>
          </w:tcPr>
          <w:p w14:paraId="6A128035" w14:textId="31442492" w:rsidR="00B52D5E" w:rsidRPr="00005FD2" w:rsidRDefault="00B52D5E" w:rsidP="008A46DD">
            <w:pPr>
              <w:spacing w:after="0" w:line="240" w:lineRule="auto"/>
              <w:rPr>
                <w:rFonts w:ascii="Arial" w:hAnsi="Arial" w:cs="Arial"/>
                <w:color w:val="000000"/>
                <w:lang w:eastAsia="mk-MK"/>
              </w:rPr>
            </w:pPr>
            <w:r>
              <w:rPr>
                <w:rFonts w:ascii="Arial" w:hAnsi="Arial" w:cs="Arial"/>
                <w:color w:val="000000"/>
                <w:lang w:eastAsia="mk-MK"/>
              </w:rPr>
              <w:t>6</w:t>
            </w:r>
          </w:p>
        </w:tc>
        <w:tc>
          <w:tcPr>
            <w:tcW w:w="2834" w:type="pct"/>
            <w:tcBorders>
              <w:top w:val="single" w:sz="4" w:space="0" w:color="auto"/>
              <w:left w:val="single" w:sz="4" w:space="0" w:color="auto"/>
              <w:bottom w:val="single" w:sz="4" w:space="0" w:color="auto"/>
              <w:right w:val="single" w:sz="4" w:space="0" w:color="auto"/>
            </w:tcBorders>
            <w:vAlign w:val="bottom"/>
            <w:hideMark/>
          </w:tcPr>
          <w:p w14:paraId="62CD5342" w14:textId="44E1603D"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Q2 2025</w:t>
            </w:r>
          </w:p>
        </w:tc>
        <w:tc>
          <w:tcPr>
            <w:tcW w:w="1936" w:type="pct"/>
            <w:tcBorders>
              <w:top w:val="single" w:sz="4" w:space="0" w:color="auto"/>
              <w:left w:val="single" w:sz="4" w:space="0" w:color="auto"/>
              <w:bottom w:val="single" w:sz="4" w:space="0" w:color="auto"/>
              <w:right w:val="single" w:sz="4" w:space="0" w:color="auto"/>
            </w:tcBorders>
            <w:noWrap/>
            <w:vAlign w:val="bottom"/>
            <w:hideMark/>
          </w:tcPr>
          <w:p w14:paraId="79FFFB4A" w14:textId="37D87C0D" w:rsidR="00B52D5E" w:rsidRPr="00123332" w:rsidRDefault="00B52D5E" w:rsidP="008A46DD">
            <w:pPr>
              <w:spacing w:after="0" w:line="240" w:lineRule="auto"/>
              <w:jc w:val="right"/>
              <w:rPr>
                <w:rFonts w:ascii="Arial" w:hAnsi="Arial" w:cs="Arial"/>
                <w:lang w:eastAsia="mk-MK"/>
              </w:rPr>
            </w:pPr>
            <w:r w:rsidRPr="00CC7846">
              <w:rPr>
                <w:rFonts w:ascii="Arial" w:hAnsi="Arial" w:cs="Arial"/>
                <w:lang w:eastAsia="mk-MK"/>
              </w:rPr>
              <w:t>2,074,760.72</w:t>
            </w:r>
          </w:p>
        </w:tc>
      </w:tr>
      <w:tr w:rsidR="00B52D5E" w:rsidRPr="00005FD2" w14:paraId="1F0FB8B9" w14:textId="77777777" w:rsidTr="008A46DD">
        <w:trPr>
          <w:trHeight w:val="285"/>
        </w:trPr>
        <w:tc>
          <w:tcPr>
            <w:tcW w:w="230" w:type="pct"/>
            <w:tcBorders>
              <w:top w:val="single" w:sz="4" w:space="0" w:color="auto"/>
              <w:left w:val="single" w:sz="4" w:space="0" w:color="auto"/>
              <w:bottom w:val="single" w:sz="4" w:space="0" w:color="auto"/>
              <w:right w:val="single" w:sz="4" w:space="0" w:color="auto"/>
            </w:tcBorders>
            <w:vAlign w:val="bottom"/>
          </w:tcPr>
          <w:p w14:paraId="13209953" w14:textId="1E3BCDC2" w:rsidR="00B52D5E" w:rsidRPr="00005FD2" w:rsidRDefault="00B52D5E" w:rsidP="008A46DD">
            <w:pPr>
              <w:spacing w:after="0" w:line="240" w:lineRule="auto"/>
              <w:rPr>
                <w:rFonts w:ascii="Arial" w:hAnsi="Arial" w:cs="Arial"/>
                <w:color w:val="000000"/>
                <w:lang w:eastAsia="mk-MK"/>
              </w:rPr>
            </w:pPr>
            <w:r>
              <w:rPr>
                <w:rFonts w:ascii="Arial" w:hAnsi="Arial" w:cs="Arial"/>
                <w:color w:val="000000"/>
                <w:lang w:eastAsia="mk-MK"/>
              </w:rPr>
              <w:t>7</w:t>
            </w:r>
          </w:p>
        </w:tc>
        <w:tc>
          <w:tcPr>
            <w:tcW w:w="2834" w:type="pct"/>
            <w:tcBorders>
              <w:top w:val="single" w:sz="4" w:space="0" w:color="auto"/>
              <w:left w:val="single" w:sz="4" w:space="0" w:color="auto"/>
              <w:bottom w:val="single" w:sz="4" w:space="0" w:color="auto"/>
              <w:right w:val="single" w:sz="4" w:space="0" w:color="auto"/>
            </w:tcBorders>
            <w:vAlign w:val="bottom"/>
            <w:hideMark/>
          </w:tcPr>
          <w:p w14:paraId="64A6B854" w14:textId="1535E2F3"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Q3 2025</w:t>
            </w:r>
          </w:p>
        </w:tc>
        <w:tc>
          <w:tcPr>
            <w:tcW w:w="1936" w:type="pct"/>
            <w:tcBorders>
              <w:top w:val="single" w:sz="4" w:space="0" w:color="auto"/>
              <w:left w:val="single" w:sz="4" w:space="0" w:color="auto"/>
              <w:bottom w:val="single" w:sz="4" w:space="0" w:color="auto"/>
              <w:right w:val="single" w:sz="4" w:space="0" w:color="auto"/>
            </w:tcBorders>
            <w:noWrap/>
            <w:vAlign w:val="bottom"/>
            <w:hideMark/>
          </w:tcPr>
          <w:p w14:paraId="6AFA4AAD" w14:textId="4E12F73D" w:rsidR="00B52D5E" w:rsidRPr="00123332" w:rsidRDefault="00B52D5E" w:rsidP="008A46DD">
            <w:pPr>
              <w:spacing w:after="0" w:line="240" w:lineRule="auto"/>
              <w:jc w:val="right"/>
              <w:rPr>
                <w:rFonts w:ascii="Arial" w:hAnsi="Arial" w:cs="Arial"/>
                <w:lang w:eastAsia="mk-MK"/>
              </w:rPr>
            </w:pPr>
            <w:r w:rsidRPr="00CC7846">
              <w:rPr>
                <w:rFonts w:ascii="Arial" w:hAnsi="Arial" w:cs="Arial"/>
                <w:lang w:eastAsia="mk-MK"/>
              </w:rPr>
              <w:t>2,970,846.68</w:t>
            </w:r>
          </w:p>
        </w:tc>
      </w:tr>
      <w:tr w:rsidR="00B52D5E" w:rsidRPr="00005FD2" w14:paraId="19E4E51D" w14:textId="77777777" w:rsidTr="008A46DD">
        <w:trPr>
          <w:trHeight w:val="285"/>
        </w:trPr>
        <w:tc>
          <w:tcPr>
            <w:tcW w:w="230" w:type="pct"/>
            <w:tcBorders>
              <w:top w:val="single" w:sz="4" w:space="0" w:color="auto"/>
              <w:left w:val="single" w:sz="4" w:space="0" w:color="auto"/>
              <w:bottom w:val="single" w:sz="4" w:space="0" w:color="auto"/>
              <w:right w:val="single" w:sz="4" w:space="0" w:color="auto"/>
            </w:tcBorders>
            <w:vAlign w:val="bottom"/>
          </w:tcPr>
          <w:p w14:paraId="508850A7" w14:textId="77514159" w:rsidR="00B52D5E" w:rsidRDefault="00B52D5E" w:rsidP="008A46DD">
            <w:pPr>
              <w:spacing w:after="0" w:line="240" w:lineRule="auto"/>
              <w:rPr>
                <w:rFonts w:ascii="Arial" w:hAnsi="Arial" w:cs="Arial"/>
                <w:color w:val="000000"/>
                <w:lang w:eastAsia="mk-MK"/>
              </w:rPr>
            </w:pPr>
            <w:r>
              <w:rPr>
                <w:rFonts w:ascii="Arial" w:hAnsi="Arial" w:cs="Arial"/>
                <w:color w:val="000000"/>
                <w:lang w:eastAsia="mk-MK"/>
              </w:rPr>
              <w:t>8</w:t>
            </w:r>
          </w:p>
        </w:tc>
        <w:tc>
          <w:tcPr>
            <w:tcW w:w="2834" w:type="pct"/>
            <w:tcBorders>
              <w:top w:val="single" w:sz="4" w:space="0" w:color="auto"/>
              <w:left w:val="single" w:sz="4" w:space="0" w:color="auto"/>
              <w:bottom w:val="single" w:sz="4" w:space="0" w:color="auto"/>
              <w:right w:val="single" w:sz="4" w:space="0" w:color="auto"/>
            </w:tcBorders>
            <w:vAlign w:val="bottom"/>
          </w:tcPr>
          <w:p w14:paraId="188AE98B" w14:textId="12B3FAF3" w:rsidR="00B52D5E" w:rsidRPr="00123332" w:rsidRDefault="00B52D5E" w:rsidP="008A46DD">
            <w:pPr>
              <w:spacing w:after="0" w:line="240" w:lineRule="auto"/>
              <w:rPr>
                <w:rFonts w:ascii="Arial" w:hAnsi="Arial" w:cs="Arial"/>
                <w:color w:val="000000"/>
                <w:lang w:eastAsia="mk-MK"/>
              </w:rPr>
            </w:pPr>
            <w:r w:rsidRPr="00123332">
              <w:rPr>
                <w:rFonts w:ascii="Arial" w:hAnsi="Arial" w:cs="Arial"/>
                <w:color w:val="000000"/>
                <w:lang w:eastAsia="mk-MK"/>
              </w:rPr>
              <w:t>Declared in Q4 2025</w:t>
            </w:r>
            <w:r w:rsidR="001779BC">
              <w:rPr>
                <w:rFonts w:ascii="Arial" w:hAnsi="Arial" w:cs="Arial"/>
                <w:color w:val="000000"/>
                <w:lang w:eastAsia="mk-MK"/>
              </w:rPr>
              <w:t xml:space="preserve"> (will be sent by 31 January 2026)</w:t>
            </w:r>
          </w:p>
        </w:tc>
        <w:tc>
          <w:tcPr>
            <w:tcW w:w="1936" w:type="pct"/>
            <w:tcBorders>
              <w:top w:val="single" w:sz="4" w:space="0" w:color="auto"/>
              <w:left w:val="single" w:sz="4" w:space="0" w:color="auto"/>
              <w:bottom w:val="single" w:sz="4" w:space="0" w:color="auto"/>
              <w:right w:val="single" w:sz="4" w:space="0" w:color="auto"/>
            </w:tcBorders>
            <w:noWrap/>
            <w:vAlign w:val="bottom"/>
          </w:tcPr>
          <w:p w14:paraId="242E28ED" w14:textId="5EF442D8" w:rsidR="00B52D5E" w:rsidRPr="00CC7846" w:rsidRDefault="00B52D5E" w:rsidP="008A46DD">
            <w:pPr>
              <w:spacing w:after="0" w:line="240" w:lineRule="auto"/>
              <w:jc w:val="right"/>
              <w:rPr>
                <w:rFonts w:ascii="Arial" w:hAnsi="Arial" w:cs="Arial"/>
                <w:lang w:eastAsia="mk-MK"/>
              </w:rPr>
            </w:pPr>
            <w:r w:rsidRPr="00123332">
              <w:rPr>
                <w:rFonts w:ascii="Arial" w:hAnsi="Arial" w:cs="Arial"/>
                <w:lang w:eastAsia="mk-MK"/>
              </w:rPr>
              <w:t>0,00</w:t>
            </w:r>
          </w:p>
        </w:tc>
      </w:tr>
      <w:tr w:rsidR="00B52D5E" w:rsidRPr="00F53697" w14:paraId="44BC2F8E" w14:textId="77777777" w:rsidTr="008A46DD">
        <w:trPr>
          <w:trHeight w:val="285"/>
        </w:trPr>
        <w:tc>
          <w:tcPr>
            <w:tcW w:w="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2E5E02" w14:textId="6805EBDB" w:rsidR="00B52D5E" w:rsidRPr="00F53697" w:rsidRDefault="00B52D5E" w:rsidP="008A46DD">
            <w:pPr>
              <w:spacing w:after="0" w:line="240" w:lineRule="auto"/>
              <w:jc w:val="center"/>
              <w:rPr>
                <w:rFonts w:ascii="Arial" w:hAnsi="Arial" w:cs="Arial"/>
                <w:b/>
                <w:bCs/>
                <w:lang w:eastAsia="mk-MK"/>
              </w:rPr>
            </w:pPr>
          </w:p>
        </w:tc>
        <w:tc>
          <w:tcPr>
            <w:tcW w:w="2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D95389" w14:textId="1881A012" w:rsidR="00B52D5E" w:rsidRPr="00F53697" w:rsidRDefault="00B52D5E" w:rsidP="008A46DD">
            <w:pPr>
              <w:spacing w:after="0" w:line="240" w:lineRule="auto"/>
              <w:rPr>
                <w:rFonts w:ascii="Arial" w:hAnsi="Arial" w:cs="Arial"/>
                <w:b/>
                <w:bCs/>
                <w:lang w:eastAsia="mk-MK"/>
              </w:rPr>
            </w:pPr>
            <w:r w:rsidRPr="00F53697">
              <w:rPr>
                <w:rFonts w:ascii="Arial" w:hAnsi="Arial" w:cs="Arial"/>
                <w:b/>
                <w:bCs/>
                <w:lang w:eastAsia="mk-MK"/>
              </w:rPr>
              <w:t>TOTAL</w:t>
            </w:r>
          </w:p>
        </w:tc>
        <w:tc>
          <w:tcPr>
            <w:tcW w:w="19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6667C52" w14:textId="5C7BF84E" w:rsidR="00B52D5E" w:rsidRPr="00F53697" w:rsidRDefault="00B52D5E" w:rsidP="008A46DD">
            <w:pPr>
              <w:spacing w:after="0" w:line="240" w:lineRule="auto"/>
              <w:jc w:val="right"/>
              <w:rPr>
                <w:rFonts w:ascii="Arial" w:hAnsi="Arial" w:cs="Arial"/>
                <w:b/>
                <w:bCs/>
                <w:lang w:eastAsia="mk-MK"/>
              </w:rPr>
            </w:pPr>
            <w:r w:rsidRPr="00F53697">
              <w:rPr>
                <w:rFonts w:ascii="Arial" w:hAnsi="Arial" w:cs="Arial"/>
                <w:b/>
                <w:bCs/>
                <w:lang w:eastAsia="mk-MK"/>
              </w:rPr>
              <w:t>7,111,675.01</w:t>
            </w:r>
          </w:p>
        </w:tc>
      </w:tr>
    </w:tbl>
    <w:p w14:paraId="5EAA6ED7" w14:textId="5597FA27" w:rsidR="00D27CE9" w:rsidRPr="00A64F7E" w:rsidRDefault="007B4DA1" w:rsidP="008A46DD">
      <w:pPr>
        <w:widowControl w:val="0"/>
        <w:suppressAutoHyphens/>
        <w:spacing w:before="120" w:after="120" w:line="240" w:lineRule="auto"/>
        <w:jc w:val="both"/>
        <w:rPr>
          <w:rFonts w:ascii="Arial" w:hAnsi="Arial" w:cs="Arial"/>
          <w:b/>
          <w:bCs/>
          <w:sz w:val="24"/>
          <w:szCs w:val="24"/>
          <w:u w:val="single"/>
          <w:lang w:val="en-GB"/>
        </w:rPr>
      </w:pPr>
      <w:r w:rsidRPr="00D27CE9">
        <w:rPr>
          <w:rFonts w:ascii="Arial" w:hAnsi="Arial" w:cs="Arial"/>
          <w:b/>
          <w:bCs/>
          <w:sz w:val="24"/>
          <w:szCs w:val="24"/>
          <w:u w:val="single"/>
          <w:lang w:val="en-GB"/>
        </w:rPr>
        <w:t xml:space="preserve">De-commitment of </w:t>
      </w:r>
      <w:r w:rsidR="00E0114D" w:rsidRPr="00D27CE9">
        <w:rPr>
          <w:rFonts w:ascii="Arial" w:hAnsi="Arial" w:cs="Arial"/>
          <w:b/>
          <w:bCs/>
          <w:sz w:val="24"/>
          <w:szCs w:val="24"/>
          <w:u w:val="single"/>
          <w:lang w:val="en-GB"/>
        </w:rPr>
        <w:t xml:space="preserve">community contribution </w:t>
      </w:r>
      <w:r w:rsidRPr="00D27CE9">
        <w:rPr>
          <w:rFonts w:ascii="Arial" w:hAnsi="Arial" w:cs="Arial"/>
          <w:b/>
          <w:bCs/>
          <w:sz w:val="24"/>
          <w:szCs w:val="24"/>
          <w:u w:val="single"/>
          <w:lang w:val="en-GB"/>
        </w:rPr>
        <w:t>funds for 2025:</w:t>
      </w:r>
      <w:bookmarkStart w:id="0" w:name="_Hlk198295416"/>
    </w:p>
    <w:tbl>
      <w:tblPr>
        <w:tblStyle w:val="TableGrid"/>
        <w:tblW w:w="0" w:type="auto"/>
        <w:tblLook w:val="04A0" w:firstRow="1" w:lastRow="0" w:firstColumn="1" w:lastColumn="0" w:noHBand="0" w:noVBand="1"/>
      </w:tblPr>
      <w:tblGrid>
        <w:gridCol w:w="1271"/>
        <w:gridCol w:w="4557"/>
        <w:gridCol w:w="3188"/>
      </w:tblGrid>
      <w:tr w:rsidR="003B23A9" w14:paraId="3BEDACFD" w14:textId="77777777" w:rsidTr="00F76305">
        <w:tc>
          <w:tcPr>
            <w:tcW w:w="1271" w:type="dxa"/>
          </w:tcPr>
          <w:p w14:paraId="4186A0EB" w14:textId="0E470F1E" w:rsidR="003B23A9" w:rsidRPr="003B23A9" w:rsidRDefault="003B23A9" w:rsidP="008A46DD">
            <w:pPr>
              <w:overflowPunct w:val="0"/>
              <w:autoSpaceDE w:val="0"/>
              <w:jc w:val="both"/>
              <w:textAlignment w:val="baseline"/>
              <w:rPr>
                <w:rFonts w:ascii="Arial" w:hAnsi="Arial" w:cs="Arial"/>
                <w:b/>
                <w:bCs/>
                <w:sz w:val="24"/>
                <w:szCs w:val="24"/>
              </w:rPr>
            </w:pPr>
            <w:bookmarkStart w:id="1" w:name="_Hlk214539349"/>
            <w:r w:rsidRPr="003B23A9">
              <w:rPr>
                <w:rFonts w:ascii="Arial" w:hAnsi="Arial" w:cs="Arial"/>
                <w:b/>
                <w:bCs/>
                <w:sz w:val="24"/>
                <w:szCs w:val="24"/>
              </w:rPr>
              <w:t>1</w:t>
            </w:r>
          </w:p>
        </w:tc>
        <w:tc>
          <w:tcPr>
            <w:tcW w:w="4557" w:type="dxa"/>
          </w:tcPr>
          <w:p w14:paraId="2009BC0D" w14:textId="6BF56DEA" w:rsidR="003B23A9" w:rsidRDefault="003B23A9" w:rsidP="008A46DD">
            <w:pPr>
              <w:overflowPunct w:val="0"/>
              <w:autoSpaceDE w:val="0"/>
              <w:jc w:val="both"/>
              <w:textAlignment w:val="baseline"/>
              <w:rPr>
                <w:rFonts w:ascii="Arial" w:hAnsi="Arial" w:cs="Arial"/>
                <w:sz w:val="24"/>
                <w:szCs w:val="24"/>
              </w:rPr>
            </w:pPr>
            <w:r w:rsidRPr="00D27CE9">
              <w:rPr>
                <w:rFonts w:ascii="Arial" w:hAnsi="Arial" w:cs="Arial"/>
                <w:sz w:val="24"/>
                <w:szCs w:val="24"/>
              </w:rPr>
              <w:t>Financial allocation</w:t>
            </w:r>
          </w:p>
        </w:tc>
        <w:tc>
          <w:tcPr>
            <w:tcW w:w="3188" w:type="dxa"/>
          </w:tcPr>
          <w:p w14:paraId="30800FDF" w14:textId="7196D5D2" w:rsidR="003B23A9" w:rsidRDefault="003B23A9" w:rsidP="008A46DD">
            <w:pPr>
              <w:overflowPunct w:val="0"/>
              <w:autoSpaceDE w:val="0"/>
              <w:jc w:val="right"/>
              <w:textAlignment w:val="baseline"/>
              <w:rPr>
                <w:rFonts w:ascii="Arial" w:hAnsi="Arial" w:cs="Arial"/>
                <w:sz w:val="24"/>
                <w:szCs w:val="24"/>
              </w:rPr>
            </w:pPr>
            <w:r w:rsidRPr="00D27CE9">
              <w:rPr>
                <w:rFonts w:ascii="Arial" w:hAnsi="Arial" w:cs="Arial"/>
                <w:sz w:val="24"/>
                <w:szCs w:val="24"/>
              </w:rPr>
              <w:t>15,000,000.00 EUR</w:t>
            </w:r>
          </w:p>
        </w:tc>
      </w:tr>
      <w:tr w:rsidR="00F76305" w14:paraId="3A86A7D6" w14:textId="77777777" w:rsidTr="00F76305">
        <w:tc>
          <w:tcPr>
            <w:tcW w:w="1271" w:type="dxa"/>
          </w:tcPr>
          <w:p w14:paraId="10432006" w14:textId="6A15EEF4" w:rsidR="00F76305" w:rsidRPr="003B23A9" w:rsidRDefault="00F76305" w:rsidP="008A46DD">
            <w:pPr>
              <w:overflowPunct w:val="0"/>
              <w:autoSpaceDE w:val="0"/>
              <w:jc w:val="both"/>
              <w:textAlignment w:val="baseline"/>
              <w:rPr>
                <w:rFonts w:ascii="Arial" w:hAnsi="Arial" w:cs="Arial"/>
                <w:b/>
                <w:bCs/>
                <w:sz w:val="24"/>
                <w:szCs w:val="24"/>
              </w:rPr>
            </w:pPr>
            <w:r w:rsidRPr="003B23A9">
              <w:rPr>
                <w:rFonts w:ascii="Arial" w:hAnsi="Arial" w:cs="Arial"/>
                <w:b/>
                <w:bCs/>
                <w:sz w:val="24"/>
                <w:szCs w:val="24"/>
              </w:rPr>
              <w:t>2</w:t>
            </w:r>
          </w:p>
        </w:tc>
        <w:tc>
          <w:tcPr>
            <w:tcW w:w="4557" w:type="dxa"/>
          </w:tcPr>
          <w:p w14:paraId="7A30342F" w14:textId="31743792" w:rsidR="00F76305" w:rsidRPr="00F76305" w:rsidRDefault="00F76305" w:rsidP="008A46DD">
            <w:pPr>
              <w:overflowPunct w:val="0"/>
              <w:autoSpaceDE w:val="0"/>
              <w:jc w:val="both"/>
              <w:textAlignment w:val="baseline"/>
              <w:rPr>
                <w:rFonts w:ascii="Arial" w:hAnsi="Arial" w:cs="Arial"/>
                <w:sz w:val="24"/>
                <w:szCs w:val="24"/>
              </w:rPr>
            </w:pPr>
            <w:r>
              <w:rPr>
                <w:rFonts w:ascii="Arial" w:hAnsi="Arial" w:cs="Arial"/>
                <w:sz w:val="24"/>
                <w:szCs w:val="24"/>
              </w:rPr>
              <w:t>Pre-financing</w:t>
            </w:r>
          </w:p>
        </w:tc>
        <w:tc>
          <w:tcPr>
            <w:tcW w:w="3188" w:type="dxa"/>
          </w:tcPr>
          <w:p w14:paraId="264EDD25" w14:textId="4C83B43E" w:rsidR="00F76305" w:rsidRPr="00D27CE9" w:rsidRDefault="00F76305" w:rsidP="008A46DD">
            <w:pPr>
              <w:overflowPunct w:val="0"/>
              <w:autoSpaceDE w:val="0"/>
              <w:jc w:val="right"/>
              <w:textAlignment w:val="baseline"/>
              <w:rPr>
                <w:rFonts w:ascii="Arial" w:hAnsi="Arial" w:cs="Arial"/>
                <w:sz w:val="24"/>
                <w:szCs w:val="24"/>
              </w:rPr>
            </w:pPr>
            <w:r>
              <w:rPr>
                <w:rFonts w:ascii="Arial" w:hAnsi="Arial" w:cs="Arial"/>
                <w:sz w:val="24"/>
                <w:szCs w:val="24"/>
              </w:rPr>
              <w:t>6.300.000 EUR</w:t>
            </w:r>
          </w:p>
        </w:tc>
      </w:tr>
      <w:tr w:rsidR="00F76305" w14:paraId="1BE8B576" w14:textId="77777777" w:rsidTr="00F76305">
        <w:tc>
          <w:tcPr>
            <w:tcW w:w="1271" w:type="dxa"/>
          </w:tcPr>
          <w:p w14:paraId="566BA4B3" w14:textId="667CF156" w:rsidR="00F76305" w:rsidRPr="003B23A9" w:rsidRDefault="00F76305" w:rsidP="008A46DD">
            <w:pPr>
              <w:overflowPunct w:val="0"/>
              <w:autoSpaceDE w:val="0"/>
              <w:jc w:val="both"/>
              <w:textAlignment w:val="baseline"/>
              <w:rPr>
                <w:rFonts w:ascii="Arial" w:hAnsi="Arial" w:cs="Arial"/>
                <w:b/>
                <w:bCs/>
                <w:sz w:val="24"/>
                <w:szCs w:val="24"/>
              </w:rPr>
            </w:pPr>
            <w:r w:rsidRPr="003B23A9">
              <w:rPr>
                <w:rFonts w:ascii="Arial" w:hAnsi="Arial" w:cs="Arial"/>
                <w:b/>
                <w:bCs/>
                <w:sz w:val="24"/>
                <w:szCs w:val="24"/>
              </w:rPr>
              <w:t>3</w:t>
            </w:r>
          </w:p>
        </w:tc>
        <w:tc>
          <w:tcPr>
            <w:tcW w:w="4557" w:type="dxa"/>
          </w:tcPr>
          <w:p w14:paraId="28122A9F" w14:textId="64D83B66" w:rsidR="00F76305" w:rsidRDefault="00F76305" w:rsidP="008A46DD">
            <w:pPr>
              <w:overflowPunct w:val="0"/>
              <w:autoSpaceDE w:val="0"/>
              <w:jc w:val="both"/>
              <w:textAlignment w:val="baseline"/>
              <w:rPr>
                <w:rFonts w:ascii="Arial" w:hAnsi="Arial" w:cs="Arial"/>
                <w:sz w:val="24"/>
                <w:szCs w:val="24"/>
              </w:rPr>
            </w:pPr>
            <w:r w:rsidRPr="00D27CE9">
              <w:rPr>
                <w:rFonts w:ascii="Arial" w:hAnsi="Arial" w:cs="Arial"/>
                <w:sz w:val="24"/>
                <w:szCs w:val="24"/>
              </w:rPr>
              <w:t>Declared to EC</w:t>
            </w:r>
          </w:p>
        </w:tc>
        <w:tc>
          <w:tcPr>
            <w:tcW w:w="3188" w:type="dxa"/>
          </w:tcPr>
          <w:p w14:paraId="5BF9DEE4" w14:textId="56203B53" w:rsidR="00F76305" w:rsidRDefault="00F76305" w:rsidP="008A46DD">
            <w:pPr>
              <w:overflowPunct w:val="0"/>
              <w:autoSpaceDE w:val="0"/>
              <w:jc w:val="right"/>
              <w:textAlignment w:val="baseline"/>
              <w:rPr>
                <w:rFonts w:ascii="Arial" w:hAnsi="Arial" w:cs="Arial"/>
                <w:sz w:val="24"/>
                <w:szCs w:val="24"/>
              </w:rPr>
            </w:pPr>
            <w:r w:rsidRPr="00D27CE9">
              <w:rPr>
                <w:rFonts w:ascii="Arial" w:hAnsi="Arial" w:cs="Arial"/>
                <w:sz w:val="24"/>
                <w:szCs w:val="24"/>
              </w:rPr>
              <w:t>7,111,675.01 EUR</w:t>
            </w:r>
          </w:p>
        </w:tc>
      </w:tr>
      <w:tr w:rsidR="00F76305" w14:paraId="30EC4624" w14:textId="77777777" w:rsidTr="00F76305">
        <w:tc>
          <w:tcPr>
            <w:tcW w:w="1271" w:type="dxa"/>
          </w:tcPr>
          <w:p w14:paraId="0CE4FD3C" w14:textId="34BB8832" w:rsidR="00F76305" w:rsidRPr="00F76305" w:rsidRDefault="00F76305" w:rsidP="008A46DD">
            <w:pPr>
              <w:overflowPunct w:val="0"/>
              <w:autoSpaceDE w:val="0"/>
              <w:jc w:val="both"/>
              <w:textAlignment w:val="baseline"/>
              <w:rPr>
                <w:rFonts w:ascii="Arial" w:hAnsi="Arial" w:cs="Arial"/>
                <w:b/>
                <w:bCs/>
                <w:sz w:val="24"/>
                <w:szCs w:val="24"/>
                <w:lang w:val="mk-MK"/>
              </w:rPr>
            </w:pPr>
            <w:r>
              <w:rPr>
                <w:rFonts w:ascii="Arial" w:hAnsi="Arial" w:cs="Arial"/>
                <w:b/>
                <w:bCs/>
                <w:sz w:val="24"/>
                <w:szCs w:val="24"/>
                <w:lang w:val="mk-MK"/>
              </w:rPr>
              <w:t>4</w:t>
            </w:r>
          </w:p>
        </w:tc>
        <w:tc>
          <w:tcPr>
            <w:tcW w:w="4557" w:type="dxa"/>
          </w:tcPr>
          <w:p w14:paraId="4986212B" w14:textId="7A9A4F66" w:rsidR="00F76305" w:rsidRDefault="00F76305" w:rsidP="008A46DD">
            <w:pPr>
              <w:overflowPunct w:val="0"/>
              <w:autoSpaceDE w:val="0"/>
              <w:jc w:val="both"/>
              <w:textAlignment w:val="baseline"/>
              <w:rPr>
                <w:rFonts w:ascii="Arial" w:hAnsi="Arial" w:cs="Arial"/>
                <w:sz w:val="24"/>
                <w:szCs w:val="24"/>
              </w:rPr>
            </w:pPr>
            <w:r w:rsidRPr="00D27CE9">
              <w:rPr>
                <w:rFonts w:ascii="Arial" w:hAnsi="Arial" w:cs="Arial"/>
                <w:sz w:val="24"/>
                <w:szCs w:val="24"/>
              </w:rPr>
              <w:t>Paid in Quarter 4 till 07 November 2025</w:t>
            </w:r>
          </w:p>
        </w:tc>
        <w:tc>
          <w:tcPr>
            <w:tcW w:w="3188" w:type="dxa"/>
          </w:tcPr>
          <w:p w14:paraId="39B35C64" w14:textId="0D4DA6D0" w:rsidR="00F76305" w:rsidRDefault="00F76305" w:rsidP="008A46DD">
            <w:pPr>
              <w:overflowPunct w:val="0"/>
              <w:autoSpaceDE w:val="0"/>
              <w:jc w:val="right"/>
              <w:textAlignment w:val="baseline"/>
              <w:rPr>
                <w:rFonts w:ascii="Arial" w:hAnsi="Arial" w:cs="Arial"/>
                <w:sz w:val="24"/>
                <w:szCs w:val="24"/>
              </w:rPr>
            </w:pPr>
            <w:r w:rsidRPr="00D27CE9">
              <w:rPr>
                <w:rFonts w:ascii="Arial" w:hAnsi="Arial" w:cs="Arial"/>
                <w:sz w:val="24"/>
                <w:szCs w:val="24"/>
              </w:rPr>
              <w:t>1,154,737.88 EUR</w:t>
            </w:r>
          </w:p>
        </w:tc>
      </w:tr>
      <w:tr w:rsidR="00F76305" w:rsidRPr="003B23A9" w14:paraId="1BD9774B" w14:textId="77777777" w:rsidTr="00F76305">
        <w:tc>
          <w:tcPr>
            <w:tcW w:w="1271" w:type="dxa"/>
          </w:tcPr>
          <w:p w14:paraId="1CACB746" w14:textId="7FB7BEB6" w:rsidR="00F76305" w:rsidRPr="00F76305" w:rsidRDefault="00F76305" w:rsidP="008A46DD">
            <w:pPr>
              <w:overflowPunct w:val="0"/>
              <w:autoSpaceDE w:val="0"/>
              <w:jc w:val="both"/>
              <w:textAlignment w:val="baseline"/>
              <w:rPr>
                <w:rFonts w:ascii="Arial" w:hAnsi="Arial" w:cs="Arial"/>
                <w:b/>
                <w:bCs/>
                <w:sz w:val="24"/>
                <w:szCs w:val="24"/>
                <w:lang w:val="mk-MK"/>
              </w:rPr>
            </w:pPr>
            <w:r>
              <w:rPr>
                <w:rFonts w:ascii="Arial" w:hAnsi="Arial" w:cs="Arial"/>
                <w:b/>
                <w:bCs/>
                <w:sz w:val="24"/>
                <w:szCs w:val="24"/>
                <w:lang w:val="mk-MK"/>
              </w:rPr>
              <w:t>5</w:t>
            </w:r>
            <w:r w:rsidRPr="003B23A9">
              <w:rPr>
                <w:rFonts w:ascii="Arial" w:hAnsi="Arial" w:cs="Arial"/>
                <w:b/>
                <w:bCs/>
                <w:sz w:val="24"/>
                <w:szCs w:val="24"/>
              </w:rPr>
              <w:t>=1-2-3</w:t>
            </w:r>
            <w:r>
              <w:rPr>
                <w:rFonts w:ascii="Arial" w:hAnsi="Arial" w:cs="Arial"/>
                <w:b/>
                <w:bCs/>
                <w:sz w:val="24"/>
                <w:szCs w:val="24"/>
                <w:lang w:val="mk-MK"/>
              </w:rPr>
              <w:t>-4</w:t>
            </w:r>
          </w:p>
        </w:tc>
        <w:tc>
          <w:tcPr>
            <w:tcW w:w="4557" w:type="dxa"/>
          </w:tcPr>
          <w:p w14:paraId="2EA0C159" w14:textId="47D39FF8" w:rsidR="00F76305" w:rsidRPr="003B23A9" w:rsidRDefault="00F76305" w:rsidP="008A46DD">
            <w:pPr>
              <w:overflowPunct w:val="0"/>
              <w:autoSpaceDE w:val="0"/>
              <w:jc w:val="both"/>
              <w:textAlignment w:val="baseline"/>
              <w:rPr>
                <w:rFonts w:ascii="Arial" w:hAnsi="Arial" w:cs="Arial"/>
                <w:b/>
                <w:bCs/>
                <w:sz w:val="24"/>
                <w:szCs w:val="24"/>
              </w:rPr>
            </w:pPr>
            <w:r w:rsidRPr="003B23A9">
              <w:rPr>
                <w:rFonts w:ascii="Arial" w:hAnsi="Arial" w:cs="Arial"/>
                <w:b/>
                <w:bCs/>
                <w:sz w:val="24"/>
                <w:szCs w:val="24"/>
              </w:rPr>
              <w:t>Potential de-commitment</w:t>
            </w:r>
          </w:p>
        </w:tc>
        <w:tc>
          <w:tcPr>
            <w:tcW w:w="3188" w:type="dxa"/>
          </w:tcPr>
          <w:p w14:paraId="68262EAC" w14:textId="581EAA81" w:rsidR="00F76305" w:rsidRPr="003B23A9" w:rsidRDefault="00F76305" w:rsidP="008A46DD">
            <w:pPr>
              <w:overflowPunct w:val="0"/>
              <w:autoSpaceDE w:val="0"/>
              <w:jc w:val="right"/>
              <w:textAlignment w:val="baseline"/>
              <w:rPr>
                <w:rFonts w:ascii="Arial" w:hAnsi="Arial" w:cs="Arial"/>
                <w:b/>
                <w:bCs/>
                <w:sz w:val="24"/>
                <w:szCs w:val="24"/>
              </w:rPr>
            </w:pPr>
            <w:r w:rsidRPr="003B23A9">
              <w:rPr>
                <w:rFonts w:ascii="Arial" w:hAnsi="Arial" w:cs="Arial"/>
                <w:b/>
                <w:bCs/>
                <w:sz w:val="24"/>
                <w:szCs w:val="24"/>
              </w:rPr>
              <w:t>433,587.11 EUR</w:t>
            </w:r>
          </w:p>
        </w:tc>
      </w:tr>
      <w:bookmarkEnd w:id="1"/>
    </w:tbl>
    <w:p w14:paraId="67611AF3" w14:textId="77777777" w:rsidR="00D27CE9" w:rsidRDefault="00D27CE9" w:rsidP="008A46DD">
      <w:pPr>
        <w:overflowPunct w:val="0"/>
        <w:autoSpaceDE w:val="0"/>
        <w:spacing w:after="0" w:line="240" w:lineRule="auto"/>
        <w:jc w:val="both"/>
        <w:textAlignment w:val="baseline"/>
        <w:rPr>
          <w:rFonts w:ascii="Arial" w:hAnsi="Arial" w:cs="Arial"/>
          <w:sz w:val="24"/>
          <w:szCs w:val="24"/>
        </w:rPr>
      </w:pPr>
    </w:p>
    <w:p w14:paraId="507143D3" w14:textId="375BF3A2" w:rsidR="00E93F39" w:rsidRPr="00D27CE9" w:rsidRDefault="00E93F39" w:rsidP="008A46DD">
      <w:pPr>
        <w:overflowPunct w:val="0"/>
        <w:autoSpaceDE w:val="0"/>
        <w:spacing w:after="0" w:line="240" w:lineRule="auto"/>
        <w:jc w:val="both"/>
        <w:textAlignment w:val="baseline"/>
        <w:rPr>
          <w:rFonts w:ascii="Arial" w:hAnsi="Arial" w:cs="Arial"/>
          <w:sz w:val="24"/>
          <w:szCs w:val="24"/>
        </w:rPr>
      </w:pPr>
      <w:proofErr w:type="spellStart"/>
      <w:r w:rsidRPr="00D27CE9">
        <w:rPr>
          <w:rFonts w:ascii="Arial" w:hAnsi="Arial" w:cs="Arial"/>
          <w:sz w:val="24"/>
          <w:szCs w:val="24"/>
        </w:rPr>
        <w:t>Auth</w:t>
      </w:r>
      <w:bookmarkStart w:id="2" w:name="_GoBack"/>
      <w:bookmarkEnd w:id="2"/>
      <w:r w:rsidRPr="00D27CE9">
        <w:rPr>
          <w:rFonts w:ascii="Arial" w:hAnsi="Arial" w:cs="Arial"/>
          <w:sz w:val="24"/>
          <w:szCs w:val="24"/>
        </w:rPr>
        <w:t>orised</w:t>
      </w:r>
      <w:proofErr w:type="spellEnd"/>
      <w:r w:rsidRPr="00D27CE9">
        <w:rPr>
          <w:rFonts w:ascii="Arial" w:hAnsi="Arial" w:cs="Arial"/>
          <w:sz w:val="24"/>
          <w:szCs w:val="24"/>
        </w:rPr>
        <w:t xml:space="preserve"> amount by IPARD Agency not paid yet in amount of 417,672.33 EUR</w:t>
      </w:r>
    </w:p>
    <w:p w14:paraId="223EB47E" w14:textId="77777777" w:rsidR="00E93F39" w:rsidRDefault="00E93F39" w:rsidP="008A46DD">
      <w:pPr>
        <w:overflowPunct w:val="0"/>
        <w:autoSpaceDE w:val="0"/>
        <w:spacing w:after="0" w:line="240" w:lineRule="auto"/>
        <w:jc w:val="both"/>
        <w:textAlignment w:val="baseline"/>
        <w:rPr>
          <w:rFonts w:ascii="StobiSerif Regular" w:hAnsi="StobiSerif Regular" w:cs="Arial"/>
        </w:rPr>
      </w:pPr>
    </w:p>
    <w:bookmarkEnd w:id="0"/>
    <w:p w14:paraId="7C986564" w14:textId="77777777" w:rsidR="00997C5D" w:rsidRPr="00005FD2" w:rsidRDefault="00997C5D" w:rsidP="008A46DD">
      <w:pPr>
        <w:spacing w:after="0" w:line="240" w:lineRule="auto"/>
        <w:jc w:val="both"/>
        <w:rPr>
          <w:rFonts w:ascii="Arial" w:hAnsi="Arial" w:cs="Arial"/>
          <w:sz w:val="24"/>
          <w:szCs w:val="24"/>
          <w:lang w:val="mk-MK"/>
        </w:rPr>
      </w:pPr>
    </w:p>
    <w:sectPr w:rsidR="00997C5D" w:rsidRPr="00005FD2" w:rsidSect="00393894">
      <w:headerReference w:type="default" r:id="rId8"/>
      <w:footerReference w:type="default" r:id="rId9"/>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D5E10" w14:textId="77777777" w:rsidR="00062BD0" w:rsidRDefault="00062BD0" w:rsidP="00AF3E0B">
      <w:pPr>
        <w:spacing w:after="0" w:line="240" w:lineRule="auto"/>
      </w:pPr>
      <w:r>
        <w:separator/>
      </w:r>
    </w:p>
  </w:endnote>
  <w:endnote w:type="continuationSeparator" w:id="0">
    <w:p w14:paraId="5E0E7EF0" w14:textId="77777777" w:rsidR="00062BD0" w:rsidRDefault="00062BD0" w:rsidP="00AF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Regular">
    <w:altName w:val="Bell MT"/>
    <w:panose1 w:val="02000503060000020004"/>
    <w:charset w:val="CC"/>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Bold">
    <w:panose1 w:val="020008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1A708E" w:rsidRPr="006B766A" w14:paraId="4563F61C" w14:textId="77777777" w:rsidTr="00393894">
      <w:trPr>
        <w:trHeight w:val="900"/>
        <w:jc w:val="center"/>
      </w:trPr>
      <w:tc>
        <w:tcPr>
          <w:tcW w:w="3572" w:type="dxa"/>
        </w:tcPr>
        <w:p w14:paraId="7D5C88E2" w14:textId="77777777" w:rsidR="001A708E" w:rsidRPr="001140AC" w:rsidRDefault="001A708E" w:rsidP="001A708E">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67456" behindDoc="1" locked="0" layoutInCell="1" allowOverlap="1" wp14:anchorId="305FE33A" wp14:editId="699CF7B8">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61FC4315" w14:textId="77777777" w:rsidR="001A708E" w:rsidRPr="001140AC" w:rsidRDefault="001A708E" w:rsidP="001A708E">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25A65592" w14:textId="77777777" w:rsidR="001A708E" w:rsidRPr="001140AC" w:rsidRDefault="001A708E" w:rsidP="001A708E">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45D82AE8" wp14:editId="10F2D0B0">
                <wp:extent cx="846161" cy="28653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792D8CD0" w14:textId="77777777" w:rsidR="001A708E" w:rsidRPr="001140AC" w:rsidRDefault="001A708E" w:rsidP="001A708E">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63801267" w14:textId="77777777" w:rsidR="001A708E" w:rsidRPr="001140AC" w:rsidRDefault="001A708E" w:rsidP="001A708E">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434EE996" w14:textId="77777777" w:rsidR="001A708E" w:rsidRPr="001140AC" w:rsidRDefault="001A708E" w:rsidP="001A708E">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66432" behindDoc="0" locked="0" layoutInCell="1" allowOverlap="1" wp14:anchorId="4E3CB193" wp14:editId="097532BE">
                <wp:simplePos x="0" y="0"/>
                <wp:positionH relativeFrom="column">
                  <wp:posOffset>1553987</wp:posOffset>
                </wp:positionH>
                <wp:positionV relativeFrom="page">
                  <wp:posOffset>0</wp:posOffset>
                </wp:positionV>
                <wp:extent cx="684000" cy="450000"/>
                <wp:effectExtent l="0" t="0" r="1905" b="7620"/>
                <wp:wrapSquare wrapText="bothSides"/>
                <wp:docPr id="144"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26E5691D" w14:textId="77777777" w:rsidR="005E1271" w:rsidRDefault="005E1271" w:rsidP="001A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7BA7" w14:textId="77777777" w:rsidR="00062BD0" w:rsidRDefault="00062BD0" w:rsidP="00AF3E0B">
      <w:pPr>
        <w:spacing w:after="0" w:line="240" w:lineRule="auto"/>
      </w:pPr>
      <w:r>
        <w:separator/>
      </w:r>
    </w:p>
  </w:footnote>
  <w:footnote w:type="continuationSeparator" w:id="0">
    <w:p w14:paraId="41E87E25" w14:textId="77777777" w:rsidR="00062BD0" w:rsidRDefault="00062BD0" w:rsidP="00AF3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8A6D" w14:textId="77777777" w:rsidR="001A708E" w:rsidRPr="00997C5D" w:rsidRDefault="00997C5D" w:rsidP="001A708E">
    <w:pPr>
      <w:pStyle w:val="Header"/>
      <w:jc w:val="center"/>
      <w:rPr>
        <w:rFonts w:ascii="Arial" w:hAnsi="Arial" w:cs="Arial"/>
        <w:b/>
        <w:noProof/>
        <w:sz w:val="20"/>
        <w:szCs w:val="20"/>
      </w:rPr>
    </w:pPr>
    <w:r>
      <w:rPr>
        <w:rFonts w:ascii="Arial" w:hAnsi="Arial" w:cs="Arial"/>
        <w:b/>
        <w:noProof/>
        <w:sz w:val="20"/>
        <w:szCs w:val="20"/>
      </w:rPr>
      <w:t>Ministry of Finance</w:t>
    </w:r>
  </w:p>
  <w:p w14:paraId="76D43EB4" w14:textId="77777777" w:rsidR="001A708E" w:rsidRPr="00997C5D" w:rsidRDefault="00997C5D" w:rsidP="001A708E">
    <w:pPr>
      <w:pStyle w:val="Header"/>
      <w:jc w:val="center"/>
      <w:rPr>
        <w:rFonts w:ascii="Arial" w:hAnsi="Arial" w:cs="Arial"/>
        <w:b/>
        <w:noProof/>
        <w:sz w:val="20"/>
        <w:szCs w:val="20"/>
      </w:rPr>
    </w:pPr>
    <w:r>
      <w:rPr>
        <w:rFonts w:ascii="Arial" w:hAnsi="Arial" w:cs="Arial"/>
        <w:b/>
        <w:noProof/>
        <w:sz w:val="20"/>
        <w:szCs w:val="20"/>
      </w:rPr>
      <w:t>IPA Funds Management Department</w:t>
    </w:r>
  </w:p>
  <w:p w14:paraId="477667B1" w14:textId="77777777" w:rsidR="001A708E" w:rsidRDefault="001A708E" w:rsidP="001A708E">
    <w:pPr>
      <w:pStyle w:val="Header"/>
      <w:jc w:val="center"/>
      <w:rPr>
        <w:rFonts w:ascii="Arial" w:hAnsi="Arial" w:cs="Arial"/>
        <w:b/>
        <w:noProof/>
        <w:sz w:val="20"/>
        <w:szCs w:val="20"/>
        <w:lang w:val="mk-MK"/>
      </w:rPr>
    </w:pPr>
  </w:p>
  <w:p w14:paraId="2474C526" w14:textId="0EEA98C4" w:rsidR="005E1271" w:rsidRPr="00997C5D" w:rsidRDefault="00997C5D" w:rsidP="001A708E">
    <w:pPr>
      <w:pStyle w:val="Header"/>
      <w:spacing w:after="240"/>
      <w:jc w:val="center"/>
      <w:rPr>
        <w:rFonts w:ascii="Arial" w:hAnsi="Arial" w:cs="Arial"/>
        <w:b/>
        <w:noProof/>
        <w:sz w:val="20"/>
        <w:szCs w:val="20"/>
      </w:rPr>
    </w:pPr>
    <w:r>
      <w:rPr>
        <w:rFonts w:ascii="Arial" w:hAnsi="Arial" w:cs="Arial"/>
        <w:b/>
        <w:noProof/>
        <w:sz w:val="20"/>
        <w:szCs w:val="20"/>
      </w:rPr>
      <w:t xml:space="preserve">Information on functioning of the Management and Control System anf Financial Implementation of IPARD </w:t>
    </w:r>
    <w:r w:rsidR="00321799">
      <w:rPr>
        <w:rFonts w:ascii="Arial" w:hAnsi="Arial" w:cs="Arial"/>
        <w:b/>
        <w:noProof/>
        <w:sz w:val="20"/>
        <w:szCs w:val="20"/>
      </w:rPr>
      <w:t>Programme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2E58"/>
    <w:multiLevelType w:val="hybridMultilevel"/>
    <w:tmpl w:val="D346E562"/>
    <w:lvl w:ilvl="0" w:tplc="C9C29976">
      <w:start w:val="21"/>
      <w:numFmt w:val="bullet"/>
      <w:lvlText w:val="-"/>
      <w:lvlJc w:val="left"/>
      <w:pPr>
        <w:ind w:left="643" w:hanging="360"/>
      </w:pPr>
      <w:rPr>
        <w:rFonts w:ascii="StobiSerif Regular" w:eastAsia="Arial Unicode MS" w:hAnsi="StobiSerif Regular"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16543CCA"/>
    <w:multiLevelType w:val="hybridMultilevel"/>
    <w:tmpl w:val="1AF81A70"/>
    <w:lvl w:ilvl="0" w:tplc="1946E29C">
      <w:start w:val="1"/>
      <w:numFmt w:val="decimal"/>
      <w:lvlText w:val="(%1)"/>
      <w:lvlJc w:val="left"/>
      <w:pPr>
        <w:ind w:left="360" w:hanging="360"/>
      </w:pPr>
      <w:rPr>
        <w:rFonts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45C26FF"/>
    <w:multiLevelType w:val="hybridMultilevel"/>
    <w:tmpl w:val="0BA4CFFE"/>
    <w:lvl w:ilvl="0" w:tplc="541E94AC">
      <w:start w:val="1"/>
      <w:numFmt w:val="decimal"/>
      <w:lvlText w:val="%1."/>
      <w:lvlJc w:val="left"/>
      <w:pPr>
        <w:ind w:left="720" w:hanging="360"/>
      </w:pPr>
      <w:rPr>
        <w:rFonts w:eastAsia="Times New Roman" w:cs="StobiSerif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D3D66"/>
    <w:multiLevelType w:val="multilevel"/>
    <w:tmpl w:val="F72C16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C457235"/>
    <w:multiLevelType w:val="multilevel"/>
    <w:tmpl w:val="B0C61F8E"/>
    <w:lvl w:ilvl="0">
      <w:start w:val="1"/>
      <w:numFmt w:val="decimal"/>
      <w:lvlText w:val="%1."/>
      <w:lvlJc w:val="left"/>
      <w:pPr>
        <w:tabs>
          <w:tab w:val="num" w:pos="502"/>
        </w:tabs>
        <w:ind w:left="502" w:hanging="360"/>
      </w:pPr>
      <w:rPr>
        <w:rFonts w:hint="default"/>
        <w:b/>
        <w:i w:val="0"/>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ACB6066"/>
    <w:multiLevelType w:val="hybridMultilevel"/>
    <w:tmpl w:val="FF305AC6"/>
    <w:lvl w:ilvl="0" w:tplc="4F3C0B6C">
      <w:start w:val="1"/>
      <w:numFmt w:val="bullet"/>
      <w:lvlText w:val="-"/>
      <w:lvlJc w:val="left"/>
      <w:pPr>
        <w:ind w:left="720" w:hanging="360"/>
      </w:pPr>
      <w:rPr>
        <w:rFonts w:ascii="Garamond" w:eastAsia="Times New Roman" w:hAnsi="Garamond"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5C916B6E"/>
    <w:multiLevelType w:val="hybridMultilevel"/>
    <w:tmpl w:val="5064768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5DEF51E0"/>
    <w:multiLevelType w:val="hybridMultilevel"/>
    <w:tmpl w:val="4B28B2BA"/>
    <w:lvl w:ilvl="0" w:tplc="0DEED266">
      <w:start w:val="3"/>
      <w:numFmt w:val="bullet"/>
      <w:lvlText w:val="-"/>
      <w:lvlJc w:val="left"/>
      <w:pPr>
        <w:ind w:left="720" w:hanging="360"/>
      </w:pPr>
      <w:rPr>
        <w:rFonts w:ascii="Arial" w:eastAsia="Calibr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5F517BF4"/>
    <w:multiLevelType w:val="multilevel"/>
    <w:tmpl w:val="6786F2E4"/>
    <w:lvl w:ilvl="0">
      <w:start w:val="5"/>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1BC26B6"/>
    <w:multiLevelType w:val="hybridMultilevel"/>
    <w:tmpl w:val="A06255F8"/>
    <w:lvl w:ilvl="0" w:tplc="C9C29976">
      <w:start w:val="21"/>
      <w:numFmt w:val="bullet"/>
      <w:lvlText w:val="-"/>
      <w:lvlJc w:val="left"/>
      <w:pPr>
        <w:ind w:left="643" w:hanging="360"/>
      </w:pPr>
      <w:rPr>
        <w:rFonts w:ascii="StobiSerif Regular" w:eastAsia="Arial Unicode MS" w:hAnsi="StobiSerif Regular"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773F0041"/>
    <w:multiLevelType w:val="multilevel"/>
    <w:tmpl w:val="CA3009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10"/>
  </w:num>
  <w:num w:numId="8">
    <w:abstractNumId w:val="9"/>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1C"/>
    <w:rsid w:val="00005FD2"/>
    <w:rsid w:val="00040956"/>
    <w:rsid w:val="00062BD0"/>
    <w:rsid w:val="00067C04"/>
    <w:rsid w:val="00083425"/>
    <w:rsid w:val="000A3DDC"/>
    <w:rsid w:val="00103F9E"/>
    <w:rsid w:val="00117B58"/>
    <w:rsid w:val="00123332"/>
    <w:rsid w:val="001275B1"/>
    <w:rsid w:val="00172EE0"/>
    <w:rsid w:val="001779BC"/>
    <w:rsid w:val="001943E6"/>
    <w:rsid w:val="001A708E"/>
    <w:rsid w:val="001B679F"/>
    <w:rsid w:val="001D327E"/>
    <w:rsid w:val="001F5647"/>
    <w:rsid w:val="00200914"/>
    <w:rsid w:val="002019AB"/>
    <w:rsid w:val="00203D8B"/>
    <w:rsid w:val="002159B5"/>
    <w:rsid w:val="002349E7"/>
    <w:rsid w:val="00246B23"/>
    <w:rsid w:val="002579C5"/>
    <w:rsid w:val="00266D46"/>
    <w:rsid w:val="002C4F46"/>
    <w:rsid w:val="002E7117"/>
    <w:rsid w:val="002F0BA9"/>
    <w:rsid w:val="00307DC8"/>
    <w:rsid w:val="00314A1C"/>
    <w:rsid w:val="00321799"/>
    <w:rsid w:val="00323517"/>
    <w:rsid w:val="003252CE"/>
    <w:rsid w:val="003452CC"/>
    <w:rsid w:val="00345EED"/>
    <w:rsid w:val="0034792D"/>
    <w:rsid w:val="0036398F"/>
    <w:rsid w:val="00392911"/>
    <w:rsid w:val="00393894"/>
    <w:rsid w:val="003B23A9"/>
    <w:rsid w:val="003B7C92"/>
    <w:rsid w:val="0043488C"/>
    <w:rsid w:val="00447A91"/>
    <w:rsid w:val="00454D5A"/>
    <w:rsid w:val="00456470"/>
    <w:rsid w:val="00475E46"/>
    <w:rsid w:val="004805AB"/>
    <w:rsid w:val="00482FFD"/>
    <w:rsid w:val="004B2C04"/>
    <w:rsid w:val="004B7E4B"/>
    <w:rsid w:val="004E0F37"/>
    <w:rsid w:val="004E58FE"/>
    <w:rsid w:val="004E6598"/>
    <w:rsid w:val="0052200C"/>
    <w:rsid w:val="00584D55"/>
    <w:rsid w:val="00585EC0"/>
    <w:rsid w:val="005A40DF"/>
    <w:rsid w:val="005B1062"/>
    <w:rsid w:val="005D61DB"/>
    <w:rsid w:val="005E1271"/>
    <w:rsid w:val="005F4F59"/>
    <w:rsid w:val="00601E8D"/>
    <w:rsid w:val="0061486A"/>
    <w:rsid w:val="00653A01"/>
    <w:rsid w:val="00663DD7"/>
    <w:rsid w:val="00682F76"/>
    <w:rsid w:val="006C720E"/>
    <w:rsid w:val="006E3AEB"/>
    <w:rsid w:val="007252C6"/>
    <w:rsid w:val="00741E0C"/>
    <w:rsid w:val="0074660B"/>
    <w:rsid w:val="0078770A"/>
    <w:rsid w:val="007B4DA1"/>
    <w:rsid w:val="007E300C"/>
    <w:rsid w:val="007E62B8"/>
    <w:rsid w:val="007F3283"/>
    <w:rsid w:val="00865F14"/>
    <w:rsid w:val="0086681E"/>
    <w:rsid w:val="00883371"/>
    <w:rsid w:val="00883502"/>
    <w:rsid w:val="008A1EB3"/>
    <w:rsid w:val="008A46DD"/>
    <w:rsid w:val="008B4126"/>
    <w:rsid w:val="008B5084"/>
    <w:rsid w:val="008D2428"/>
    <w:rsid w:val="00901142"/>
    <w:rsid w:val="00921BDF"/>
    <w:rsid w:val="009638C6"/>
    <w:rsid w:val="009671B2"/>
    <w:rsid w:val="00970020"/>
    <w:rsid w:val="00982F5E"/>
    <w:rsid w:val="00997C5D"/>
    <w:rsid w:val="009B29D4"/>
    <w:rsid w:val="009C20E8"/>
    <w:rsid w:val="009C6D94"/>
    <w:rsid w:val="009E1310"/>
    <w:rsid w:val="009F70D0"/>
    <w:rsid w:val="00A04D0C"/>
    <w:rsid w:val="00A24FF8"/>
    <w:rsid w:val="00A262B7"/>
    <w:rsid w:val="00A2651B"/>
    <w:rsid w:val="00A64F7E"/>
    <w:rsid w:val="00A7269E"/>
    <w:rsid w:val="00AB1CD4"/>
    <w:rsid w:val="00AD2D74"/>
    <w:rsid w:val="00AF3E0B"/>
    <w:rsid w:val="00B22305"/>
    <w:rsid w:val="00B226D8"/>
    <w:rsid w:val="00B412AC"/>
    <w:rsid w:val="00B43A7B"/>
    <w:rsid w:val="00B44045"/>
    <w:rsid w:val="00B509D6"/>
    <w:rsid w:val="00B52D5E"/>
    <w:rsid w:val="00B543D4"/>
    <w:rsid w:val="00B91F08"/>
    <w:rsid w:val="00B9232E"/>
    <w:rsid w:val="00B931BA"/>
    <w:rsid w:val="00BC3528"/>
    <w:rsid w:val="00BE77E2"/>
    <w:rsid w:val="00BF0769"/>
    <w:rsid w:val="00C014E0"/>
    <w:rsid w:val="00C45959"/>
    <w:rsid w:val="00C80B5B"/>
    <w:rsid w:val="00CC7846"/>
    <w:rsid w:val="00CE6BE0"/>
    <w:rsid w:val="00D11BC1"/>
    <w:rsid w:val="00D27848"/>
    <w:rsid w:val="00D27CE9"/>
    <w:rsid w:val="00D462B6"/>
    <w:rsid w:val="00D64540"/>
    <w:rsid w:val="00D67A82"/>
    <w:rsid w:val="00D87832"/>
    <w:rsid w:val="00DC78C9"/>
    <w:rsid w:val="00DF38AF"/>
    <w:rsid w:val="00E0114D"/>
    <w:rsid w:val="00E269F4"/>
    <w:rsid w:val="00E43BA8"/>
    <w:rsid w:val="00E525C8"/>
    <w:rsid w:val="00E5535D"/>
    <w:rsid w:val="00E55C03"/>
    <w:rsid w:val="00E93F39"/>
    <w:rsid w:val="00EA2825"/>
    <w:rsid w:val="00EA2FA5"/>
    <w:rsid w:val="00EA4B9C"/>
    <w:rsid w:val="00EB6955"/>
    <w:rsid w:val="00ED052A"/>
    <w:rsid w:val="00ED53B2"/>
    <w:rsid w:val="00EF0979"/>
    <w:rsid w:val="00EF6E5F"/>
    <w:rsid w:val="00F53697"/>
    <w:rsid w:val="00F5590E"/>
    <w:rsid w:val="00F563E4"/>
    <w:rsid w:val="00F62720"/>
    <w:rsid w:val="00F76305"/>
    <w:rsid w:val="00F76370"/>
    <w:rsid w:val="00FB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F5B53"/>
  <w15:chartTrackingRefBased/>
  <w15:docId w15:val="{78731FBB-A76B-45C7-95DE-17E7C589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0B"/>
  </w:style>
  <w:style w:type="paragraph" w:styleId="Footer">
    <w:name w:val="footer"/>
    <w:basedOn w:val="Normal"/>
    <w:link w:val="FooterChar"/>
    <w:uiPriority w:val="99"/>
    <w:unhideWhenUsed/>
    <w:rsid w:val="00AF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0B"/>
  </w:style>
  <w:style w:type="table" w:styleId="TableGrid">
    <w:name w:val="Table Grid"/>
    <w:basedOn w:val="TableNormal"/>
    <w:uiPriority w:val="39"/>
    <w:rsid w:val="00AF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C5"/>
    <w:rPr>
      <w:rFonts w:ascii="Segoe UI" w:hAnsi="Segoe UI" w:cs="Segoe UI"/>
      <w:sz w:val="18"/>
      <w:szCs w:val="18"/>
    </w:rPr>
  </w:style>
  <w:style w:type="paragraph" w:styleId="ListParagraph">
    <w:name w:val="List Paragraph"/>
    <w:aliases w:val="List Paragraph (numbered (a)),Normal 1,List Paragraph 1,Akapit z listą BS,NumberedParas,Table of contents numbered,Numbering,Bullet Points,Liste Paragraf,Heading 2_sj,heading 6,List Paragraph1,Dot pt,F5 List Paragraph,No Spacing1"/>
    <w:basedOn w:val="Normal"/>
    <w:link w:val="ListParagraphChar"/>
    <w:uiPriority w:val="34"/>
    <w:qFormat/>
    <w:rsid w:val="00997C5D"/>
    <w:pPr>
      <w:ind w:left="720"/>
      <w:contextualSpacing/>
    </w:pPr>
  </w:style>
  <w:style w:type="character" w:customStyle="1" w:styleId="ListParagraphChar">
    <w:name w:val="List Paragraph Char"/>
    <w:aliases w:val="List Paragraph (numbered (a)) Char,Normal 1 Char,List Paragraph 1 Char,Akapit z listą BS Char,NumberedParas Char,Table of contents numbered Char,Numbering Char,Bullet Points Char,Liste Paragraf Char,Heading 2_sj Char,heading 6 Char"/>
    <w:link w:val="ListParagraph"/>
    <w:uiPriority w:val="34"/>
    <w:qFormat/>
    <w:locked/>
    <w:rsid w:val="0074660B"/>
  </w:style>
  <w:style w:type="paragraph" w:styleId="NoSpacing">
    <w:name w:val="No Spacing"/>
    <w:uiPriority w:val="1"/>
    <w:qFormat/>
    <w:rsid w:val="0034792D"/>
    <w:pPr>
      <w:spacing w:after="0" w:line="240" w:lineRule="auto"/>
    </w:pPr>
  </w:style>
  <w:style w:type="paragraph" w:styleId="Revision">
    <w:name w:val="Revision"/>
    <w:hidden/>
    <w:uiPriority w:val="99"/>
    <w:semiHidden/>
    <w:rsid w:val="000A3DDC"/>
    <w:pPr>
      <w:spacing w:after="0" w:line="240" w:lineRule="auto"/>
    </w:pPr>
  </w:style>
  <w:style w:type="paragraph" w:customStyle="1" w:styleId="a">
    <w:name w:val="Болд текст"/>
    <w:basedOn w:val="Normal"/>
    <w:link w:val="Char"/>
    <w:autoRedefine/>
    <w:qFormat/>
    <w:rsid w:val="00C45959"/>
    <w:pPr>
      <w:suppressAutoHyphens/>
      <w:spacing w:after="120" w:line="240" w:lineRule="auto"/>
      <w:jc w:val="both"/>
    </w:pPr>
    <w:rPr>
      <w:rFonts w:ascii="StobiSerif Bold" w:eastAsia="Times New Roman" w:hAnsi="StobiSerif Bold" w:cs="Times New Roman"/>
      <w:lang w:val="en-GB"/>
    </w:rPr>
  </w:style>
  <w:style w:type="character" w:customStyle="1" w:styleId="Char">
    <w:name w:val="Болд текст Char"/>
    <w:link w:val="a"/>
    <w:rsid w:val="00C45959"/>
    <w:rPr>
      <w:rFonts w:ascii="StobiSerif Bold" w:eastAsia="Times New Roman" w:hAnsi="StobiSerif Bold" w:cs="Times New Roman"/>
      <w:lang w:val="en-GB"/>
    </w:rPr>
  </w:style>
  <w:style w:type="paragraph" w:customStyle="1" w:styleId="xmsonormal">
    <w:name w:val="x_msonormal"/>
    <w:basedOn w:val="Normal"/>
    <w:rsid w:val="00C014E0"/>
    <w:pPr>
      <w:spacing w:before="100" w:beforeAutospacing="1" w:after="100" w:afterAutospacing="1" w:line="240" w:lineRule="auto"/>
    </w:pPr>
    <w:rPr>
      <w:rFonts w:ascii="Times New Roman" w:eastAsia="Times New Roman" w:hAnsi="Times New Roman" w:cs="Times New Roman"/>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90964">
      <w:bodyDiv w:val="1"/>
      <w:marLeft w:val="0"/>
      <w:marRight w:val="0"/>
      <w:marTop w:val="0"/>
      <w:marBottom w:val="0"/>
      <w:divBdr>
        <w:top w:val="none" w:sz="0" w:space="0" w:color="auto"/>
        <w:left w:val="none" w:sz="0" w:space="0" w:color="auto"/>
        <w:bottom w:val="none" w:sz="0" w:space="0" w:color="auto"/>
        <w:right w:val="none" w:sz="0" w:space="0" w:color="auto"/>
      </w:divBdr>
    </w:div>
    <w:div w:id="1083646986">
      <w:bodyDiv w:val="1"/>
      <w:marLeft w:val="0"/>
      <w:marRight w:val="0"/>
      <w:marTop w:val="0"/>
      <w:marBottom w:val="0"/>
      <w:divBdr>
        <w:top w:val="none" w:sz="0" w:space="0" w:color="auto"/>
        <w:left w:val="none" w:sz="0" w:space="0" w:color="auto"/>
        <w:bottom w:val="none" w:sz="0" w:space="0" w:color="auto"/>
        <w:right w:val="none" w:sz="0" w:space="0" w:color="auto"/>
      </w:divBdr>
    </w:div>
    <w:div w:id="14460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1E67-F397-42CB-9E7E-FFA6AD34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Mladenovski</dc:creator>
  <cp:keywords/>
  <dc:description/>
  <cp:lastModifiedBy>Viktor Mladenovski</cp:lastModifiedBy>
  <cp:revision>34</cp:revision>
  <dcterms:created xsi:type="dcterms:W3CDTF">2025-11-19T08:52:00Z</dcterms:created>
  <dcterms:modified xsi:type="dcterms:W3CDTF">2025-12-03T10:00:00Z</dcterms:modified>
</cp:coreProperties>
</file>